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9BA72">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4BF39178">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7599D182">
      <w:pPr>
        <w:adjustRightInd w:val="0"/>
        <w:snapToGrid w:val="0"/>
        <w:spacing w:line="288" w:lineRule="auto"/>
        <w:jc w:val="center"/>
        <w:rPr>
          <w:rFonts w:eastAsia="华文仿宋"/>
          <w:color w:val="auto"/>
          <w:kern w:val="44"/>
          <w:sz w:val="44"/>
          <w:szCs w:val="44"/>
        </w:rPr>
      </w:pPr>
    </w:p>
    <w:p w14:paraId="20338A41">
      <w:pPr>
        <w:jc w:val="center"/>
        <w:rPr>
          <w:rFonts w:eastAsia="仿宋"/>
          <w:color w:val="auto"/>
          <w:sz w:val="52"/>
          <w:szCs w:val="52"/>
        </w:rPr>
      </w:pPr>
    </w:p>
    <w:p w14:paraId="59E425F8">
      <w:pPr>
        <w:ind w:firstLine="1040"/>
        <w:rPr>
          <w:rFonts w:eastAsia="仿宋"/>
          <w:color w:val="auto"/>
          <w:sz w:val="44"/>
          <w:szCs w:val="44"/>
        </w:rPr>
      </w:pPr>
    </w:p>
    <w:p w14:paraId="5C77BF7B">
      <w:pPr>
        <w:ind w:firstLine="1040"/>
        <w:rPr>
          <w:rFonts w:eastAsia="仿宋"/>
          <w:color w:val="auto"/>
          <w:sz w:val="44"/>
          <w:szCs w:val="44"/>
        </w:rPr>
      </w:pPr>
    </w:p>
    <w:p w14:paraId="5884740D">
      <w:pPr>
        <w:ind w:firstLine="1040"/>
        <w:rPr>
          <w:rFonts w:eastAsia="仿宋"/>
          <w:color w:val="auto"/>
          <w:sz w:val="44"/>
          <w:szCs w:val="44"/>
        </w:rPr>
      </w:pPr>
    </w:p>
    <w:p w14:paraId="49937DDD">
      <w:pPr>
        <w:ind w:firstLine="1040"/>
        <w:rPr>
          <w:rFonts w:eastAsia="仿宋"/>
          <w:color w:val="auto"/>
          <w:sz w:val="44"/>
          <w:szCs w:val="44"/>
        </w:rPr>
      </w:pPr>
    </w:p>
    <w:p w14:paraId="74BD847E">
      <w:pPr>
        <w:adjustRightInd w:val="0"/>
        <w:snapToGrid w:val="0"/>
        <w:spacing w:line="288" w:lineRule="auto"/>
        <w:ind w:left="2159" w:leftChars="171" w:hanging="1800" w:hangingChars="500"/>
        <w:jc w:val="both"/>
        <w:rPr>
          <w:rFonts w:eastAsia="仿宋_GB2312"/>
          <w:color w:val="auto"/>
          <w:sz w:val="36"/>
          <w:szCs w:val="36"/>
          <w:u w:val="single"/>
        </w:rPr>
      </w:pPr>
      <w:r>
        <w:rPr>
          <w:rFonts w:eastAsia="仿宋_GB2312"/>
          <w:color w:val="auto"/>
          <w:sz w:val="36"/>
          <w:szCs w:val="36"/>
        </w:rPr>
        <w:t>项目名称：</w:t>
      </w:r>
      <w:r>
        <w:rPr>
          <w:rFonts w:hint="eastAsia" w:eastAsia="仿宋_GB2312"/>
          <w:color w:val="auto"/>
          <w:sz w:val="36"/>
          <w:szCs w:val="36"/>
        </w:rPr>
        <w:t xml:space="preserve"> </w:t>
      </w:r>
      <w:r>
        <w:rPr>
          <w:rFonts w:hint="eastAsia" w:eastAsia="仿宋_GB2312"/>
          <w:color w:val="auto"/>
          <w:sz w:val="36"/>
          <w:szCs w:val="36"/>
          <w:u w:val="single"/>
        </w:rPr>
        <w:t xml:space="preserve">       </w:t>
      </w:r>
      <w:bookmarkStart w:id="0" w:name="OLE_LINK51"/>
      <w:bookmarkStart w:id="1" w:name="OLE_LINK50"/>
      <w:r>
        <w:rPr>
          <w:rFonts w:hint="eastAsia" w:eastAsia="仿宋_GB2312"/>
          <w:color w:val="auto"/>
          <w:sz w:val="36"/>
          <w:szCs w:val="36"/>
          <w:u w:val="single"/>
          <w:lang w:val="en-US" w:eastAsia="zh-CN"/>
        </w:rPr>
        <w:t>实验室建设</w:t>
      </w:r>
      <w:r>
        <w:rPr>
          <w:rFonts w:hint="eastAsia" w:eastAsia="仿宋_GB2312"/>
          <w:color w:val="auto"/>
          <w:sz w:val="36"/>
          <w:szCs w:val="36"/>
          <w:u w:val="single"/>
          <w:lang w:eastAsia="zh-CN"/>
        </w:rPr>
        <w:t>项目</w:t>
      </w:r>
      <w:bookmarkEnd w:id="0"/>
      <w:r>
        <w:rPr>
          <w:rFonts w:hint="eastAsia" w:eastAsia="仿宋_GB2312"/>
          <w:color w:val="auto"/>
          <w:sz w:val="36"/>
          <w:szCs w:val="36"/>
          <w:u w:val="single"/>
        </w:rPr>
        <w:t xml:space="preserve"> </w:t>
      </w:r>
      <w:r>
        <w:rPr>
          <w:rFonts w:hint="eastAsia" w:eastAsia="仿宋_GB2312"/>
          <w:color w:val="auto"/>
          <w:sz w:val="36"/>
          <w:szCs w:val="36"/>
          <w:u w:val="single"/>
          <w:lang w:val="en-US" w:eastAsia="zh-CN"/>
        </w:rPr>
        <w:t xml:space="preserve">  </w:t>
      </w:r>
      <w:bookmarkEnd w:id="1"/>
      <w:r>
        <w:rPr>
          <w:rFonts w:hint="eastAsia" w:eastAsia="仿宋_GB2312"/>
          <w:color w:val="auto"/>
          <w:sz w:val="36"/>
          <w:szCs w:val="36"/>
          <w:u w:val="single"/>
          <w:lang w:val="en-US" w:eastAsia="zh-CN"/>
        </w:rPr>
        <w:t xml:space="preserve">      </w:t>
      </w:r>
      <w:r>
        <w:rPr>
          <w:rFonts w:hint="eastAsia" w:eastAsia="仿宋_GB2312"/>
          <w:color w:val="auto"/>
          <w:sz w:val="36"/>
          <w:szCs w:val="36"/>
          <w:u w:val="single"/>
        </w:rPr>
        <w:t xml:space="preserve">      </w:t>
      </w:r>
    </w:p>
    <w:p w14:paraId="2FBF34C5">
      <w:pPr>
        <w:adjustRightInd w:val="0"/>
        <w:snapToGrid w:val="0"/>
        <w:spacing w:line="288" w:lineRule="auto"/>
        <w:ind w:firstLine="360" w:firstLineChars="100"/>
        <w:jc w:val="center"/>
        <w:rPr>
          <w:rFonts w:hint="eastAsia"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lang w:eastAsia="zh-CN"/>
        </w:rPr>
        <w:t>：</w:t>
      </w:r>
      <w:r>
        <w:rPr>
          <w:rFonts w:hint="eastAsia" w:eastAsia="仿宋_GB2312"/>
          <w:color w:val="auto"/>
          <w:sz w:val="36"/>
          <w:szCs w:val="36"/>
          <w:u w:val="single"/>
        </w:rPr>
        <w:t xml:space="preserve">  </w:t>
      </w:r>
      <w:bookmarkStart w:id="2" w:name="OLE_LINK49"/>
      <w:r>
        <w:rPr>
          <w:rFonts w:hint="eastAsia" w:eastAsia="仿宋_GB2312"/>
          <w:color w:val="auto"/>
          <w:sz w:val="36"/>
          <w:szCs w:val="36"/>
          <w:u w:val="single"/>
          <w:lang w:eastAsia="zh-CN"/>
        </w:rPr>
        <w:t>博帝生物技术（常州）有限公司</w:t>
      </w:r>
      <w:bookmarkEnd w:id="2"/>
    </w:p>
    <w:p w14:paraId="1567F8C4">
      <w:pPr>
        <w:adjustRightInd w:val="0"/>
        <w:snapToGrid w:val="0"/>
        <w:spacing w:line="288" w:lineRule="auto"/>
        <w:ind w:firstLine="360" w:firstLineChars="100"/>
        <w:rPr>
          <w:rFonts w:eastAsia="仿宋_GB2312"/>
          <w:color w:val="auto"/>
          <w:sz w:val="36"/>
          <w:szCs w:val="36"/>
          <w:u w:val="single"/>
        </w:rPr>
      </w:pPr>
      <w:r>
        <w:rPr>
          <w:rFonts w:eastAsia="仿宋_GB2312"/>
          <w:color w:val="auto"/>
          <w:sz w:val="36"/>
          <w:szCs w:val="36"/>
        </w:rPr>
        <w:t>编制日期：</w:t>
      </w:r>
      <w:r>
        <w:rPr>
          <w:rFonts w:hint="eastAsia" w:eastAsia="仿宋_GB2312"/>
          <w:color w:val="auto"/>
          <w:sz w:val="36"/>
          <w:szCs w:val="36"/>
          <w:u w:val="single"/>
        </w:rPr>
        <w:t xml:space="preserve">            </w:t>
      </w:r>
      <w:r>
        <w:rPr>
          <w:rFonts w:eastAsia="仿宋_GB2312"/>
          <w:color w:val="auto"/>
          <w:sz w:val="36"/>
          <w:szCs w:val="36"/>
          <w:u w:val="single"/>
        </w:rPr>
        <w:t>202</w:t>
      </w:r>
      <w:r>
        <w:rPr>
          <w:rFonts w:hint="eastAsia" w:eastAsia="仿宋_GB2312"/>
          <w:color w:val="auto"/>
          <w:sz w:val="36"/>
          <w:szCs w:val="36"/>
          <w:u w:val="single"/>
          <w:lang w:val="en-US" w:eastAsia="zh-CN"/>
        </w:rPr>
        <w:t>5</w:t>
      </w:r>
      <w:r>
        <w:rPr>
          <w:rFonts w:eastAsia="仿宋_GB2312"/>
          <w:color w:val="auto"/>
          <w:sz w:val="36"/>
          <w:szCs w:val="36"/>
          <w:u w:val="single"/>
        </w:rPr>
        <w:t>年</w:t>
      </w:r>
      <w:r>
        <w:rPr>
          <w:rFonts w:hint="eastAsia" w:eastAsia="仿宋_GB2312"/>
          <w:color w:val="auto"/>
          <w:sz w:val="36"/>
          <w:szCs w:val="36"/>
          <w:u w:val="single"/>
          <w:lang w:val="en-US" w:eastAsia="zh-CN"/>
        </w:rPr>
        <w:t>5</w:t>
      </w:r>
      <w:r>
        <w:rPr>
          <w:rFonts w:eastAsia="仿宋_GB2312"/>
          <w:color w:val="auto"/>
          <w:sz w:val="36"/>
          <w:szCs w:val="36"/>
          <w:u w:val="single"/>
        </w:rPr>
        <w:t>月</w:t>
      </w:r>
      <w:r>
        <w:rPr>
          <w:rFonts w:hint="eastAsia" w:eastAsia="仿宋_GB2312"/>
          <w:color w:val="auto"/>
          <w:sz w:val="36"/>
          <w:szCs w:val="36"/>
          <w:u w:val="single"/>
        </w:rPr>
        <w:t xml:space="preserve">              </w:t>
      </w:r>
    </w:p>
    <w:p w14:paraId="3FD661CA">
      <w:pPr>
        <w:adjustRightInd w:val="0"/>
        <w:snapToGrid w:val="0"/>
        <w:spacing w:line="288" w:lineRule="auto"/>
        <w:ind w:firstLine="1040"/>
        <w:rPr>
          <w:rFonts w:eastAsia="仿宋_GB2312"/>
          <w:color w:val="auto"/>
          <w:sz w:val="36"/>
          <w:szCs w:val="36"/>
          <w:u w:val="single"/>
        </w:rPr>
      </w:pPr>
      <w:bookmarkStart w:id="3" w:name="_Hlk57884087"/>
    </w:p>
    <w:p w14:paraId="56D5D697">
      <w:pPr>
        <w:adjustRightInd w:val="0"/>
        <w:snapToGrid w:val="0"/>
        <w:spacing w:line="288" w:lineRule="auto"/>
        <w:ind w:firstLine="1040"/>
        <w:rPr>
          <w:rFonts w:eastAsia="仿宋_GB2312"/>
          <w:color w:val="auto"/>
          <w:sz w:val="36"/>
          <w:szCs w:val="36"/>
        </w:rPr>
      </w:pPr>
    </w:p>
    <w:p w14:paraId="251C0483">
      <w:pPr>
        <w:adjustRightInd w:val="0"/>
        <w:snapToGrid w:val="0"/>
        <w:spacing w:line="288" w:lineRule="auto"/>
        <w:ind w:firstLine="1040"/>
        <w:rPr>
          <w:rFonts w:eastAsia="仿宋_GB2312"/>
          <w:color w:val="auto"/>
          <w:sz w:val="36"/>
          <w:szCs w:val="36"/>
        </w:rPr>
      </w:pPr>
    </w:p>
    <w:p w14:paraId="4F1077BD">
      <w:pPr>
        <w:adjustRightInd w:val="0"/>
        <w:snapToGrid w:val="0"/>
        <w:spacing w:line="288" w:lineRule="auto"/>
        <w:ind w:firstLine="1040"/>
        <w:rPr>
          <w:rFonts w:eastAsia="仿宋_GB2312"/>
          <w:color w:val="auto"/>
          <w:sz w:val="36"/>
          <w:szCs w:val="36"/>
        </w:rPr>
      </w:pPr>
    </w:p>
    <w:p w14:paraId="5C25B4BF">
      <w:pPr>
        <w:adjustRightInd w:val="0"/>
        <w:snapToGrid w:val="0"/>
        <w:spacing w:line="288" w:lineRule="auto"/>
        <w:ind w:firstLine="1040"/>
        <w:rPr>
          <w:rFonts w:eastAsia="仿宋_GB2312"/>
          <w:color w:val="auto"/>
          <w:sz w:val="36"/>
          <w:szCs w:val="36"/>
        </w:rPr>
      </w:pPr>
    </w:p>
    <w:bookmarkEnd w:id="3"/>
    <w:p w14:paraId="2391D4DB">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1D195547">
      <w:pPr>
        <w:adjustRightInd w:val="0"/>
        <w:snapToGrid w:val="0"/>
        <w:spacing w:line="288" w:lineRule="auto"/>
        <w:ind w:firstLine="1040"/>
        <w:rPr>
          <w:rFonts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2679D1C5">
      <w:pPr>
        <w:pStyle w:val="18"/>
        <w:spacing w:before="0" w:beforeAutospacing="0" w:after="0" w:afterAutospacing="0"/>
        <w:jc w:val="center"/>
        <w:outlineLvl w:val="0"/>
        <w:rPr>
          <w:rFonts w:hint="eastAsia" w:ascii="Times New Roman" w:hAnsi="Times New Roman" w:eastAsia="黑体"/>
          <w:snapToGrid w:val="0"/>
          <w:color w:val="auto"/>
          <w:sz w:val="30"/>
          <w:szCs w:val="30"/>
          <w:lang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黑体"/>
          <w:snapToGrid w:val="0"/>
          <w:color w:val="auto"/>
          <w:sz w:val="30"/>
          <w:szCs w:val="30"/>
          <w:lang w:eastAsia="zh-CN"/>
        </w:rPr>
        <w:drawing>
          <wp:inline distT="0" distB="0" distL="114300" distR="114300">
            <wp:extent cx="5609590" cy="7923530"/>
            <wp:effectExtent l="0" t="0" r="13970" b="1270"/>
            <wp:docPr id="16" name="图片 16" descr="2025_07_07_14_24_4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_07_07_14_24_42_01"/>
                    <pic:cNvPicPr>
                      <a:picLocks noChangeAspect="1"/>
                    </pic:cNvPicPr>
                  </pic:nvPicPr>
                  <pic:blipFill>
                    <a:blip r:embed="rId9"/>
                    <a:stretch>
                      <a:fillRect/>
                    </a:stretch>
                  </pic:blipFill>
                  <pic:spPr>
                    <a:xfrm>
                      <a:off x="0" y="0"/>
                      <a:ext cx="5609590" cy="7923530"/>
                    </a:xfrm>
                    <a:prstGeom prst="rect">
                      <a:avLst/>
                    </a:prstGeom>
                  </pic:spPr>
                </pic:pic>
              </a:graphicData>
            </a:graphic>
          </wp:inline>
        </w:drawing>
      </w:r>
    </w:p>
    <w:p w14:paraId="6E74DAC2">
      <w:pPr>
        <w:pStyle w:val="18"/>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2"/>
        <w:tblW w:w="530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06"/>
        <w:gridCol w:w="2827"/>
        <w:gridCol w:w="1865"/>
        <w:gridCol w:w="3311"/>
      </w:tblGrid>
      <w:tr w14:paraId="6321A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7F3C5D52">
            <w:pPr>
              <w:adjustRightInd w:val="0"/>
              <w:snapToGrid w:val="0"/>
              <w:spacing w:line="360" w:lineRule="exact"/>
              <w:jc w:val="center"/>
              <w:rPr>
                <w:color w:val="auto"/>
                <w:sz w:val="24"/>
                <w:szCs w:val="24"/>
              </w:rPr>
            </w:pPr>
            <w:r>
              <w:rPr>
                <w:color w:val="auto"/>
                <w:sz w:val="24"/>
                <w:szCs w:val="24"/>
              </w:rPr>
              <w:t>建设项目名称</w:t>
            </w:r>
          </w:p>
        </w:tc>
        <w:tc>
          <w:tcPr>
            <w:tcW w:w="4252" w:type="pct"/>
            <w:gridSpan w:val="3"/>
            <w:noWrap w:val="0"/>
            <w:vAlign w:val="center"/>
          </w:tcPr>
          <w:p w14:paraId="6D109779">
            <w:pPr>
              <w:adjustRightInd w:val="0"/>
              <w:snapToGrid w:val="0"/>
              <w:spacing w:line="360" w:lineRule="exact"/>
              <w:jc w:val="center"/>
              <w:rPr>
                <w:rFonts w:hint="eastAsia" w:eastAsia="宋体"/>
                <w:color w:val="auto"/>
                <w:sz w:val="24"/>
                <w:szCs w:val="24"/>
                <w:lang w:eastAsia="zh-CN"/>
              </w:rPr>
            </w:pPr>
            <w:r>
              <w:rPr>
                <w:rFonts w:hint="eastAsia"/>
                <w:color w:val="auto"/>
                <w:sz w:val="24"/>
                <w:szCs w:val="24"/>
                <w:lang w:eastAsia="zh-CN"/>
              </w:rPr>
              <w:t>实验室建设项目</w:t>
            </w:r>
          </w:p>
        </w:tc>
      </w:tr>
      <w:tr w14:paraId="378F2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47E5E334">
            <w:pPr>
              <w:adjustRightInd w:val="0"/>
              <w:snapToGrid w:val="0"/>
              <w:spacing w:line="360" w:lineRule="exact"/>
              <w:jc w:val="center"/>
              <w:rPr>
                <w:color w:val="auto"/>
                <w:sz w:val="24"/>
                <w:szCs w:val="24"/>
              </w:rPr>
            </w:pPr>
            <w:r>
              <w:rPr>
                <w:color w:val="auto"/>
                <w:sz w:val="24"/>
                <w:szCs w:val="24"/>
              </w:rPr>
              <w:t>项目代码</w:t>
            </w:r>
          </w:p>
        </w:tc>
        <w:tc>
          <w:tcPr>
            <w:tcW w:w="4252" w:type="pct"/>
            <w:gridSpan w:val="3"/>
            <w:noWrap w:val="0"/>
            <w:vAlign w:val="center"/>
          </w:tcPr>
          <w:p w14:paraId="7B8DCFC0">
            <w:pPr>
              <w:adjustRightInd w:val="0"/>
              <w:snapToGrid w:val="0"/>
              <w:spacing w:line="360" w:lineRule="exact"/>
              <w:jc w:val="center"/>
              <w:rPr>
                <w:rFonts w:hint="eastAsia" w:eastAsia="宋体"/>
                <w:color w:val="auto"/>
                <w:sz w:val="24"/>
                <w:szCs w:val="24"/>
                <w:lang w:eastAsia="zh-CN"/>
              </w:rPr>
            </w:pPr>
            <w:r>
              <w:rPr>
                <w:rFonts w:hint="eastAsia"/>
                <w:color w:val="auto"/>
                <w:sz w:val="24"/>
                <w:szCs w:val="24"/>
                <w:lang w:eastAsia="zh-CN"/>
              </w:rPr>
              <w:t>2412-320458-89-01-346613</w:t>
            </w:r>
          </w:p>
        </w:tc>
      </w:tr>
      <w:tr w14:paraId="5E2E1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45B5BCE8">
            <w:pPr>
              <w:adjustRightInd w:val="0"/>
              <w:snapToGrid w:val="0"/>
              <w:spacing w:line="360" w:lineRule="exact"/>
              <w:jc w:val="center"/>
              <w:rPr>
                <w:color w:val="auto"/>
                <w:sz w:val="24"/>
                <w:szCs w:val="24"/>
              </w:rPr>
            </w:pPr>
            <w:r>
              <w:rPr>
                <w:color w:val="auto"/>
                <w:sz w:val="24"/>
                <w:szCs w:val="24"/>
              </w:rPr>
              <w:t>建设单位联系人</w:t>
            </w:r>
          </w:p>
        </w:tc>
        <w:tc>
          <w:tcPr>
            <w:tcW w:w="1502" w:type="pct"/>
            <w:noWrap w:val="0"/>
            <w:vAlign w:val="center"/>
          </w:tcPr>
          <w:p w14:paraId="7C99F299">
            <w:pPr>
              <w:adjustRightInd w:val="0"/>
              <w:snapToGrid w:val="0"/>
              <w:spacing w:line="360" w:lineRule="exact"/>
              <w:jc w:val="center"/>
              <w:rPr>
                <w:rFonts w:hint="eastAsia" w:eastAsia="宋体"/>
                <w:color w:val="auto"/>
                <w:sz w:val="24"/>
                <w:szCs w:val="24"/>
                <w:lang w:eastAsia="zh-CN"/>
              </w:rPr>
            </w:pPr>
            <w:bookmarkStart w:id="4" w:name="OLE_LINK19"/>
            <w:r>
              <w:rPr>
                <w:rFonts w:hint="eastAsia"/>
                <w:color w:val="auto"/>
                <w:sz w:val="24"/>
                <w:szCs w:val="24"/>
                <w:lang w:eastAsia="zh-CN"/>
              </w:rPr>
              <w:t>唐智萍</w:t>
            </w:r>
            <w:bookmarkEnd w:id="4"/>
          </w:p>
        </w:tc>
        <w:tc>
          <w:tcPr>
            <w:tcW w:w="991" w:type="pct"/>
            <w:noWrap w:val="0"/>
            <w:vAlign w:val="center"/>
          </w:tcPr>
          <w:p w14:paraId="23691998">
            <w:pPr>
              <w:adjustRightInd w:val="0"/>
              <w:snapToGrid w:val="0"/>
              <w:spacing w:line="360" w:lineRule="exact"/>
              <w:jc w:val="center"/>
              <w:rPr>
                <w:color w:val="auto"/>
                <w:sz w:val="24"/>
                <w:szCs w:val="24"/>
              </w:rPr>
            </w:pPr>
            <w:r>
              <w:rPr>
                <w:color w:val="auto"/>
                <w:sz w:val="24"/>
                <w:szCs w:val="24"/>
              </w:rPr>
              <w:t>联系方式</w:t>
            </w:r>
          </w:p>
        </w:tc>
        <w:tc>
          <w:tcPr>
            <w:tcW w:w="1758" w:type="pct"/>
            <w:noWrap w:val="0"/>
            <w:vAlign w:val="center"/>
          </w:tcPr>
          <w:p w14:paraId="35FAF596">
            <w:pPr>
              <w:adjustRightInd w:val="0"/>
              <w:snapToGrid w:val="0"/>
              <w:spacing w:line="360" w:lineRule="exact"/>
              <w:jc w:val="center"/>
              <w:rPr>
                <w:rFonts w:hint="eastAsia" w:eastAsia="宋体"/>
                <w:color w:val="auto"/>
                <w:sz w:val="24"/>
                <w:szCs w:val="24"/>
                <w:lang w:eastAsia="zh-CN"/>
              </w:rPr>
            </w:pPr>
            <w:r>
              <w:rPr>
                <w:rFonts w:hint="eastAsia"/>
                <w:color w:val="auto"/>
                <w:sz w:val="24"/>
                <w:szCs w:val="24"/>
                <w:lang w:eastAsia="zh-CN"/>
              </w:rPr>
              <w:t>18015852165</w:t>
            </w:r>
          </w:p>
        </w:tc>
      </w:tr>
      <w:tr w14:paraId="23CCA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515EDA29">
            <w:pPr>
              <w:adjustRightInd w:val="0"/>
              <w:snapToGrid w:val="0"/>
              <w:spacing w:line="360" w:lineRule="exact"/>
              <w:jc w:val="center"/>
              <w:rPr>
                <w:color w:val="auto"/>
                <w:sz w:val="24"/>
                <w:szCs w:val="24"/>
              </w:rPr>
            </w:pPr>
            <w:r>
              <w:rPr>
                <w:color w:val="auto"/>
                <w:sz w:val="24"/>
                <w:szCs w:val="24"/>
              </w:rPr>
              <w:t>建设地点</w:t>
            </w:r>
          </w:p>
        </w:tc>
        <w:tc>
          <w:tcPr>
            <w:tcW w:w="4252" w:type="pct"/>
            <w:gridSpan w:val="3"/>
            <w:noWrap w:val="0"/>
            <w:vAlign w:val="center"/>
          </w:tcPr>
          <w:p w14:paraId="3F1B4256">
            <w:pPr>
              <w:adjustRightInd w:val="0"/>
              <w:snapToGrid w:val="0"/>
              <w:spacing w:line="360" w:lineRule="exact"/>
              <w:jc w:val="center"/>
              <w:rPr>
                <w:color w:val="auto"/>
                <w:sz w:val="24"/>
                <w:szCs w:val="24"/>
              </w:rPr>
            </w:pPr>
            <w:r>
              <w:rPr>
                <w:color w:val="auto"/>
                <w:sz w:val="24"/>
                <w:szCs w:val="24"/>
                <w:u w:val="single"/>
              </w:rPr>
              <w:t xml:space="preserve"> </w:t>
            </w:r>
            <w:r>
              <w:rPr>
                <w:rFonts w:hint="eastAsia"/>
                <w:color w:val="auto"/>
                <w:sz w:val="24"/>
                <w:szCs w:val="24"/>
                <w:u w:val="single"/>
              </w:rPr>
              <w:t xml:space="preserve"> </w:t>
            </w:r>
            <w:r>
              <w:rPr>
                <w:color w:val="auto"/>
                <w:sz w:val="24"/>
                <w:szCs w:val="24"/>
                <w:u w:val="single"/>
              </w:rPr>
              <w:t>江苏</w:t>
            </w:r>
            <w:r>
              <w:rPr>
                <w:rFonts w:hint="eastAsia"/>
                <w:color w:val="auto"/>
                <w:sz w:val="24"/>
                <w:szCs w:val="24"/>
                <w:u w:val="single"/>
              </w:rPr>
              <w:t xml:space="preserve"> </w:t>
            </w:r>
            <w:r>
              <w:rPr>
                <w:color w:val="auto"/>
                <w:sz w:val="24"/>
                <w:szCs w:val="24"/>
              </w:rPr>
              <w:t>省（自治区）</w:t>
            </w:r>
            <w:r>
              <w:rPr>
                <w:rFonts w:hint="eastAsia"/>
                <w:color w:val="auto"/>
                <w:sz w:val="24"/>
                <w:szCs w:val="24"/>
                <w:u w:val="single"/>
              </w:rPr>
              <w:t xml:space="preserve">  </w:t>
            </w:r>
            <w:r>
              <w:rPr>
                <w:color w:val="auto"/>
                <w:sz w:val="24"/>
                <w:szCs w:val="24"/>
                <w:u w:val="single"/>
              </w:rPr>
              <w:t>常州</w:t>
            </w:r>
            <w:r>
              <w:rPr>
                <w:rFonts w:hint="eastAsia"/>
                <w:color w:val="auto"/>
                <w:sz w:val="24"/>
                <w:szCs w:val="24"/>
                <w:u w:val="single"/>
              </w:rPr>
              <w:t xml:space="preserve">  </w:t>
            </w:r>
            <w:r>
              <w:rPr>
                <w:color w:val="auto"/>
                <w:sz w:val="24"/>
                <w:szCs w:val="24"/>
              </w:rPr>
              <w:t>市</w:t>
            </w:r>
            <w:r>
              <w:rPr>
                <w:color w:val="auto"/>
                <w:sz w:val="24"/>
                <w:szCs w:val="24"/>
                <w:u w:val="single"/>
              </w:rPr>
              <w:t xml:space="preserve"> </w:t>
            </w:r>
            <w:r>
              <w:rPr>
                <w:rFonts w:hint="eastAsia"/>
                <w:color w:val="auto"/>
                <w:sz w:val="24"/>
                <w:szCs w:val="24"/>
                <w:u w:val="single"/>
              </w:rPr>
              <w:t xml:space="preserve"> 金坛  </w:t>
            </w:r>
            <w:r>
              <w:rPr>
                <w:color w:val="auto"/>
                <w:sz w:val="24"/>
                <w:szCs w:val="24"/>
              </w:rPr>
              <w:t>县（区）</w:t>
            </w:r>
            <w:r>
              <w:rPr>
                <w:color w:val="auto"/>
                <w:sz w:val="24"/>
                <w:szCs w:val="24"/>
                <w:u w:val="single"/>
              </w:rPr>
              <w:t xml:space="preserve"> </w:t>
            </w:r>
            <w:r>
              <w:rPr>
                <w:rFonts w:hint="eastAsia"/>
                <w:color w:val="auto"/>
                <w:sz w:val="24"/>
                <w:szCs w:val="24"/>
                <w:u w:val="single"/>
              </w:rPr>
              <w:t xml:space="preserve"> 金坛</w:t>
            </w:r>
            <w:r>
              <w:rPr>
                <w:rFonts w:hint="eastAsia"/>
                <w:color w:val="auto"/>
                <w:sz w:val="24"/>
                <w:szCs w:val="24"/>
                <w:u w:val="single"/>
                <w:lang w:eastAsia="zh-CN"/>
              </w:rPr>
              <w:t>金城科技产业园</w:t>
            </w:r>
            <w:r>
              <w:rPr>
                <w:rFonts w:hint="eastAsia"/>
                <w:color w:val="auto"/>
                <w:sz w:val="24"/>
                <w:szCs w:val="24"/>
                <w:u w:val="single"/>
              </w:rPr>
              <w:t xml:space="preserve"> </w:t>
            </w:r>
            <w:r>
              <w:rPr>
                <w:color w:val="auto"/>
                <w:sz w:val="24"/>
                <w:szCs w:val="24"/>
                <w:u w:val="single"/>
              </w:rPr>
              <w:t xml:space="preserve"> </w:t>
            </w:r>
            <w:r>
              <w:rPr>
                <w:color w:val="auto"/>
                <w:sz w:val="24"/>
                <w:szCs w:val="24"/>
              </w:rPr>
              <w:t>乡（街道）</w:t>
            </w:r>
            <w:r>
              <w:rPr>
                <w:rFonts w:hint="eastAsia"/>
                <w:color w:val="auto"/>
                <w:sz w:val="24"/>
                <w:szCs w:val="24"/>
                <w:u w:val="single"/>
              </w:rPr>
              <w:t xml:space="preserve">  </w:t>
            </w:r>
            <w:r>
              <w:rPr>
                <w:rFonts w:hint="eastAsia"/>
                <w:color w:val="auto"/>
                <w:sz w:val="24"/>
                <w:szCs w:val="24"/>
                <w:u w:val="single"/>
                <w:lang w:eastAsia="zh-CN"/>
              </w:rPr>
              <w:t>西城路118号</w:t>
            </w:r>
            <w:r>
              <w:rPr>
                <w:rFonts w:hint="eastAsia"/>
                <w:color w:val="auto"/>
                <w:sz w:val="24"/>
                <w:szCs w:val="24"/>
                <w:u w:val="single"/>
              </w:rPr>
              <w:t xml:space="preserve"> </w:t>
            </w:r>
            <w:r>
              <w:rPr>
                <w:color w:val="auto"/>
                <w:sz w:val="24"/>
                <w:szCs w:val="24"/>
                <w:u w:val="single"/>
              </w:rPr>
              <w:t xml:space="preserve"> </w:t>
            </w:r>
          </w:p>
        </w:tc>
      </w:tr>
      <w:tr w14:paraId="42980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09616AE2">
            <w:pPr>
              <w:adjustRightInd w:val="0"/>
              <w:snapToGrid w:val="0"/>
              <w:spacing w:line="360" w:lineRule="exact"/>
              <w:jc w:val="center"/>
              <w:rPr>
                <w:color w:val="auto"/>
                <w:sz w:val="24"/>
                <w:szCs w:val="24"/>
              </w:rPr>
            </w:pPr>
            <w:r>
              <w:rPr>
                <w:color w:val="auto"/>
                <w:sz w:val="24"/>
                <w:szCs w:val="24"/>
              </w:rPr>
              <w:t>地理坐标</w:t>
            </w:r>
          </w:p>
        </w:tc>
        <w:tc>
          <w:tcPr>
            <w:tcW w:w="4252" w:type="pct"/>
            <w:gridSpan w:val="3"/>
            <w:noWrap w:val="0"/>
            <w:vAlign w:val="center"/>
          </w:tcPr>
          <w:p w14:paraId="2A3B2E89">
            <w:pPr>
              <w:spacing w:line="360" w:lineRule="exact"/>
              <w:jc w:val="center"/>
              <w:rPr>
                <w:color w:val="auto"/>
                <w:sz w:val="24"/>
                <w:szCs w:val="24"/>
              </w:rPr>
            </w:pPr>
            <w:r>
              <w:rPr>
                <w:color w:val="auto"/>
                <w:sz w:val="24"/>
                <w:szCs w:val="24"/>
              </w:rPr>
              <w:t>（</w:t>
            </w:r>
            <w:r>
              <w:rPr>
                <w:color w:val="auto"/>
                <w:sz w:val="24"/>
                <w:szCs w:val="24"/>
                <w:u w:val="single"/>
              </w:rPr>
              <w:t xml:space="preserve"> 119</w:t>
            </w:r>
            <w:r>
              <w:rPr>
                <w:color w:val="auto"/>
                <w:sz w:val="24"/>
                <w:szCs w:val="24"/>
              </w:rPr>
              <w:t>度</w:t>
            </w:r>
            <w:r>
              <w:rPr>
                <w:color w:val="auto"/>
                <w:sz w:val="24"/>
                <w:szCs w:val="24"/>
                <w:u w:val="single"/>
              </w:rPr>
              <w:t xml:space="preserve"> </w:t>
            </w:r>
            <w:r>
              <w:rPr>
                <w:rFonts w:hint="eastAsia"/>
                <w:color w:val="auto"/>
                <w:sz w:val="24"/>
                <w:szCs w:val="24"/>
                <w:u w:val="single"/>
              </w:rPr>
              <w:t>3</w:t>
            </w:r>
            <w:r>
              <w:rPr>
                <w:rFonts w:hint="eastAsia"/>
                <w:color w:val="auto"/>
                <w:sz w:val="24"/>
                <w:szCs w:val="24"/>
                <w:u w:val="single"/>
                <w:lang w:val="en-US" w:eastAsia="zh-CN"/>
              </w:rPr>
              <w:t>3</w:t>
            </w:r>
            <w:r>
              <w:rPr>
                <w:color w:val="auto"/>
                <w:sz w:val="24"/>
                <w:szCs w:val="24"/>
                <w:u w:val="single"/>
              </w:rPr>
              <w:t xml:space="preserve"> </w:t>
            </w:r>
            <w:r>
              <w:rPr>
                <w:color w:val="auto"/>
                <w:sz w:val="24"/>
                <w:szCs w:val="24"/>
              </w:rPr>
              <w:t>分</w:t>
            </w:r>
            <w:r>
              <w:rPr>
                <w:color w:val="auto"/>
                <w:sz w:val="24"/>
                <w:szCs w:val="24"/>
                <w:u w:val="single"/>
              </w:rPr>
              <w:t xml:space="preserve"> </w:t>
            </w:r>
            <w:r>
              <w:rPr>
                <w:rFonts w:hint="eastAsia"/>
                <w:color w:val="auto"/>
                <w:sz w:val="24"/>
                <w:szCs w:val="24"/>
                <w:u w:val="single"/>
                <w:lang w:val="en-US" w:eastAsia="zh-CN"/>
              </w:rPr>
              <w:t>59.88</w:t>
            </w:r>
            <w:r>
              <w:rPr>
                <w:color w:val="auto"/>
                <w:sz w:val="24"/>
                <w:szCs w:val="24"/>
                <w:u w:val="single"/>
              </w:rPr>
              <w:t xml:space="preserve"> </w:t>
            </w:r>
            <w:r>
              <w:rPr>
                <w:color w:val="auto"/>
                <w:sz w:val="24"/>
                <w:szCs w:val="24"/>
              </w:rPr>
              <w:t>秒，</w:t>
            </w:r>
            <w:r>
              <w:rPr>
                <w:color w:val="auto"/>
                <w:sz w:val="24"/>
                <w:szCs w:val="24"/>
                <w:u w:val="single"/>
              </w:rPr>
              <w:t xml:space="preserve"> 31</w:t>
            </w:r>
            <w:r>
              <w:rPr>
                <w:color w:val="auto"/>
                <w:sz w:val="24"/>
                <w:szCs w:val="24"/>
              </w:rPr>
              <w:t>度</w:t>
            </w:r>
            <w:r>
              <w:rPr>
                <w:color w:val="auto"/>
                <w:sz w:val="24"/>
                <w:szCs w:val="24"/>
                <w:u w:val="single"/>
              </w:rPr>
              <w:t xml:space="preserve"> 4</w:t>
            </w:r>
            <w:r>
              <w:rPr>
                <w:rFonts w:hint="eastAsia"/>
                <w:color w:val="auto"/>
                <w:sz w:val="24"/>
                <w:szCs w:val="24"/>
                <w:u w:val="single"/>
                <w:lang w:val="en-US" w:eastAsia="zh-CN"/>
              </w:rPr>
              <w:t>5</w:t>
            </w:r>
            <w:r>
              <w:rPr>
                <w:color w:val="auto"/>
                <w:sz w:val="24"/>
                <w:szCs w:val="24"/>
                <w:u w:val="single"/>
              </w:rPr>
              <w:t xml:space="preserve"> </w:t>
            </w:r>
            <w:r>
              <w:rPr>
                <w:color w:val="auto"/>
                <w:sz w:val="24"/>
                <w:szCs w:val="24"/>
              </w:rPr>
              <w:t>分</w:t>
            </w:r>
            <w:r>
              <w:rPr>
                <w:color w:val="auto"/>
                <w:sz w:val="24"/>
                <w:szCs w:val="24"/>
                <w:u w:val="single"/>
              </w:rPr>
              <w:t xml:space="preserve"> </w:t>
            </w:r>
            <w:r>
              <w:rPr>
                <w:rFonts w:hint="eastAsia"/>
                <w:color w:val="auto"/>
                <w:sz w:val="24"/>
                <w:szCs w:val="24"/>
                <w:u w:val="single"/>
              </w:rPr>
              <w:t>4</w:t>
            </w:r>
            <w:r>
              <w:rPr>
                <w:rFonts w:hint="eastAsia"/>
                <w:color w:val="auto"/>
                <w:sz w:val="24"/>
                <w:szCs w:val="24"/>
                <w:u w:val="single"/>
                <w:lang w:val="en-US" w:eastAsia="zh-CN"/>
              </w:rPr>
              <w:t>9</w:t>
            </w:r>
            <w:r>
              <w:rPr>
                <w:rFonts w:hint="eastAsia"/>
                <w:color w:val="auto"/>
                <w:sz w:val="24"/>
                <w:szCs w:val="24"/>
                <w:u w:val="single"/>
              </w:rPr>
              <w:t>.</w:t>
            </w:r>
            <w:r>
              <w:rPr>
                <w:rFonts w:hint="eastAsia"/>
                <w:color w:val="auto"/>
                <w:sz w:val="24"/>
                <w:szCs w:val="24"/>
                <w:u w:val="single"/>
                <w:lang w:val="en-US" w:eastAsia="zh-CN"/>
              </w:rPr>
              <w:t>81</w:t>
            </w:r>
            <w:r>
              <w:rPr>
                <w:color w:val="auto"/>
                <w:sz w:val="24"/>
                <w:szCs w:val="24"/>
                <w:u w:val="single"/>
              </w:rPr>
              <w:t xml:space="preserve"> </w:t>
            </w:r>
            <w:r>
              <w:rPr>
                <w:color w:val="auto"/>
                <w:sz w:val="24"/>
                <w:szCs w:val="24"/>
              </w:rPr>
              <w:t>秒）</w:t>
            </w:r>
          </w:p>
        </w:tc>
      </w:tr>
      <w:tr w14:paraId="048D4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1092AC27">
            <w:pPr>
              <w:adjustRightInd w:val="0"/>
              <w:snapToGrid w:val="0"/>
              <w:spacing w:line="360" w:lineRule="exact"/>
              <w:jc w:val="center"/>
              <w:rPr>
                <w:color w:val="auto"/>
                <w:sz w:val="24"/>
                <w:szCs w:val="24"/>
              </w:rPr>
            </w:pPr>
            <w:r>
              <w:rPr>
                <w:color w:val="auto"/>
                <w:sz w:val="24"/>
                <w:szCs w:val="24"/>
              </w:rPr>
              <w:t>国民经济</w:t>
            </w:r>
          </w:p>
          <w:p w14:paraId="500FC8A0">
            <w:pPr>
              <w:adjustRightInd w:val="0"/>
              <w:snapToGrid w:val="0"/>
              <w:spacing w:line="360" w:lineRule="exact"/>
              <w:jc w:val="center"/>
              <w:rPr>
                <w:color w:val="auto"/>
                <w:sz w:val="24"/>
                <w:szCs w:val="24"/>
              </w:rPr>
            </w:pPr>
            <w:r>
              <w:rPr>
                <w:color w:val="auto"/>
                <w:sz w:val="24"/>
                <w:szCs w:val="24"/>
              </w:rPr>
              <w:t>行业类别</w:t>
            </w:r>
          </w:p>
        </w:tc>
        <w:tc>
          <w:tcPr>
            <w:tcW w:w="1502" w:type="pct"/>
            <w:noWrap w:val="0"/>
            <w:vAlign w:val="center"/>
          </w:tcPr>
          <w:p w14:paraId="174832BE">
            <w:pPr>
              <w:adjustRightInd w:val="0"/>
              <w:snapToGrid w:val="0"/>
              <w:spacing w:line="360" w:lineRule="exact"/>
              <w:jc w:val="center"/>
              <w:rPr>
                <w:rFonts w:hint="eastAsia" w:eastAsia="宋体"/>
                <w:color w:val="auto"/>
                <w:sz w:val="24"/>
                <w:szCs w:val="24"/>
                <w:lang w:eastAsia="zh-CN"/>
              </w:rPr>
            </w:pPr>
            <w:r>
              <w:rPr>
                <w:rFonts w:hint="eastAsia"/>
                <w:color w:val="auto"/>
                <w:sz w:val="24"/>
                <w:szCs w:val="24"/>
                <w:lang w:eastAsia="zh-CN"/>
              </w:rPr>
              <w:t>M7320 工程和技术研究和试验发展</w:t>
            </w:r>
          </w:p>
        </w:tc>
        <w:tc>
          <w:tcPr>
            <w:tcW w:w="991" w:type="pct"/>
            <w:noWrap w:val="0"/>
            <w:vAlign w:val="center"/>
          </w:tcPr>
          <w:p w14:paraId="3C74BB71">
            <w:pPr>
              <w:adjustRightInd w:val="0"/>
              <w:snapToGrid w:val="0"/>
              <w:spacing w:line="360" w:lineRule="exact"/>
              <w:jc w:val="center"/>
              <w:rPr>
                <w:color w:val="auto"/>
                <w:sz w:val="24"/>
                <w:szCs w:val="24"/>
              </w:rPr>
            </w:pPr>
            <w:bookmarkStart w:id="5" w:name="_Hlk49843745"/>
            <w:r>
              <w:rPr>
                <w:color w:val="auto"/>
                <w:sz w:val="24"/>
                <w:szCs w:val="24"/>
              </w:rPr>
              <w:t>建设项目</w:t>
            </w:r>
          </w:p>
          <w:p w14:paraId="13BFF8D0">
            <w:pPr>
              <w:adjustRightInd w:val="0"/>
              <w:snapToGrid w:val="0"/>
              <w:spacing w:line="360" w:lineRule="exact"/>
              <w:jc w:val="center"/>
              <w:rPr>
                <w:color w:val="auto"/>
                <w:sz w:val="24"/>
                <w:szCs w:val="24"/>
              </w:rPr>
            </w:pPr>
            <w:r>
              <w:rPr>
                <w:color w:val="auto"/>
                <w:sz w:val="24"/>
                <w:szCs w:val="24"/>
              </w:rPr>
              <w:t>行业类别</w:t>
            </w:r>
            <w:bookmarkEnd w:id="5"/>
          </w:p>
        </w:tc>
        <w:tc>
          <w:tcPr>
            <w:tcW w:w="1758" w:type="pct"/>
            <w:noWrap w:val="0"/>
            <w:vAlign w:val="center"/>
          </w:tcPr>
          <w:p w14:paraId="6A0AB7D3">
            <w:pPr>
              <w:adjustRightInd w:val="0"/>
              <w:snapToGrid w:val="0"/>
              <w:spacing w:line="360" w:lineRule="exact"/>
              <w:jc w:val="center"/>
              <w:rPr>
                <w:rFonts w:hint="eastAsia" w:eastAsia="宋体"/>
                <w:color w:val="auto"/>
                <w:sz w:val="24"/>
                <w:szCs w:val="24"/>
                <w:lang w:eastAsia="zh-CN"/>
              </w:rPr>
            </w:pPr>
            <w:r>
              <w:rPr>
                <w:rFonts w:hint="eastAsia"/>
                <w:color w:val="auto"/>
                <w:sz w:val="24"/>
                <w:szCs w:val="24"/>
                <w:lang w:eastAsia="zh-CN"/>
              </w:rPr>
              <w:t>四十五、研究和试验发展98专业试验、研发（试验）基地</w:t>
            </w:r>
          </w:p>
        </w:tc>
      </w:tr>
      <w:tr w14:paraId="51F1E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074E5D50">
            <w:pPr>
              <w:adjustRightInd w:val="0"/>
              <w:snapToGrid w:val="0"/>
              <w:spacing w:line="360" w:lineRule="exact"/>
              <w:jc w:val="center"/>
              <w:rPr>
                <w:color w:val="auto"/>
                <w:sz w:val="24"/>
                <w:szCs w:val="24"/>
              </w:rPr>
            </w:pPr>
            <w:r>
              <w:rPr>
                <w:color w:val="auto"/>
                <w:sz w:val="24"/>
                <w:szCs w:val="24"/>
              </w:rPr>
              <w:t>建设性质</w:t>
            </w:r>
          </w:p>
        </w:tc>
        <w:tc>
          <w:tcPr>
            <w:tcW w:w="1502" w:type="pct"/>
            <w:noWrap w:val="0"/>
            <w:vAlign w:val="center"/>
          </w:tcPr>
          <w:p w14:paraId="6D4D8369">
            <w:pPr>
              <w:spacing w:line="360" w:lineRule="exact"/>
              <w:jc w:val="left"/>
              <w:rPr>
                <w:color w:val="auto"/>
                <w:sz w:val="24"/>
                <w:szCs w:val="24"/>
              </w:rPr>
            </w:pPr>
            <w:r>
              <w:rPr>
                <w:rFonts w:hint="eastAsia"/>
                <w:color w:val="auto"/>
                <w:sz w:val="24"/>
                <w:szCs w:val="24"/>
                <w:lang w:eastAsia="zh-CN"/>
              </w:rPr>
              <w:t>☑</w:t>
            </w:r>
            <w:r>
              <w:rPr>
                <w:color w:val="auto"/>
                <w:sz w:val="24"/>
                <w:szCs w:val="24"/>
              </w:rPr>
              <w:t>新建（迁建）</w:t>
            </w:r>
          </w:p>
          <w:p w14:paraId="4C214FC5">
            <w:pPr>
              <w:spacing w:line="360" w:lineRule="exact"/>
              <w:jc w:val="left"/>
              <w:rPr>
                <w:color w:val="auto"/>
                <w:sz w:val="24"/>
                <w:szCs w:val="24"/>
              </w:rPr>
            </w:pPr>
            <w:r>
              <w:rPr>
                <w:rFonts w:hint="eastAsia"/>
                <w:color w:val="auto"/>
                <w:sz w:val="24"/>
                <w:szCs w:val="24"/>
                <w:lang w:eastAsia="zh-CN"/>
              </w:rPr>
              <w:t>□</w:t>
            </w:r>
            <w:r>
              <w:rPr>
                <w:color w:val="auto"/>
                <w:sz w:val="24"/>
                <w:szCs w:val="24"/>
              </w:rPr>
              <w:t>改建</w:t>
            </w:r>
          </w:p>
          <w:p w14:paraId="7DE5CE14">
            <w:pPr>
              <w:spacing w:line="360" w:lineRule="exact"/>
              <w:jc w:val="left"/>
              <w:rPr>
                <w:color w:val="auto"/>
                <w:sz w:val="24"/>
                <w:szCs w:val="24"/>
              </w:rPr>
            </w:pPr>
            <w:r>
              <w:rPr>
                <w:rFonts w:hint="eastAsia"/>
                <w:color w:val="auto"/>
                <w:sz w:val="24"/>
                <w:szCs w:val="24"/>
                <w:lang w:eastAsia="zh-CN"/>
              </w:rPr>
              <w:t>□</w:t>
            </w:r>
            <w:r>
              <w:rPr>
                <w:color w:val="auto"/>
                <w:sz w:val="24"/>
                <w:szCs w:val="24"/>
              </w:rPr>
              <w:t>扩建</w:t>
            </w:r>
          </w:p>
          <w:p w14:paraId="748BA713">
            <w:pPr>
              <w:spacing w:line="360" w:lineRule="exact"/>
              <w:jc w:val="left"/>
              <w:rPr>
                <w:color w:val="auto"/>
                <w:sz w:val="24"/>
                <w:szCs w:val="24"/>
              </w:rPr>
            </w:pPr>
            <w:r>
              <w:rPr>
                <w:rFonts w:hint="eastAsia"/>
                <w:color w:val="auto"/>
                <w:sz w:val="24"/>
                <w:szCs w:val="24"/>
              </w:rPr>
              <w:t>□</w:t>
            </w:r>
            <w:r>
              <w:rPr>
                <w:color w:val="auto"/>
                <w:sz w:val="24"/>
                <w:szCs w:val="24"/>
              </w:rPr>
              <w:t>技术改造</w:t>
            </w:r>
          </w:p>
        </w:tc>
        <w:tc>
          <w:tcPr>
            <w:tcW w:w="991" w:type="pct"/>
            <w:noWrap w:val="0"/>
            <w:vAlign w:val="center"/>
          </w:tcPr>
          <w:p w14:paraId="48020D8A">
            <w:pPr>
              <w:adjustRightInd w:val="0"/>
              <w:snapToGrid w:val="0"/>
              <w:spacing w:line="360" w:lineRule="exact"/>
              <w:jc w:val="center"/>
              <w:rPr>
                <w:color w:val="auto"/>
                <w:sz w:val="24"/>
                <w:szCs w:val="24"/>
              </w:rPr>
            </w:pPr>
            <w:r>
              <w:rPr>
                <w:color w:val="auto"/>
                <w:sz w:val="24"/>
                <w:szCs w:val="24"/>
              </w:rPr>
              <w:t>建设项目</w:t>
            </w:r>
          </w:p>
          <w:p w14:paraId="389014D1">
            <w:pPr>
              <w:adjustRightInd w:val="0"/>
              <w:snapToGrid w:val="0"/>
              <w:spacing w:line="360" w:lineRule="exact"/>
              <w:jc w:val="center"/>
              <w:rPr>
                <w:color w:val="auto"/>
                <w:sz w:val="24"/>
                <w:szCs w:val="24"/>
              </w:rPr>
            </w:pPr>
            <w:r>
              <w:rPr>
                <w:color w:val="auto"/>
                <w:sz w:val="24"/>
                <w:szCs w:val="24"/>
              </w:rPr>
              <w:t>申报情形</w:t>
            </w:r>
          </w:p>
        </w:tc>
        <w:tc>
          <w:tcPr>
            <w:tcW w:w="1758" w:type="pct"/>
            <w:noWrap w:val="0"/>
            <w:vAlign w:val="center"/>
          </w:tcPr>
          <w:p w14:paraId="28022A48">
            <w:pPr>
              <w:spacing w:line="360" w:lineRule="exact"/>
              <w:jc w:val="left"/>
              <w:rPr>
                <w:color w:val="auto"/>
                <w:sz w:val="24"/>
                <w:szCs w:val="24"/>
              </w:rPr>
            </w:pPr>
            <w:r>
              <w:rPr>
                <w:color w:val="auto"/>
                <w:sz w:val="24"/>
                <w:szCs w:val="24"/>
              </w:rPr>
              <w:t xml:space="preserve">☑首次申报项目             </w:t>
            </w:r>
          </w:p>
          <w:p w14:paraId="4B85468B">
            <w:pPr>
              <w:spacing w:line="360" w:lineRule="exact"/>
              <w:jc w:val="left"/>
              <w:rPr>
                <w:color w:val="auto"/>
                <w:sz w:val="24"/>
                <w:szCs w:val="24"/>
              </w:rPr>
            </w:pPr>
            <w:r>
              <w:rPr>
                <w:color w:val="auto"/>
                <w:sz w:val="24"/>
                <w:szCs w:val="24"/>
              </w:rPr>
              <w:sym w:font="Wingdings 2" w:char="00A3"/>
            </w:r>
            <w:r>
              <w:rPr>
                <w:color w:val="auto"/>
                <w:sz w:val="24"/>
                <w:szCs w:val="24"/>
              </w:rPr>
              <w:t>不予批准后再次申报项目</w:t>
            </w:r>
          </w:p>
          <w:p w14:paraId="6823E28A">
            <w:pPr>
              <w:spacing w:line="360" w:lineRule="exact"/>
              <w:jc w:val="left"/>
              <w:rPr>
                <w:color w:val="auto"/>
                <w:sz w:val="24"/>
                <w:szCs w:val="24"/>
              </w:rPr>
            </w:pPr>
            <w:r>
              <w:rPr>
                <w:color w:val="auto"/>
                <w:sz w:val="24"/>
                <w:szCs w:val="24"/>
              </w:rPr>
              <w:sym w:font="Wingdings 2" w:char="00A3"/>
            </w:r>
            <w:r>
              <w:rPr>
                <w:color w:val="auto"/>
                <w:sz w:val="24"/>
                <w:szCs w:val="24"/>
              </w:rPr>
              <w:t xml:space="preserve">超五年重新审核项目     </w:t>
            </w:r>
          </w:p>
          <w:p w14:paraId="26A0C60D">
            <w:pPr>
              <w:spacing w:line="360" w:lineRule="exact"/>
              <w:jc w:val="left"/>
              <w:rPr>
                <w:color w:val="auto"/>
                <w:sz w:val="24"/>
                <w:szCs w:val="24"/>
              </w:rPr>
            </w:pPr>
            <w:r>
              <w:rPr>
                <w:color w:val="auto"/>
                <w:sz w:val="24"/>
                <w:szCs w:val="24"/>
              </w:rPr>
              <w:sym w:font="Wingdings 2" w:char="00A3"/>
            </w:r>
            <w:r>
              <w:rPr>
                <w:color w:val="auto"/>
                <w:sz w:val="24"/>
                <w:szCs w:val="24"/>
              </w:rPr>
              <w:t>重大变动重新报批项目</w:t>
            </w:r>
          </w:p>
        </w:tc>
      </w:tr>
      <w:tr w14:paraId="3A155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507FA517">
            <w:pPr>
              <w:adjustRightInd w:val="0"/>
              <w:snapToGrid w:val="0"/>
              <w:spacing w:line="360" w:lineRule="exact"/>
              <w:jc w:val="center"/>
              <w:rPr>
                <w:color w:val="auto"/>
                <w:sz w:val="24"/>
                <w:szCs w:val="24"/>
              </w:rPr>
            </w:pPr>
            <w:r>
              <w:rPr>
                <w:color w:val="auto"/>
                <w:sz w:val="24"/>
                <w:szCs w:val="24"/>
              </w:rPr>
              <w:t>项目审批（核准/</w:t>
            </w:r>
          </w:p>
          <w:p w14:paraId="76882550">
            <w:pPr>
              <w:adjustRightInd w:val="0"/>
              <w:snapToGrid w:val="0"/>
              <w:spacing w:line="360" w:lineRule="exact"/>
              <w:jc w:val="center"/>
              <w:rPr>
                <w:color w:val="auto"/>
                <w:sz w:val="24"/>
                <w:szCs w:val="24"/>
              </w:rPr>
            </w:pPr>
            <w:r>
              <w:rPr>
                <w:color w:val="auto"/>
                <w:sz w:val="24"/>
                <w:szCs w:val="24"/>
              </w:rPr>
              <w:t>备案）部门（选填）</w:t>
            </w:r>
          </w:p>
        </w:tc>
        <w:tc>
          <w:tcPr>
            <w:tcW w:w="1502" w:type="pct"/>
            <w:noWrap w:val="0"/>
            <w:vAlign w:val="center"/>
          </w:tcPr>
          <w:p w14:paraId="73651188">
            <w:pPr>
              <w:adjustRightInd w:val="0"/>
              <w:snapToGrid w:val="0"/>
              <w:spacing w:line="360" w:lineRule="exact"/>
              <w:jc w:val="center"/>
              <w:rPr>
                <w:rFonts w:hint="eastAsia"/>
                <w:color w:val="auto"/>
                <w:sz w:val="24"/>
                <w:szCs w:val="24"/>
              </w:rPr>
            </w:pPr>
            <w:r>
              <w:rPr>
                <w:color w:val="auto"/>
                <w:sz w:val="24"/>
                <w:szCs w:val="24"/>
              </w:rPr>
              <w:t>江苏</w:t>
            </w:r>
            <w:r>
              <w:rPr>
                <w:rFonts w:hint="eastAsia"/>
                <w:color w:val="auto"/>
                <w:sz w:val="24"/>
                <w:szCs w:val="24"/>
              </w:rPr>
              <w:t>金坛经济开发区</w:t>
            </w:r>
          </w:p>
          <w:p w14:paraId="18943431">
            <w:pPr>
              <w:adjustRightInd w:val="0"/>
              <w:snapToGrid w:val="0"/>
              <w:spacing w:line="360" w:lineRule="exact"/>
              <w:jc w:val="center"/>
              <w:rPr>
                <w:color w:val="auto"/>
                <w:sz w:val="24"/>
                <w:szCs w:val="24"/>
              </w:rPr>
            </w:pPr>
            <w:r>
              <w:rPr>
                <w:rFonts w:hint="eastAsia"/>
                <w:color w:val="auto"/>
                <w:sz w:val="24"/>
                <w:szCs w:val="24"/>
              </w:rPr>
              <w:t>经济发展局</w:t>
            </w:r>
          </w:p>
        </w:tc>
        <w:tc>
          <w:tcPr>
            <w:tcW w:w="991" w:type="pct"/>
            <w:noWrap w:val="0"/>
            <w:vAlign w:val="center"/>
          </w:tcPr>
          <w:p w14:paraId="48B42D3B">
            <w:pPr>
              <w:adjustRightInd w:val="0"/>
              <w:snapToGrid w:val="0"/>
              <w:spacing w:line="360" w:lineRule="exact"/>
              <w:jc w:val="center"/>
              <w:rPr>
                <w:color w:val="auto"/>
                <w:sz w:val="24"/>
                <w:szCs w:val="24"/>
              </w:rPr>
            </w:pPr>
            <w:r>
              <w:rPr>
                <w:color w:val="auto"/>
                <w:sz w:val="24"/>
                <w:szCs w:val="24"/>
              </w:rPr>
              <w:t>项目审批（核准/</w:t>
            </w:r>
          </w:p>
          <w:p w14:paraId="376C6BAD">
            <w:pPr>
              <w:adjustRightInd w:val="0"/>
              <w:snapToGrid w:val="0"/>
              <w:spacing w:line="360" w:lineRule="exact"/>
              <w:jc w:val="center"/>
              <w:rPr>
                <w:color w:val="auto"/>
                <w:sz w:val="24"/>
                <w:szCs w:val="24"/>
              </w:rPr>
            </w:pPr>
            <w:r>
              <w:rPr>
                <w:color w:val="auto"/>
                <w:sz w:val="24"/>
                <w:szCs w:val="24"/>
              </w:rPr>
              <w:t>备案）文号（选填）</w:t>
            </w:r>
          </w:p>
        </w:tc>
        <w:tc>
          <w:tcPr>
            <w:tcW w:w="1758" w:type="pct"/>
            <w:noWrap w:val="0"/>
            <w:vAlign w:val="center"/>
          </w:tcPr>
          <w:p w14:paraId="0F0CDEC3">
            <w:pPr>
              <w:adjustRightInd w:val="0"/>
              <w:snapToGrid w:val="0"/>
              <w:spacing w:line="360" w:lineRule="exact"/>
              <w:jc w:val="center"/>
              <w:rPr>
                <w:color w:val="auto"/>
                <w:sz w:val="24"/>
                <w:szCs w:val="24"/>
              </w:rPr>
            </w:pPr>
            <w:r>
              <w:rPr>
                <w:rFonts w:hint="eastAsia"/>
                <w:color w:val="auto"/>
                <w:sz w:val="24"/>
                <w:szCs w:val="24"/>
              </w:rPr>
              <w:t>坛开经发备字</w:t>
            </w:r>
            <w:r>
              <w:rPr>
                <w:color w:val="auto"/>
                <w:sz w:val="24"/>
                <w:szCs w:val="24"/>
              </w:rPr>
              <w:t>〔202</w:t>
            </w:r>
            <w:r>
              <w:rPr>
                <w:rFonts w:hint="eastAsia"/>
                <w:color w:val="auto"/>
                <w:sz w:val="24"/>
                <w:szCs w:val="24"/>
              </w:rPr>
              <w:t>4</w:t>
            </w:r>
            <w:r>
              <w:rPr>
                <w:color w:val="auto"/>
                <w:sz w:val="24"/>
                <w:szCs w:val="24"/>
              </w:rPr>
              <w:t>〕</w:t>
            </w:r>
            <w:r>
              <w:rPr>
                <w:rFonts w:hint="eastAsia"/>
                <w:color w:val="auto"/>
                <w:sz w:val="24"/>
                <w:szCs w:val="24"/>
                <w:lang w:val="en-US" w:eastAsia="zh-CN"/>
              </w:rPr>
              <w:t>268</w:t>
            </w:r>
            <w:r>
              <w:rPr>
                <w:color w:val="auto"/>
                <w:sz w:val="24"/>
                <w:szCs w:val="24"/>
              </w:rPr>
              <w:t>号</w:t>
            </w:r>
          </w:p>
        </w:tc>
      </w:tr>
      <w:tr w14:paraId="2B9CE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4CF61ECE">
            <w:pPr>
              <w:adjustRightInd w:val="0"/>
              <w:snapToGrid w:val="0"/>
              <w:spacing w:line="360" w:lineRule="exact"/>
              <w:jc w:val="center"/>
              <w:rPr>
                <w:color w:val="auto"/>
                <w:sz w:val="24"/>
                <w:szCs w:val="24"/>
              </w:rPr>
            </w:pPr>
            <w:r>
              <w:rPr>
                <w:color w:val="auto"/>
                <w:sz w:val="24"/>
                <w:szCs w:val="24"/>
              </w:rPr>
              <w:t>总投资（万元）</w:t>
            </w:r>
          </w:p>
        </w:tc>
        <w:tc>
          <w:tcPr>
            <w:tcW w:w="1502" w:type="pct"/>
            <w:noWrap w:val="0"/>
            <w:vAlign w:val="center"/>
          </w:tcPr>
          <w:p w14:paraId="19A0C8C7">
            <w:pPr>
              <w:adjustRightInd w:val="0"/>
              <w:snapToGrid w:val="0"/>
              <w:spacing w:line="360" w:lineRule="exact"/>
              <w:jc w:val="center"/>
              <w:rPr>
                <w:rFonts w:hint="default" w:eastAsia="宋体"/>
                <w:color w:val="auto"/>
                <w:sz w:val="24"/>
                <w:szCs w:val="24"/>
                <w:lang w:val="en-US" w:eastAsia="zh-CN"/>
              </w:rPr>
            </w:pPr>
            <w:r>
              <w:rPr>
                <w:rFonts w:hint="eastAsia"/>
                <w:color w:val="auto"/>
                <w:sz w:val="24"/>
                <w:szCs w:val="24"/>
                <w:lang w:val="en-US" w:eastAsia="zh-CN"/>
              </w:rPr>
              <w:t>3000</w:t>
            </w:r>
          </w:p>
        </w:tc>
        <w:tc>
          <w:tcPr>
            <w:tcW w:w="991" w:type="pct"/>
            <w:noWrap w:val="0"/>
            <w:tcMar>
              <w:top w:w="16" w:type="dxa"/>
              <w:left w:w="16" w:type="dxa"/>
              <w:right w:w="16" w:type="dxa"/>
            </w:tcMar>
            <w:vAlign w:val="center"/>
          </w:tcPr>
          <w:p w14:paraId="07D8C229">
            <w:pPr>
              <w:adjustRightInd w:val="0"/>
              <w:snapToGrid w:val="0"/>
              <w:spacing w:line="360" w:lineRule="exact"/>
              <w:jc w:val="center"/>
              <w:rPr>
                <w:color w:val="auto"/>
                <w:sz w:val="24"/>
                <w:szCs w:val="24"/>
              </w:rPr>
            </w:pPr>
            <w:r>
              <w:rPr>
                <w:color w:val="auto"/>
                <w:sz w:val="24"/>
                <w:szCs w:val="24"/>
              </w:rPr>
              <w:t>环保投资（万元）</w:t>
            </w:r>
          </w:p>
        </w:tc>
        <w:tc>
          <w:tcPr>
            <w:tcW w:w="1758" w:type="pct"/>
            <w:noWrap w:val="0"/>
            <w:vAlign w:val="center"/>
          </w:tcPr>
          <w:p w14:paraId="3E1A70F2">
            <w:pPr>
              <w:adjustRightInd w:val="0"/>
              <w:snapToGrid w:val="0"/>
              <w:spacing w:line="360" w:lineRule="exact"/>
              <w:jc w:val="center"/>
              <w:rPr>
                <w:rFonts w:hint="default" w:eastAsia="宋体"/>
                <w:color w:val="auto"/>
                <w:sz w:val="24"/>
                <w:szCs w:val="24"/>
                <w:lang w:val="en-US" w:eastAsia="zh-CN"/>
              </w:rPr>
            </w:pPr>
            <w:r>
              <w:rPr>
                <w:rFonts w:hint="eastAsia"/>
                <w:color w:val="auto"/>
                <w:sz w:val="24"/>
                <w:szCs w:val="24"/>
                <w:lang w:val="en-US" w:eastAsia="zh-CN"/>
              </w:rPr>
              <w:t>30</w:t>
            </w:r>
          </w:p>
        </w:tc>
      </w:tr>
      <w:tr w14:paraId="5D24B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2BA9A791">
            <w:pPr>
              <w:adjustRightInd w:val="0"/>
              <w:snapToGrid w:val="0"/>
              <w:spacing w:line="360" w:lineRule="exact"/>
              <w:jc w:val="center"/>
              <w:rPr>
                <w:color w:val="auto"/>
                <w:sz w:val="24"/>
                <w:szCs w:val="24"/>
              </w:rPr>
            </w:pPr>
            <w:r>
              <w:rPr>
                <w:color w:val="auto"/>
                <w:sz w:val="24"/>
                <w:szCs w:val="24"/>
              </w:rPr>
              <w:t>环保投资占比（%）</w:t>
            </w:r>
          </w:p>
        </w:tc>
        <w:tc>
          <w:tcPr>
            <w:tcW w:w="1502" w:type="pct"/>
            <w:noWrap w:val="0"/>
            <w:vAlign w:val="center"/>
          </w:tcPr>
          <w:p w14:paraId="267397AE">
            <w:pPr>
              <w:adjustRightInd w:val="0"/>
              <w:snapToGrid w:val="0"/>
              <w:spacing w:line="360" w:lineRule="exact"/>
              <w:jc w:val="center"/>
              <w:rPr>
                <w:rFonts w:hint="default" w:eastAsia="宋体"/>
                <w:color w:val="auto"/>
                <w:sz w:val="24"/>
                <w:szCs w:val="24"/>
                <w:lang w:val="en-US" w:eastAsia="zh-CN"/>
              </w:rPr>
            </w:pPr>
            <w:r>
              <w:rPr>
                <w:rFonts w:hint="eastAsia"/>
                <w:color w:val="auto"/>
                <w:sz w:val="24"/>
                <w:szCs w:val="24"/>
                <w:lang w:val="en-US" w:eastAsia="zh-CN"/>
              </w:rPr>
              <w:t>1</w:t>
            </w:r>
          </w:p>
        </w:tc>
        <w:tc>
          <w:tcPr>
            <w:tcW w:w="991" w:type="pct"/>
            <w:noWrap w:val="0"/>
            <w:tcMar>
              <w:top w:w="16" w:type="dxa"/>
              <w:left w:w="16" w:type="dxa"/>
              <w:right w:w="16" w:type="dxa"/>
            </w:tcMar>
            <w:vAlign w:val="center"/>
          </w:tcPr>
          <w:p w14:paraId="79CBB638">
            <w:pPr>
              <w:adjustRightInd w:val="0"/>
              <w:snapToGrid w:val="0"/>
              <w:spacing w:line="360" w:lineRule="exact"/>
              <w:jc w:val="center"/>
              <w:rPr>
                <w:color w:val="auto"/>
                <w:sz w:val="24"/>
                <w:szCs w:val="24"/>
              </w:rPr>
            </w:pPr>
            <w:r>
              <w:rPr>
                <w:color w:val="auto"/>
                <w:sz w:val="24"/>
                <w:szCs w:val="24"/>
              </w:rPr>
              <w:t>施工工期</w:t>
            </w:r>
          </w:p>
        </w:tc>
        <w:tc>
          <w:tcPr>
            <w:tcW w:w="1758" w:type="pct"/>
            <w:noWrap w:val="0"/>
            <w:vAlign w:val="center"/>
          </w:tcPr>
          <w:p w14:paraId="12D06EEC">
            <w:pPr>
              <w:adjustRightInd w:val="0"/>
              <w:snapToGrid w:val="0"/>
              <w:spacing w:line="360" w:lineRule="exact"/>
              <w:jc w:val="center"/>
              <w:rPr>
                <w:color w:val="auto"/>
                <w:sz w:val="24"/>
                <w:szCs w:val="24"/>
              </w:rPr>
            </w:pPr>
            <w:r>
              <w:rPr>
                <w:color w:val="auto"/>
                <w:sz w:val="24"/>
                <w:szCs w:val="24"/>
              </w:rPr>
              <w:t>6个月</w:t>
            </w:r>
          </w:p>
        </w:tc>
      </w:tr>
      <w:tr w14:paraId="0B615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noWrap w:val="0"/>
            <w:tcMar>
              <w:top w:w="16" w:type="dxa"/>
              <w:left w:w="16" w:type="dxa"/>
              <w:right w:w="16" w:type="dxa"/>
            </w:tcMar>
            <w:vAlign w:val="center"/>
          </w:tcPr>
          <w:p w14:paraId="0D4710FD">
            <w:pPr>
              <w:adjustRightInd w:val="0"/>
              <w:snapToGrid w:val="0"/>
              <w:spacing w:line="360" w:lineRule="exact"/>
              <w:jc w:val="center"/>
              <w:rPr>
                <w:color w:val="auto"/>
                <w:sz w:val="24"/>
                <w:szCs w:val="24"/>
              </w:rPr>
            </w:pPr>
            <w:r>
              <w:rPr>
                <w:color w:val="auto"/>
                <w:sz w:val="24"/>
                <w:szCs w:val="24"/>
              </w:rPr>
              <w:t>是否开工建设</w:t>
            </w:r>
          </w:p>
        </w:tc>
        <w:tc>
          <w:tcPr>
            <w:tcW w:w="1502" w:type="pct"/>
            <w:noWrap w:val="0"/>
            <w:vAlign w:val="center"/>
          </w:tcPr>
          <w:p w14:paraId="6B17F355">
            <w:pPr>
              <w:adjustRightInd w:val="0"/>
              <w:snapToGrid w:val="0"/>
              <w:spacing w:line="360" w:lineRule="exact"/>
              <w:rPr>
                <w:color w:val="auto"/>
                <w:sz w:val="24"/>
                <w:szCs w:val="24"/>
              </w:rPr>
            </w:pPr>
            <w:r>
              <w:rPr>
                <w:color w:val="auto"/>
                <w:sz w:val="24"/>
                <w:szCs w:val="24"/>
              </w:rPr>
              <w:t>☑否</w:t>
            </w:r>
          </w:p>
          <w:p w14:paraId="41B8AA2E">
            <w:pPr>
              <w:adjustRightInd w:val="0"/>
              <w:snapToGrid w:val="0"/>
              <w:spacing w:line="360" w:lineRule="exact"/>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991" w:type="pct"/>
            <w:noWrap w:val="0"/>
            <w:tcMar>
              <w:top w:w="16" w:type="dxa"/>
              <w:left w:w="16" w:type="dxa"/>
              <w:right w:w="16" w:type="dxa"/>
            </w:tcMar>
            <w:vAlign w:val="center"/>
          </w:tcPr>
          <w:p w14:paraId="721778C1">
            <w:pPr>
              <w:adjustRightInd w:val="0"/>
              <w:snapToGrid w:val="0"/>
              <w:spacing w:line="360" w:lineRule="exact"/>
              <w:jc w:val="center"/>
              <w:rPr>
                <w:color w:val="auto"/>
                <w:spacing w:val="-6"/>
                <w:sz w:val="24"/>
                <w:szCs w:val="24"/>
              </w:rPr>
            </w:pPr>
            <w:r>
              <w:rPr>
                <w:color w:val="auto"/>
                <w:spacing w:val="-6"/>
                <w:sz w:val="24"/>
                <w:szCs w:val="24"/>
              </w:rPr>
              <w:t>用地（用海）</w:t>
            </w:r>
          </w:p>
          <w:p w14:paraId="11FEBD7E">
            <w:pPr>
              <w:adjustRightInd w:val="0"/>
              <w:snapToGrid w:val="0"/>
              <w:spacing w:line="360" w:lineRule="exact"/>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1758" w:type="pct"/>
            <w:noWrap w:val="0"/>
            <w:vAlign w:val="center"/>
          </w:tcPr>
          <w:p w14:paraId="3F22D06E">
            <w:pPr>
              <w:adjustRightInd w:val="0"/>
              <w:snapToGrid w:val="0"/>
              <w:spacing w:line="360" w:lineRule="exact"/>
              <w:jc w:val="center"/>
              <w:rPr>
                <w:rFonts w:hint="default" w:eastAsia="宋体"/>
                <w:color w:val="auto"/>
                <w:sz w:val="24"/>
                <w:szCs w:val="24"/>
                <w:lang w:val="en-US" w:eastAsia="zh-CN"/>
              </w:rPr>
            </w:pPr>
            <w:r>
              <w:rPr>
                <w:rFonts w:hint="eastAsia"/>
                <w:color w:val="auto"/>
                <w:sz w:val="24"/>
                <w:szCs w:val="24"/>
                <w:lang w:val="en-US" w:eastAsia="zh-CN"/>
              </w:rPr>
              <w:t>156（租用）</w:t>
            </w:r>
          </w:p>
        </w:tc>
      </w:tr>
      <w:tr w14:paraId="448DB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7" w:type="pct"/>
            <w:noWrap w:val="0"/>
            <w:vAlign w:val="center"/>
          </w:tcPr>
          <w:p w14:paraId="5ECEB1E3">
            <w:pPr>
              <w:autoSpaceDE w:val="0"/>
              <w:autoSpaceDN w:val="0"/>
              <w:adjustRightInd w:val="0"/>
              <w:snapToGrid w:val="0"/>
              <w:jc w:val="center"/>
              <w:rPr>
                <w:color w:val="auto"/>
                <w:kern w:val="0"/>
                <w:sz w:val="24"/>
                <w:szCs w:val="24"/>
              </w:rPr>
            </w:pPr>
            <w:r>
              <w:rPr>
                <w:color w:val="auto"/>
                <w:kern w:val="0"/>
                <w:sz w:val="24"/>
                <w:szCs w:val="24"/>
              </w:rPr>
              <w:t>专项评价设置情况</w:t>
            </w:r>
          </w:p>
        </w:tc>
        <w:tc>
          <w:tcPr>
            <w:tcW w:w="4252" w:type="pct"/>
            <w:gridSpan w:val="3"/>
            <w:noWrap w:val="0"/>
            <w:vAlign w:val="center"/>
          </w:tcPr>
          <w:p w14:paraId="7900ABD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无</w:t>
            </w:r>
          </w:p>
        </w:tc>
      </w:tr>
      <w:tr w14:paraId="560C3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47" w:type="pct"/>
            <w:noWrap w:val="0"/>
            <w:vAlign w:val="center"/>
          </w:tcPr>
          <w:p w14:paraId="53A9ABF0">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eastAsia" w:ascii="Times New Roman" w:hAnsi="Times New Roman" w:eastAsia="宋体" w:cs="Times New Roman"/>
                <w:color w:val="auto"/>
                <w:spacing w:val="-6"/>
                <w:sz w:val="24"/>
                <w:szCs w:val="24"/>
              </w:rPr>
            </w:pPr>
            <w:r>
              <w:rPr>
                <w:rFonts w:hint="eastAsia" w:ascii="Times New Roman" w:hAnsi="Times New Roman" w:eastAsia="宋体" w:cs="Times New Roman"/>
                <w:color w:val="auto"/>
                <w:spacing w:val="-6"/>
                <w:sz w:val="24"/>
                <w:szCs w:val="24"/>
              </w:rPr>
              <w:t>规划情况</w:t>
            </w:r>
          </w:p>
        </w:tc>
        <w:tc>
          <w:tcPr>
            <w:tcW w:w="4252" w:type="pct"/>
            <w:gridSpan w:val="3"/>
            <w:noWrap w:val="0"/>
            <w:vAlign w:val="center"/>
          </w:tcPr>
          <w:p w14:paraId="1203BBF4">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textAlignment w:val="auto"/>
              <w:rPr>
                <w:rFonts w:hint="eastAsia" w:ascii="Times New Roman" w:hAnsi="Times New Roman" w:eastAsia="宋体" w:cs="Times New Roman"/>
                <w:color w:val="000000" w:themeColor="text1"/>
                <w:spacing w:val="-6"/>
                <w:sz w:val="24"/>
                <w:szCs w:val="24"/>
                <w14:textFill>
                  <w14:solidFill>
                    <w14:schemeClr w14:val="tx1"/>
                  </w14:solidFill>
                </w14:textFill>
              </w:rPr>
            </w:pPr>
            <w:r>
              <w:rPr>
                <w:rFonts w:hint="eastAsia" w:ascii="Times New Roman" w:hAnsi="Times New Roman" w:eastAsia="宋体" w:cs="Times New Roman"/>
                <w:color w:val="000000" w:themeColor="text1"/>
                <w:spacing w:val="-6"/>
                <w:sz w:val="24"/>
                <w:szCs w:val="24"/>
                <w14:textFill>
                  <w14:solidFill>
                    <w14:schemeClr w14:val="tx1"/>
                  </w14:solidFill>
                </w14:textFill>
              </w:rPr>
              <w:t>名称：《</w:t>
            </w:r>
            <w:bookmarkStart w:id="6" w:name="OLE_LINK53"/>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金坛金城科技产业园发展规划（2023-2035年）</w:t>
            </w:r>
            <w:bookmarkEnd w:id="6"/>
            <w:r>
              <w:rPr>
                <w:rFonts w:hint="eastAsia" w:ascii="Times New Roman" w:hAnsi="Times New Roman" w:eastAsia="宋体" w:cs="Times New Roman"/>
                <w:color w:val="000000" w:themeColor="text1"/>
                <w:spacing w:val="-6"/>
                <w:sz w:val="24"/>
                <w:szCs w:val="24"/>
                <w14:textFill>
                  <w14:solidFill>
                    <w14:schemeClr w14:val="tx1"/>
                  </w14:solidFill>
                </w14:textFill>
              </w:rPr>
              <w:t>》</w:t>
            </w:r>
          </w:p>
          <w:p w14:paraId="424C4509">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textAlignment w:val="auto"/>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4"/>
                <w:szCs w:val="24"/>
                <w14:textFill>
                  <w14:solidFill>
                    <w14:schemeClr w14:val="tx1"/>
                  </w14:solidFill>
                </w14:textFill>
              </w:rPr>
              <w:t>审批机关：</w:t>
            </w:r>
            <w:r>
              <w:rPr>
                <w:rFonts w:hint="eastAsia" w:cs="Times New Roman"/>
                <w:color w:val="000000" w:themeColor="text1"/>
                <w:spacing w:val="-6"/>
                <w:sz w:val="24"/>
                <w:szCs w:val="24"/>
                <w:lang w:val="en-US" w:eastAsia="zh-CN"/>
                <w14:textFill>
                  <w14:solidFill>
                    <w14:schemeClr w14:val="tx1"/>
                  </w14:solidFill>
                </w14:textFill>
              </w:rPr>
              <w:t>常州市人民政府</w:t>
            </w:r>
          </w:p>
          <w:p w14:paraId="2A727DFC">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textAlignment w:val="auto"/>
              <w:rPr>
                <w:rFonts w:hint="default" w:ascii="Times New Roman" w:hAnsi="Times New Roman" w:eastAsia="宋体" w:cs="Times New Roman"/>
                <w:color w:val="auto"/>
                <w:spacing w:val="-6"/>
                <w:sz w:val="24"/>
                <w:szCs w:val="24"/>
                <w:lang w:val="en-US"/>
              </w:rPr>
            </w:pPr>
            <w:r>
              <w:rPr>
                <w:rFonts w:hint="eastAsia" w:ascii="Times New Roman" w:hAnsi="Times New Roman" w:eastAsia="宋体" w:cs="Times New Roman"/>
                <w:color w:val="000000" w:themeColor="text1"/>
                <w:spacing w:val="-6"/>
                <w:sz w:val="24"/>
                <w:szCs w:val="24"/>
                <w14:textFill>
                  <w14:solidFill>
                    <w14:schemeClr w14:val="tx1"/>
                  </w14:solidFill>
                </w14:textFill>
              </w:rPr>
              <w:t>审批文件名称及文号</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p>
        </w:tc>
      </w:tr>
      <w:tr w14:paraId="69EE5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47" w:type="pct"/>
            <w:noWrap w:val="0"/>
            <w:vAlign w:val="center"/>
          </w:tcPr>
          <w:p w14:paraId="71907205">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eastAsia" w:ascii="Times New Roman" w:hAnsi="Times New Roman" w:eastAsia="宋体" w:cs="Times New Roman"/>
                <w:color w:val="auto"/>
                <w:spacing w:val="-6"/>
                <w:sz w:val="24"/>
                <w:szCs w:val="24"/>
              </w:rPr>
            </w:pPr>
            <w:r>
              <w:rPr>
                <w:rFonts w:hint="eastAsia" w:ascii="Times New Roman" w:hAnsi="Times New Roman" w:eastAsia="宋体" w:cs="Times New Roman"/>
                <w:color w:val="auto"/>
                <w:spacing w:val="-6"/>
                <w:sz w:val="24"/>
                <w:szCs w:val="24"/>
              </w:rPr>
              <w:t>规划环境影响评价情况</w:t>
            </w:r>
          </w:p>
        </w:tc>
        <w:tc>
          <w:tcPr>
            <w:tcW w:w="4252" w:type="pct"/>
            <w:gridSpan w:val="3"/>
            <w:noWrap w:val="0"/>
            <w:vAlign w:val="center"/>
          </w:tcPr>
          <w:p w14:paraId="6CE30918">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textAlignment w:val="auto"/>
              <w:rPr>
                <w:rFonts w:hint="eastAsia" w:ascii="Times New Roman" w:hAnsi="Times New Roman" w:eastAsia="宋体" w:cs="Times New Roman"/>
                <w:color w:val="000000" w:themeColor="text1"/>
                <w:spacing w:val="-6"/>
                <w:sz w:val="24"/>
                <w:szCs w:val="24"/>
                <w14:textFill>
                  <w14:solidFill>
                    <w14:schemeClr w14:val="tx1"/>
                  </w14:solidFill>
                </w14:textFill>
              </w:rPr>
            </w:pPr>
            <w:r>
              <w:rPr>
                <w:rFonts w:hint="eastAsia" w:ascii="Times New Roman" w:hAnsi="Times New Roman" w:eastAsia="宋体" w:cs="Times New Roman"/>
                <w:color w:val="000000" w:themeColor="text1"/>
                <w:spacing w:val="-6"/>
                <w:sz w:val="24"/>
                <w:szCs w:val="24"/>
                <w14:textFill>
                  <w14:solidFill>
                    <w14:schemeClr w14:val="tx1"/>
                  </w14:solidFill>
                </w14:textFill>
              </w:rPr>
              <w:t>名称：《</w:t>
            </w:r>
            <w:bookmarkStart w:id="7" w:name="OLE_LINK15"/>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金坛金城科技产业园发展规划环境影响报告书</w:t>
            </w:r>
            <w:bookmarkEnd w:id="7"/>
            <w:r>
              <w:rPr>
                <w:rFonts w:hint="eastAsia" w:ascii="Times New Roman" w:hAnsi="Times New Roman" w:eastAsia="宋体" w:cs="Times New Roman"/>
                <w:color w:val="000000" w:themeColor="text1"/>
                <w:spacing w:val="-6"/>
                <w:sz w:val="24"/>
                <w:szCs w:val="24"/>
                <w14:textFill>
                  <w14:solidFill>
                    <w14:schemeClr w14:val="tx1"/>
                  </w14:solidFill>
                </w14:textFill>
              </w:rPr>
              <w:t>》</w:t>
            </w:r>
          </w:p>
          <w:p w14:paraId="42C95083">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textAlignment w:val="auto"/>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4"/>
                <w:szCs w:val="24"/>
                <w14:textFill>
                  <w14:solidFill>
                    <w14:schemeClr w14:val="tx1"/>
                  </w14:solidFill>
                </w14:textFill>
              </w:rPr>
              <w:t>审批机关：</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常州市生态环境局</w:t>
            </w:r>
          </w:p>
          <w:p w14:paraId="15E6B544">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textAlignment w:val="auto"/>
              <w:rPr>
                <w:rFonts w:hint="eastAsia" w:ascii="Times New Roman" w:hAnsi="Times New Roman" w:eastAsia="宋体" w:cs="Times New Roman"/>
                <w:color w:val="000000" w:themeColor="text1"/>
                <w:spacing w:val="-6"/>
                <w:sz w:val="24"/>
                <w:szCs w:val="24"/>
                <w14:textFill>
                  <w14:solidFill>
                    <w14:schemeClr w14:val="tx1"/>
                  </w14:solidFill>
                </w14:textFill>
              </w:rPr>
            </w:pPr>
            <w:r>
              <w:rPr>
                <w:rFonts w:hint="eastAsia" w:ascii="Times New Roman" w:hAnsi="Times New Roman" w:eastAsia="宋体" w:cs="Times New Roman"/>
                <w:color w:val="000000" w:themeColor="text1"/>
                <w:spacing w:val="-6"/>
                <w:sz w:val="24"/>
                <w:szCs w:val="24"/>
                <w14:textFill>
                  <w14:solidFill>
                    <w14:schemeClr w14:val="tx1"/>
                  </w14:solidFill>
                </w14:textFill>
              </w:rPr>
              <w:t>审批文件名称及文号：《</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市生态环境局关于金坛金城科技产业园发展规划（2023-2035）环境影响报告书的审查意见</w:t>
            </w:r>
            <w:r>
              <w:rPr>
                <w:rFonts w:hint="eastAsia" w:ascii="Times New Roman" w:hAnsi="Times New Roman" w:eastAsia="宋体" w:cs="Times New Roman"/>
                <w:color w:val="000000" w:themeColor="text1"/>
                <w:spacing w:val="-6"/>
                <w:sz w:val="24"/>
                <w:szCs w:val="24"/>
                <w14:textFill>
                  <w14:solidFill>
                    <w14:schemeClr w14:val="tx1"/>
                  </w14:solidFill>
                </w14:textFill>
              </w:rPr>
              <w:t>》（</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常金环审〔</w:t>
            </w:r>
            <w:r>
              <w:rPr>
                <w:rFonts w:hint="eastAsia" w:ascii="Times New Roman" w:hAnsi="Times New Roman" w:eastAsia="宋体" w:cs="Times New Roman"/>
                <w:color w:val="000000" w:themeColor="text1"/>
                <w:spacing w:val="-6"/>
                <w:sz w:val="24"/>
                <w:szCs w:val="24"/>
                <w14:textFill>
                  <w14:solidFill>
                    <w14:schemeClr w14:val="tx1"/>
                  </w14:solidFill>
                </w14:textFill>
              </w:rPr>
              <w:t>202</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pacing w:val="-6"/>
                <w:sz w:val="24"/>
                <w:szCs w:val="24"/>
                <w14:textFill>
                  <w14:solidFill>
                    <w14:schemeClr w14:val="tx1"/>
                  </w14:solidFill>
                </w14:textFill>
              </w:rPr>
              <w:t>〕</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40</w:t>
            </w:r>
            <w:r>
              <w:rPr>
                <w:rFonts w:hint="eastAsia" w:ascii="Times New Roman" w:hAnsi="Times New Roman" w:eastAsia="宋体" w:cs="Times New Roman"/>
                <w:color w:val="000000" w:themeColor="text1"/>
                <w:spacing w:val="-6"/>
                <w:sz w:val="24"/>
                <w:szCs w:val="24"/>
                <w14:textFill>
                  <w14:solidFill>
                    <w14:schemeClr w14:val="tx1"/>
                  </w14:solidFill>
                </w14:textFill>
              </w:rPr>
              <w:t>号）</w:t>
            </w:r>
          </w:p>
        </w:tc>
      </w:tr>
      <w:tr w14:paraId="44AA1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7" w:type="pct"/>
            <w:noWrap w:val="0"/>
            <w:vAlign w:val="center"/>
          </w:tcPr>
          <w:p w14:paraId="24F8D71D">
            <w:pPr>
              <w:autoSpaceDE w:val="0"/>
              <w:autoSpaceDN w:val="0"/>
              <w:adjustRightInd w:val="0"/>
              <w:snapToGrid w:val="0"/>
              <w:jc w:val="center"/>
              <w:rPr>
                <w:color w:val="auto"/>
                <w:kern w:val="0"/>
                <w:sz w:val="24"/>
                <w:szCs w:val="24"/>
              </w:rPr>
            </w:pPr>
            <w:r>
              <w:rPr>
                <w:color w:val="auto"/>
                <w:kern w:val="0"/>
                <w:sz w:val="24"/>
                <w:szCs w:val="24"/>
              </w:rPr>
              <w:t>规划及规划环境影响评价符合性分析</w:t>
            </w:r>
          </w:p>
        </w:tc>
        <w:tc>
          <w:tcPr>
            <w:tcW w:w="4252" w:type="pct"/>
            <w:gridSpan w:val="3"/>
            <w:noWrap w:val="0"/>
            <w:vAlign w:val="center"/>
          </w:tcPr>
          <w:p w14:paraId="0F934C24">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与</w:t>
            </w:r>
            <w:r>
              <w:rPr>
                <w:rFonts w:hint="eastAsia"/>
                <w:b/>
                <w:bCs/>
                <w:color w:val="000000" w:themeColor="text1"/>
                <w:sz w:val="24"/>
                <w:szCs w:val="24"/>
                <w14:textFill>
                  <w14:solidFill>
                    <w14:schemeClr w14:val="tx1"/>
                  </w14:solidFill>
                </w14:textFill>
              </w:rPr>
              <w:t>《</w:t>
            </w:r>
            <w:bookmarkStart w:id="8" w:name="OLE_LINK26"/>
            <w:r>
              <w:rPr>
                <w:rFonts w:hint="eastAsia"/>
                <w:b/>
                <w:bCs/>
                <w:color w:val="000000" w:themeColor="text1"/>
                <w:sz w:val="24"/>
                <w:szCs w:val="24"/>
                <w:lang w:val="en-US" w:eastAsia="zh-CN"/>
                <w14:textFill>
                  <w14:solidFill>
                    <w14:schemeClr w14:val="tx1"/>
                  </w14:solidFill>
                </w14:textFill>
              </w:rPr>
              <w:t>金坛金城科技产业园发展规划</w:t>
            </w:r>
            <w:bookmarkEnd w:id="8"/>
            <w:r>
              <w:rPr>
                <w:rFonts w:hint="eastAsia"/>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相符性分析</w:t>
            </w:r>
          </w:p>
          <w:p w14:paraId="55074AA4">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立足常州、辐射华东，聚焦“532”发展战略，按照金坛区委提出的“金科园规划与打造金坛北部产业新城相结合，与拓展金城工业园发展空间相结合，与加快开发速度相结合”的总体要求，主攻高端装备制造、新能源新材料、智慧物流三大主导产业，以打造功能转型与创新发展示范区、产业高效与特色发展增长极、生态低碳与协调发展新园区为目标，着力建设以科技创研为核心引领，以高端制造、技术研发、孵化加速、高效物流、绿色化工为主导功能，融合生态居住、商业休闲、文化娱乐于一体的现代化产业新区，逐步培养成为金坛经济发展的重要增长极、省级经济开发区和金坛北部产业新城。</w:t>
            </w:r>
          </w:p>
          <w:p w14:paraId="3011C7DD">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金城科技产业园具体范围：园区规划范围东至老丹金溧漕河、南至良常路、西至新丹金溧漕河、北至新丹金溧漕河，规划面积11.8平方公里。</w:t>
            </w:r>
          </w:p>
          <w:p w14:paraId="64ADB977">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位于江苏省金坛</w:t>
            </w:r>
            <w:r>
              <w:rPr>
                <w:rFonts w:hint="eastAsia"/>
                <w:color w:val="000000" w:themeColor="text1"/>
                <w:sz w:val="24"/>
                <w:szCs w:val="24"/>
                <w:lang w:eastAsia="zh-CN"/>
                <w14:textFill>
                  <w14:solidFill>
                    <w14:schemeClr w14:val="tx1"/>
                  </w14:solidFill>
                </w14:textFill>
              </w:rPr>
              <w:t>西城路118号</w:t>
            </w:r>
            <w:r>
              <w:rPr>
                <w:rFonts w:hint="eastAsia"/>
                <w:color w:val="000000" w:themeColor="text1"/>
                <w:sz w:val="24"/>
                <w:szCs w:val="24"/>
                <w14:textFill>
                  <w14:solidFill>
                    <w14:schemeClr w14:val="tx1"/>
                  </w14:solidFill>
                </w14:textFill>
              </w:rPr>
              <w:t>，属于金坛</w:t>
            </w:r>
            <w:r>
              <w:rPr>
                <w:rFonts w:hint="eastAsia"/>
                <w:color w:val="000000" w:themeColor="text1"/>
                <w:sz w:val="24"/>
                <w:szCs w:val="24"/>
                <w:lang w:val="en-US" w:eastAsia="zh-CN"/>
                <w14:textFill>
                  <w14:solidFill>
                    <w14:schemeClr w14:val="tx1"/>
                  </w14:solidFill>
                </w14:textFill>
              </w:rPr>
              <w:t>金城科技产业园</w:t>
            </w:r>
            <w:r>
              <w:rPr>
                <w:rFonts w:hint="eastAsia"/>
                <w:color w:val="000000" w:themeColor="text1"/>
                <w:sz w:val="24"/>
                <w:szCs w:val="24"/>
                <w14:textFill>
                  <w14:solidFill>
                    <w14:schemeClr w14:val="tx1"/>
                  </w14:solidFill>
                </w14:textFill>
              </w:rPr>
              <w:t>规划范围内</w:t>
            </w:r>
            <w:r>
              <w:rPr>
                <w:color w:val="000000" w:themeColor="text1"/>
                <w:sz w:val="24"/>
                <w:szCs w:val="24"/>
                <w14:textFill>
                  <w14:solidFill>
                    <w14:schemeClr w14:val="tx1"/>
                  </w14:solidFill>
                </w14:textFill>
              </w:rPr>
              <w:t>。</w:t>
            </w:r>
          </w:p>
          <w:p w14:paraId="0F44BE72">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与《</w:t>
            </w:r>
            <w:r>
              <w:rPr>
                <w:rFonts w:hint="eastAsia"/>
                <w:b/>
                <w:bCs/>
                <w:color w:val="000000" w:themeColor="text1"/>
                <w:sz w:val="24"/>
                <w:szCs w:val="24"/>
                <w:lang w:val="en-US" w:eastAsia="zh-CN"/>
                <w14:textFill>
                  <w14:solidFill>
                    <w14:schemeClr w14:val="tx1"/>
                  </w14:solidFill>
                </w14:textFill>
              </w:rPr>
              <w:t>金坛金城科技产业园发展规划环境影响报告书</w:t>
            </w:r>
            <w:r>
              <w:rPr>
                <w:b/>
                <w:bCs/>
                <w:color w:val="000000" w:themeColor="text1"/>
                <w:sz w:val="24"/>
                <w:szCs w:val="24"/>
                <w14:textFill>
                  <w14:solidFill>
                    <w14:schemeClr w14:val="tx1"/>
                  </w14:solidFill>
                </w14:textFill>
              </w:rPr>
              <w:t>》相符性分析</w:t>
            </w:r>
          </w:p>
          <w:p w14:paraId="61E4DBC8">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、产业发展</w:t>
            </w:r>
            <w:r>
              <w:rPr>
                <w:rFonts w:hint="eastAsia"/>
                <w:color w:val="000000" w:themeColor="text1"/>
                <w:sz w:val="24"/>
                <w:szCs w:val="24"/>
                <w14:textFill>
                  <w14:solidFill>
                    <w14:schemeClr w14:val="tx1"/>
                  </w14:solidFill>
                </w14:textFill>
              </w:rPr>
              <w:t>导向</w:t>
            </w:r>
          </w:p>
          <w:p w14:paraId="286F6E94">
            <w:pPr>
              <w:pStyle w:val="61"/>
              <w:keepNext w:val="0"/>
              <w:keepLines w:val="0"/>
              <w:pageBreakBefore w:val="0"/>
              <w:widowControl w:val="0"/>
              <w:kinsoku/>
              <w:wordWrap/>
              <w:overflowPunct/>
              <w:topLinePunct w:val="0"/>
              <w:bidi w:val="0"/>
              <w:spacing w:line="480" w:lineRule="exact"/>
              <w:ind w:firstLine="420"/>
              <w:textAlignment w:val="auto"/>
              <w:rPr>
                <w:rFonts w:hint="eastAsia"/>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金城科技产业园产业门类众多，其中通用设备制造、其他制造业以</w:t>
            </w:r>
          </w:p>
          <w:p w14:paraId="0E5F8952">
            <w:pPr>
              <w:pStyle w:val="61"/>
              <w:keepNext w:val="0"/>
              <w:keepLines w:val="0"/>
              <w:pageBreakBefore w:val="0"/>
              <w:widowControl w:val="0"/>
              <w:kinsoku/>
              <w:wordWrap/>
              <w:overflowPunct/>
              <w:topLinePunct w:val="0"/>
              <w:bidi w:val="0"/>
              <w:spacing w:line="480" w:lineRule="exact"/>
              <w:ind w:left="0" w:leftChars="0" w:firstLine="0" w:firstLineChars="0"/>
              <w:textAlignment w:val="auto"/>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及化工产业为现状三大主导产业，基于现状产业基础，并立足现有产业优势，规划重点发展高端装备制造、新能源新材料、生命健康、智慧物流四大主导产业，构建“3+1”的产业体系。</w:t>
            </w:r>
          </w:p>
          <w:p w14:paraId="480964E2">
            <w:pPr>
              <w:pStyle w:val="61"/>
              <w:keepNext w:val="0"/>
              <w:keepLines w:val="0"/>
              <w:pageBreakBefore w:val="0"/>
              <w:widowControl w:val="0"/>
              <w:kinsoku/>
              <w:wordWrap/>
              <w:overflowPunct/>
              <w:topLinePunct w:val="0"/>
              <w:bidi w:val="0"/>
              <w:spacing w:line="480" w:lineRule="exact"/>
              <w:ind w:firstLine="420"/>
              <w:textAlignment w:val="auto"/>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（1）</w:t>
            </w:r>
            <w:r>
              <w:rPr>
                <w:rFonts w:hint="eastAsia"/>
                <w:bCs/>
                <w:color w:val="000000" w:themeColor="text1"/>
                <w:sz w:val="24"/>
                <w:szCs w:val="24"/>
                <w:lang w:val="en-US" w:eastAsia="zh-CN"/>
                <w14:textFill>
                  <w14:solidFill>
                    <w14:schemeClr w14:val="tx1"/>
                  </w14:solidFill>
                </w14:textFill>
              </w:rPr>
              <w:t>高端装备制造</w:t>
            </w:r>
          </w:p>
          <w:p w14:paraId="46846023">
            <w:pPr>
              <w:pStyle w:val="61"/>
              <w:keepNext w:val="0"/>
              <w:keepLines w:val="0"/>
              <w:pageBreakBefore w:val="0"/>
              <w:widowControl w:val="0"/>
              <w:kinsoku/>
              <w:wordWrap/>
              <w:overflowPunct/>
              <w:topLinePunct w:val="0"/>
              <w:bidi w:val="0"/>
              <w:spacing w:line="480" w:lineRule="exact"/>
              <w:ind w:firstLine="42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以装备制造业龙头企业为核心，促进产业链横向融合、纵向延伸、高端发展，引导企业集聚，形成专业化分工、上下游产品衔接配套的产业体系。根据扶持高端装备制造企业发展意见，引导装备制造企业做大做强，推动企业在自主创新、突破关键技术、提升核心竞争力、壮大产业规模等方面有新进展，促进装备制造业向高端转型升级。重点发展</w:t>
            </w:r>
            <w:r>
              <w:rPr>
                <w:rFonts w:hint="eastAsia"/>
                <w:b/>
                <w:bCs w:val="0"/>
                <w:color w:val="000000" w:themeColor="text1"/>
                <w:sz w:val="24"/>
                <w:szCs w:val="24"/>
                <w:lang w:val="en-US" w:eastAsia="zh-CN"/>
                <w14:textFill>
                  <w14:solidFill>
                    <w14:schemeClr w14:val="tx1"/>
                  </w14:solidFill>
                </w14:textFill>
              </w:rPr>
              <w:t>新能源汽车核心零部件、汽车零部件、高端装备部件、精密零部件制造</w:t>
            </w:r>
            <w:r>
              <w:rPr>
                <w:rFonts w:hint="eastAsia"/>
                <w:bCs/>
                <w:color w:val="000000" w:themeColor="text1"/>
                <w:sz w:val="24"/>
                <w:szCs w:val="24"/>
                <w:lang w:val="en-US" w:eastAsia="zh-CN"/>
                <w14:textFill>
                  <w14:solidFill>
                    <w14:schemeClr w14:val="tx1"/>
                  </w14:solidFill>
                </w14:textFill>
              </w:rPr>
              <w:t>等主导产业。聚焦新能源汽车产业链，重点发展电机制造，对外以电机系统制造，融入区域新能源汽车产业链，形成产业间联动，对内以电机系统内部上下游产业链为主体，结合周边智能制造产业，形成内部产业联动。</w:t>
            </w:r>
          </w:p>
          <w:p w14:paraId="23850112">
            <w:pPr>
              <w:pStyle w:val="61"/>
              <w:keepNext w:val="0"/>
              <w:keepLines w:val="0"/>
              <w:pageBreakBefore w:val="0"/>
              <w:widowControl w:val="0"/>
              <w:kinsoku/>
              <w:wordWrap/>
              <w:overflowPunct/>
              <w:topLinePunct w:val="0"/>
              <w:bidi w:val="0"/>
              <w:spacing w:line="480" w:lineRule="exact"/>
              <w:ind w:firstLine="420"/>
              <w:textAlignment w:val="auto"/>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（2）新</w:t>
            </w:r>
            <w:r>
              <w:rPr>
                <w:rFonts w:hint="eastAsia"/>
                <w:bCs/>
                <w:color w:val="000000" w:themeColor="text1"/>
                <w:sz w:val="24"/>
                <w:szCs w:val="24"/>
                <w:lang w:val="en-US" w:eastAsia="zh-CN"/>
                <w14:textFill>
                  <w14:solidFill>
                    <w14:schemeClr w14:val="tx1"/>
                  </w14:solidFill>
                </w14:textFill>
              </w:rPr>
              <w:t>能源新材料</w:t>
            </w:r>
          </w:p>
          <w:p w14:paraId="06BB1203">
            <w:pPr>
              <w:pStyle w:val="61"/>
              <w:keepNext w:val="0"/>
              <w:keepLines w:val="0"/>
              <w:pageBreakBefore w:val="0"/>
              <w:widowControl w:val="0"/>
              <w:kinsoku/>
              <w:wordWrap/>
              <w:overflowPunct/>
              <w:topLinePunct w:val="0"/>
              <w:bidi w:val="0"/>
              <w:spacing w:line="480" w:lineRule="exact"/>
              <w:ind w:firstLine="42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积极引进和导入新能源新材料产业，打造新材料产业园，与周边直溪现代产业园、中德（常州）创新产业园、华罗庚高新技术产业开发区等形成产业联动。引导企业紧密跟踪新型材料技术的研究开发，重点发</w:t>
            </w:r>
            <w:r>
              <w:rPr>
                <w:rFonts w:hint="eastAsia"/>
                <w:b/>
                <w:bCs w:val="0"/>
                <w:color w:val="000000" w:themeColor="text1"/>
                <w:sz w:val="24"/>
                <w:szCs w:val="24"/>
                <w:lang w:val="en-US" w:eastAsia="zh-CN"/>
                <w14:textFill>
                  <w14:solidFill>
                    <w14:schemeClr w14:val="tx1"/>
                  </w14:solidFill>
                </w14:textFill>
              </w:rPr>
              <w:t>展光伏新能源以及新型金属合金材料、新型显示材料、核辐射改性材料、环保阻燃新型高分子功能材料、高性能密封材料、节能环保型材料、石墨烯材料、高性能锂电池、燃料电池</w:t>
            </w:r>
            <w:r>
              <w:rPr>
                <w:rFonts w:hint="eastAsia"/>
                <w:bCs/>
                <w:color w:val="000000" w:themeColor="text1"/>
                <w:sz w:val="24"/>
                <w:szCs w:val="24"/>
                <w:lang w:val="en-US" w:eastAsia="zh-CN"/>
                <w14:textFill>
                  <w14:solidFill>
                    <w14:schemeClr w14:val="tx1"/>
                  </w14:solidFill>
                </w14:textFill>
              </w:rPr>
              <w:t>关键材料等新材料产业。</w:t>
            </w:r>
          </w:p>
          <w:p w14:paraId="27DBBEF5">
            <w:pPr>
              <w:pStyle w:val="61"/>
              <w:keepNext w:val="0"/>
              <w:keepLines w:val="0"/>
              <w:pageBreakBefore w:val="0"/>
              <w:widowControl w:val="0"/>
              <w:kinsoku/>
              <w:wordWrap/>
              <w:overflowPunct/>
              <w:topLinePunct w:val="0"/>
              <w:bidi w:val="0"/>
              <w:spacing w:line="480" w:lineRule="exact"/>
              <w:ind w:firstLine="420"/>
              <w:textAlignment w:val="auto"/>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（3）</w:t>
            </w:r>
            <w:r>
              <w:rPr>
                <w:rFonts w:hint="eastAsia"/>
                <w:bCs/>
                <w:color w:val="000000" w:themeColor="text1"/>
                <w:sz w:val="24"/>
                <w:szCs w:val="24"/>
                <w:lang w:val="en-US" w:eastAsia="zh-CN"/>
                <w14:textFill>
                  <w14:solidFill>
                    <w14:schemeClr w14:val="tx1"/>
                  </w14:solidFill>
                </w14:textFill>
              </w:rPr>
              <w:t>智慧物流</w:t>
            </w:r>
          </w:p>
          <w:p w14:paraId="59E18903">
            <w:pPr>
              <w:pStyle w:val="61"/>
              <w:keepNext w:val="0"/>
              <w:keepLines w:val="0"/>
              <w:pageBreakBefore w:val="0"/>
              <w:widowControl w:val="0"/>
              <w:kinsoku/>
              <w:wordWrap/>
              <w:overflowPunct/>
              <w:topLinePunct w:val="0"/>
              <w:bidi w:val="0"/>
              <w:spacing w:line="480" w:lineRule="exact"/>
              <w:ind w:firstLine="42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强化港口运营，发展智慧物流体系。保留金坛港港口功能，初期以装卸、仓储、理货等港口基本服务为主，中后期配合周边产业需求，强化软硬件拓展延伸，硬件拓展聚焦物流装备研发、制造、检测、冻品消杀储备首仓建设，软件助力聚焦物流应用软件开发、系统研发、区域物流平台等。通过结合现状制造产业，引入物流装备研发、制造等相关产业，培育和壮大现代智慧物流产业。强化运营管理，近距离结合绿色食品产业体系，发挥首仓存储、城市配送等服务；远距离提供大中型区域物流服务；同时提升物流金融、物流商贸等延伸服务。</w:t>
            </w:r>
          </w:p>
          <w:p w14:paraId="0CED405B">
            <w:pPr>
              <w:pStyle w:val="61"/>
              <w:keepNext w:val="0"/>
              <w:keepLines w:val="0"/>
              <w:pageBreakBefore w:val="0"/>
              <w:widowControl w:val="0"/>
              <w:kinsoku/>
              <w:wordWrap/>
              <w:overflowPunct/>
              <w:topLinePunct w:val="0"/>
              <w:bidi w:val="0"/>
              <w:spacing w:line="480" w:lineRule="exact"/>
              <w:ind w:firstLine="420"/>
              <w:textAlignment w:val="auto"/>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4</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生命健康</w:t>
            </w:r>
          </w:p>
          <w:p w14:paraId="58AEDB66">
            <w:pPr>
              <w:pStyle w:val="61"/>
              <w:keepNext w:val="0"/>
              <w:keepLines w:val="0"/>
              <w:pageBreakBefore w:val="0"/>
              <w:widowControl w:val="0"/>
              <w:kinsoku/>
              <w:wordWrap/>
              <w:overflowPunct/>
              <w:topLinePunct w:val="0"/>
              <w:bidi w:val="0"/>
              <w:spacing w:line="480" w:lineRule="exact"/>
              <w:ind w:firstLine="420"/>
              <w:textAlignment w:val="auto"/>
              <w:rPr>
                <w:rFonts w:hint="eastAsia"/>
                <w:bCs/>
                <w:color w:val="000000" w:themeColor="text1"/>
                <w:sz w:val="24"/>
                <w:szCs w:val="24"/>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抢抓常州市推动合成生物和生物生命健康产业高质量发展机遇，积蓄发展新动能，抢占新一轮产业发展的制高点，重点支持创新药物、高端医疗器械与设备、生物类电子类医疗美容产品、高端化妆品、长寿及抗衰老产品等大健康领域，以及合成生物技术、基因与细胞诊疗技术、前沿生物技术、脑科学（类脑智能）和医疗大数据等新兴领域，打造生命健康产业高地。以培育产业为主线，搭建合成生物和生物医药科技创新中心，积极承接长三角生物技术及生命健康产业外溢。生物生命健康产业规划采用生产拉动型为主要发展模式，以成熟产业引进为主，逐步建设孵化器、研发机构。首先引入医疗器械、合成生物、生物制造、生物制药企业的空间集聚与技术提升；进而从人的全生命周期视角入手，深化生物生命健康产业向生命健康产业的升级，带动城乡全面融合发展。在金城大道以南、西城北路以东、丹阳北路以西、良常路以北形成开放组团式产业中心，打开原有封闭大地块，围绕中心湖组团布局，分期建设，补足产业社区功能，打造产业高地。</w:t>
            </w:r>
          </w:p>
          <w:p w14:paraId="0352DBBC">
            <w:pPr>
              <w:pStyle w:val="61"/>
              <w:keepNext w:val="0"/>
              <w:keepLines w:val="0"/>
              <w:pageBreakBefore w:val="0"/>
              <w:widowControl w:val="0"/>
              <w:kinsoku/>
              <w:wordWrap/>
              <w:overflowPunct/>
              <w:topLinePunct w:val="0"/>
              <w:bidi w:val="0"/>
              <w:spacing w:line="480" w:lineRule="exact"/>
              <w:ind w:firstLine="420"/>
              <w:textAlignment w:val="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本项目为</w:t>
            </w:r>
            <w:r>
              <w:rPr>
                <w:rFonts w:hint="eastAsia"/>
                <w:bCs/>
                <w:color w:val="000000" w:themeColor="text1"/>
                <w:sz w:val="24"/>
                <w:szCs w:val="24"/>
                <w:lang w:eastAsia="zh-CN"/>
                <w14:textFill>
                  <w14:solidFill>
                    <w14:schemeClr w14:val="tx1"/>
                  </w14:solidFill>
                </w14:textFill>
              </w:rPr>
              <w:t>实验室建设项目</w:t>
            </w:r>
            <w:r>
              <w:rPr>
                <w:rFonts w:hint="eastAsia"/>
                <w:bCs/>
                <w:color w:val="000000" w:themeColor="text1"/>
                <w:sz w:val="24"/>
                <w:szCs w:val="24"/>
                <w14:textFill>
                  <w14:solidFill>
                    <w14:schemeClr w14:val="tx1"/>
                  </w14:solidFill>
                </w14:textFill>
              </w:rPr>
              <w:t>，主要</w:t>
            </w:r>
            <w:r>
              <w:rPr>
                <w:rFonts w:hint="eastAsia"/>
                <w:bCs/>
                <w:color w:val="000000" w:themeColor="text1"/>
                <w:sz w:val="24"/>
                <w:szCs w:val="24"/>
                <w:lang w:val="en-US" w:eastAsia="zh-CN"/>
                <w14:textFill>
                  <w14:solidFill>
                    <w14:schemeClr w14:val="tx1"/>
                  </w14:solidFill>
                </w14:textFill>
              </w:rPr>
              <w:t>以代谢工程和合成生物学技术改造基因工程菌实验为主</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属于</w:t>
            </w:r>
            <w:bookmarkStart w:id="9" w:name="OLE_LINK22"/>
            <w:r>
              <w:rPr>
                <w:rFonts w:hint="eastAsia"/>
                <w:bCs/>
                <w:color w:val="000000" w:themeColor="text1"/>
                <w:sz w:val="24"/>
                <w:szCs w:val="24"/>
                <w:lang w:val="en-US" w:eastAsia="zh-CN"/>
                <w14:textFill>
                  <w14:solidFill>
                    <w14:schemeClr w14:val="tx1"/>
                  </w14:solidFill>
                </w14:textFill>
              </w:rPr>
              <w:t>生命健康产业</w:t>
            </w:r>
            <w:bookmarkEnd w:id="9"/>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与产业定位</w:t>
            </w:r>
            <w:r>
              <w:rPr>
                <w:rFonts w:hint="eastAsia"/>
                <w:bCs/>
                <w:color w:val="000000" w:themeColor="text1"/>
                <w:sz w:val="24"/>
                <w:szCs w:val="24"/>
                <w14:textFill>
                  <w14:solidFill>
                    <w14:schemeClr w14:val="tx1"/>
                  </w14:solidFill>
                </w14:textFill>
              </w:rPr>
              <w:t>相符</w:t>
            </w:r>
            <w:r>
              <w:rPr>
                <w:bCs/>
                <w:color w:val="000000" w:themeColor="text1"/>
                <w:sz w:val="24"/>
                <w:szCs w:val="24"/>
                <w14:textFill>
                  <w14:solidFill>
                    <w14:schemeClr w14:val="tx1"/>
                  </w14:solidFill>
                </w14:textFill>
              </w:rPr>
              <w:t>。</w:t>
            </w:r>
          </w:p>
          <w:p w14:paraId="3D5FC7FA">
            <w:pPr>
              <w:keepNext w:val="0"/>
              <w:keepLines w:val="0"/>
              <w:pageBreakBefore w:val="0"/>
              <w:widowControl w:val="0"/>
              <w:kinsoku/>
              <w:wordWrap/>
              <w:overflowPunct/>
              <w:topLinePunct w:val="0"/>
              <w:bidi w:val="0"/>
              <w:spacing w:line="480" w:lineRule="exact"/>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空间布局规划</w:t>
            </w:r>
          </w:p>
          <w:p w14:paraId="1D9C6143">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金城科技产业园规划形成“四轴、四片”的规划空间结构。</w:t>
            </w:r>
          </w:p>
          <w:p w14:paraId="78E7BAD1">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lang w:val="en-US" w:eastAsia="zh-CN"/>
                <w14:textFill>
                  <w14:solidFill>
                    <w14:schemeClr w14:val="tx1"/>
                  </w14:solidFill>
                </w14:textFill>
              </w:rPr>
            </w:pPr>
            <w:r>
              <w:rPr>
                <w:color w:val="000000" w:themeColor="text1"/>
                <w:sz w:val="24"/>
                <w:szCs w:val="24"/>
                <w:lang w:val="en-US" w:eastAsia="zh-CN"/>
                <w14:textFill>
                  <w14:solidFill>
                    <w14:schemeClr w14:val="tx1"/>
                  </w14:solidFill>
                </w14:textFill>
              </w:rPr>
              <w:t>四轴：金城大道产业联动轴、良常路区域发展轴、南北产业联动轴、金沙大道快速交通轴四条城市发展轴线。</w:t>
            </w:r>
          </w:p>
          <w:p w14:paraId="574DE98D">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lang w:val="en-US" w:eastAsia="zh-CN"/>
                <w14:textFill>
                  <w14:solidFill>
                    <w14:schemeClr w14:val="tx1"/>
                  </w14:solidFill>
                </w14:textFill>
              </w:rPr>
            </w:pPr>
            <w:r>
              <w:rPr>
                <w:color w:val="000000" w:themeColor="text1"/>
                <w:sz w:val="24"/>
                <w:szCs w:val="24"/>
                <w:lang w:val="en-US" w:eastAsia="zh-CN"/>
                <w14:textFill>
                  <w14:solidFill>
                    <w14:schemeClr w14:val="tx1"/>
                  </w14:solidFill>
                </w14:textFill>
              </w:rPr>
              <w:t>四片：智能智造板块、智慧物流板块、生命健康板块、生态服务板块四个城市发展功能板块。</w:t>
            </w:r>
          </w:p>
          <w:p w14:paraId="26379BAD">
            <w:pPr>
              <w:keepNext w:val="0"/>
              <w:keepLines w:val="0"/>
              <w:pageBreakBefore w:val="0"/>
              <w:widowControl w:val="0"/>
              <w:kinsoku/>
              <w:wordWrap/>
              <w:overflowPunct/>
              <w:topLinePunct w:val="0"/>
              <w:bidi w:val="0"/>
              <w:spacing w:line="480" w:lineRule="exact"/>
              <w:ind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color w:val="000000" w:themeColor="text1"/>
                <w:sz w:val="24"/>
                <w:szCs w:val="24"/>
                <w:lang w:val="en-US" w:eastAsia="zh-CN"/>
                <w14:textFill>
                  <w14:solidFill>
                    <w14:schemeClr w14:val="tx1"/>
                  </w14:solidFill>
                </w14:textFill>
              </w:rPr>
              <w:t>智能智造板块</w:t>
            </w:r>
          </w:p>
          <w:p w14:paraId="67976B53">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错位联动发展，重点布局三新产业，补链强链，加快传统智造数智转型；</w:t>
            </w:r>
          </w:p>
          <w:p w14:paraId="41C93E05">
            <w:pPr>
              <w:keepNext w:val="0"/>
              <w:keepLines w:val="0"/>
              <w:pageBreakBefore w:val="0"/>
              <w:widowControl w:val="0"/>
              <w:kinsoku/>
              <w:wordWrap/>
              <w:overflowPunct/>
              <w:topLinePunct w:val="0"/>
              <w:bidi w:val="0"/>
              <w:spacing w:line="480" w:lineRule="exact"/>
              <w:ind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color w:val="000000" w:themeColor="text1"/>
                <w:sz w:val="24"/>
                <w:szCs w:val="24"/>
                <w:lang w:val="en-US" w:eastAsia="zh-CN"/>
                <w14:textFill>
                  <w14:solidFill>
                    <w14:schemeClr w14:val="tx1"/>
                  </w14:solidFill>
                </w14:textFill>
              </w:rPr>
              <w:t>智慧物流板块</w:t>
            </w:r>
          </w:p>
          <w:p w14:paraId="61FEFBA3">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依托现有金坛港，借力良好的交通区位，优化港口布局，提升服务能级</w:t>
            </w:r>
            <w:r>
              <w:rPr>
                <w:rFonts w:hint="eastAsia"/>
                <w:color w:val="000000" w:themeColor="text1"/>
                <w:sz w:val="24"/>
                <w:szCs w:val="24"/>
                <w:lang w:val="en-US" w:eastAsia="zh-CN"/>
                <w14:textFill>
                  <w14:solidFill>
                    <w14:schemeClr w14:val="tx1"/>
                  </w14:solidFill>
                </w14:textFill>
              </w:rPr>
              <w:t>。</w:t>
            </w:r>
          </w:p>
          <w:p w14:paraId="53A1ED9D">
            <w:pPr>
              <w:keepNext w:val="0"/>
              <w:keepLines w:val="0"/>
              <w:pageBreakBefore w:val="0"/>
              <w:widowControl w:val="0"/>
              <w:kinsoku/>
              <w:wordWrap/>
              <w:overflowPunct/>
              <w:topLinePunct w:val="0"/>
              <w:bidi w:val="0"/>
              <w:spacing w:line="480" w:lineRule="exact"/>
              <w:ind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w:t>
            </w:r>
            <w:r>
              <w:rPr>
                <w:color w:val="000000" w:themeColor="text1"/>
                <w:sz w:val="24"/>
                <w:szCs w:val="24"/>
                <w:lang w:val="en-US" w:eastAsia="zh-CN"/>
                <w14:textFill>
                  <w14:solidFill>
                    <w14:schemeClr w14:val="tx1"/>
                  </w14:solidFill>
                </w14:textFill>
              </w:rPr>
              <w:t>生命健康板块</w:t>
            </w:r>
          </w:p>
          <w:p w14:paraId="25844F7A">
            <w:pPr>
              <w:keepNext w:val="0"/>
              <w:keepLines w:val="0"/>
              <w:pageBreakBefore w:val="0"/>
              <w:widowControl w:val="0"/>
              <w:kinsoku/>
              <w:wordWrap/>
              <w:overflowPunct/>
              <w:topLinePunct w:val="0"/>
              <w:bidi w:val="0"/>
              <w:spacing w:line="480" w:lineRule="exact"/>
              <w:ind w:firstLine="480" w:firstLineChars="200"/>
              <w:textAlignment w:val="auto"/>
              <w:rPr>
                <w:rFonts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sz w:val="24"/>
                <w:szCs w:val="24"/>
                <w:lang w:val="en-US" w:eastAsia="zh-CN"/>
                <w14:textFill>
                  <w14:solidFill>
                    <w14:schemeClr w14:val="tx1"/>
                  </w14:solidFill>
                </w14:textFill>
              </w:rPr>
              <w:t>从生命健康全周期的角度，将生命健康制造业、生命健康服务业、生</w:t>
            </w:r>
            <w:r>
              <w:rPr>
                <w:rFonts w:ascii="Times New Roman" w:hAnsi="Times New Roman" w:eastAsia="宋体" w:cs="Times New Roman"/>
                <w:color w:val="000000" w:themeColor="text1"/>
                <w:sz w:val="24"/>
                <w:szCs w:val="24"/>
                <w:lang w:val="en-US" w:eastAsia="zh-CN"/>
                <w14:textFill>
                  <w14:solidFill>
                    <w14:schemeClr w14:val="tx1"/>
                  </w14:solidFill>
                </w14:textFill>
              </w:rPr>
              <w:t>命健康管理、田园健体休闲等产业与业态联动发展，深度串联“生命健康”为产业链条，引领一二三产融合互促。</w:t>
            </w:r>
          </w:p>
          <w:p w14:paraId="1758A9AD">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lang w:val="en-US" w:eastAsia="zh-CN"/>
                <w14:textFill>
                  <w14:solidFill>
                    <w14:schemeClr w14:val="tx1"/>
                  </w14:solidFill>
                </w14:textFill>
              </w:rPr>
              <w:t>生态服务板块</w:t>
            </w:r>
          </w:p>
          <w:p w14:paraId="191AFFDA">
            <w:pPr>
              <w:keepNext w:val="0"/>
              <w:keepLines w:val="0"/>
              <w:pageBreakBefore w:val="0"/>
              <w:widowControl w:val="0"/>
              <w:kinsoku/>
              <w:wordWrap/>
              <w:overflowPunct/>
              <w:topLinePunct w:val="0"/>
              <w:bidi w:val="0"/>
              <w:spacing w:line="480" w:lineRule="exact"/>
              <w:ind w:firstLine="480" w:firstLineChars="200"/>
              <w:textAlignment w:val="auto"/>
              <w:rPr>
                <w:rFonts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lang w:val="en-US" w:eastAsia="zh-CN"/>
                <w14:textFill>
                  <w14:solidFill>
                    <w14:schemeClr w14:val="tx1"/>
                  </w14:solidFill>
                </w14:textFill>
              </w:rPr>
              <w:t>依托园区良好的水绿生态环境、以水为媒，强化产业园区内的生态环境建设及特色水绿空间塑造，打造生产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ascii="Times New Roman" w:hAnsi="Times New Roman" w:eastAsia="宋体" w:cs="Times New Roman"/>
                <w:color w:val="000000" w:themeColor="text1"/>
                <w:sz w:val="24"/>
                <w:szCs w:val="24"/>
                <w:lang w:val="en-US" w:eastAsia="zh-CN"/>
                <w14:textFill>
                  <w14:solidFill>
                    <w14:schemeClr w14:val="tx1"/>
                  </w14:solidFill>
                </w14:textFill>
              </w:rPr>
              <w:t>科普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ascii="Times New Roman" w:hAnsi="Times New Roman" w:eastAsia="宋体" w:cs="Times New Roman"/>
                <w:color w:val="000000" w:themeColor="text1"/>
                <w:sz w:val="24"/>
                <w:szCs w:val="24"/>
                <w:lang w:val="en-US" w:eastAsia="zh-CN"/>
                <w14:textFill>
                  <w14:solidFill>
                    <w14:schemeClr w14:val="tx1"/>
                  </w14:solidFill>
                </w14:textFill>
              </w:rPr>
              <w:t>绿色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ascii="Times New Roman" w:hAnsi="Times New Roman" w:eastAsia="宋体" w:cs="Times New Roman"/>
                <w:color w:val="000000" w:themeColor="text1"/>
                <w:sz w:val="24"/>
                <w:szCs w:val="24"/>
                <w:lang w:val="en-US" w:eastAsia="zh-CN"/>
                <w14:textFill>
                  <w14:solidFill>
                    <w14:schemeClr w14:val="tx1"/>
                  </w14:solidFill>
                </w14:textFill>
              </w:rPr>
              <w:t>休闲“四位一体”的现代化生态服务岛</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1B85B67F">
            <w:pPr>
              <w:keepNext w:val="0"/>
              <w:keepLines w:val="0"/>
              <w:pageBreakBefore w:val="0"/>
              <w:widowControl w:val="0"/>
              <w:kinsoku/>
              <w:wordWrap/>
              <w:overflowPunct/>
              <w:topLinePunct w:val="0"/>
              <w:bidi w:val="0"/>
              <w:spacing w:line="480" w:lineRule="exact"/>
              <w:ind w:firstLine="480" w:firstLineChars="200"/>
              <w:textAlignment w:val="auto"/>
              <w:rPr>
                <w:rFonts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主要以代谢工程和合成生物学技术改造基因工程菌实验为主</w:t>
            </w:r>
            <w:r>
              <w:rPr>
                <w:rFonts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属于生命健康产业</w:t>
            </w:r>
            <w:r>
              <w:rPr>
                <w:rFonts w:ascii="Times New Roman" w:hAnsi="Times New Roman" w:eastAsia="宋体" w:cs="Times New Roman"/>
                <w:color w:val="000000" w:themeColor="text1"/>
                <w:sz w:val="24"/>
                <w:szCs w:val="24"/>
                <w:lang w:val="en-US" w:eastAsia="zh-CN"/>
                <w14:textFill>
                  <w14:solidFill>
                    <w14:schemeClr w14:val="tx1"/>
                  </w14:solidFill>
                </w14:textFill>
              </w:rPr>
              <w:t>，与</w:t>
            </w:r>
            <w:r>
              <w:rPr>
                <w:rFonts w:hint="eastAsia" w:cs="Times New Roman"/>
                <w:color w:val="000000" w:themeColor="text1"/>
                <w:sz w:val="24"/>
                <w:szCs w:val="24"/>
                <w:lang w:val="en-US" w:eastAsia="zh-CN"/>
                <w14:textFill>
                  <w14:solidFill>
                    <w14:schemeClr w14:val="tx1"/>
                  </w14:solidFill>
                </w14:textFill>
              </w:rPr>
              <w:t>空间</w:t>
            </w:r>
            <w:r>
              <w:rPr>
                <w:rFonts w:ascii="Times New Roman" w:hAnsi="Times New Roman" w:eastAsia="宋体" w:cs="Times New Roman"/>
                <w:color w:val="000000" w:themeColor="text1"/>
                <w:sz w:val="24"/>
                <w:szCs w:val="24"/>
                <w:lang w:val="en-US" w:eastAsia="zh-CN"/>
                <w14:textFill>
                  <w14:solidFill>
                    <w14:schemeClr w14:val="tx1"/>
                  </w14:solidFill>
                </w14:textFill>
              </w:rPr>
              <w:t>布局</w:t>
            </w:r>
            <w:r>
              <w:rPr>
                <w:rFonts w:hint="eastAsia" w:cs="Times New Roman"/>
                <w:color w:val="000000" w:themeColor="text1"/>
                <w:sz w:val="24"/>
                <w:szCs w:val="24"/>
                <w:lang w:val="en-US" w:eastAsia="zh-CN"/>
                <w14:textFill>
                  <w14:solidFill>
                    <w14:schemeClr w14:val="tx1"/>
                  </w14:solidFill>
                </w14:textFill>
              </w:rPr>
              <w:t>规划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相符</w:t>
            </w:r>
            <w:r>
              <w:rPr>
                <w:rFonts w:ascii="Times New Roman" w:hAnsi="Times New Roman" w:eastAsia="宋体" w:cs="Times New Roman"/>
                <w:color w:val="000000" w:themeColor="text1"/>
                <w:sz w:val="24"/>
                <w:szCs w:val="24"/>
                <w:lang w:val="en-US" w:eastAsia="zh-CN"/>
                <w14:textFill>
                  <w14:solidFill>
                    <w14:schemeClr w14:val="tx1"/>
                  </w14:solidFill>
                </w14:textFill>
              </w:rPr>
              <w:t>。</w:t>
            </w:r>
          </w:p>
          <w:p w14:paraId="1316C2E1">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、基础设施规划</w:t>
            </w:r>
          </w:p>
          <w:p w14:paraId="5E5EF93C">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（1）给水工程规划</w:t>
            </w:r>
          </w:p>
          <w:p w14:paraId="24DD0D58">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金城科技产业园由长荡湖水厂供水，水源取自长荡湖，以常金供水、金武供水为应急。</w:t>
            </w:r>
          </w:p>
          <w:p w14:paraId="61244912">
            <w:pPr>
              <w:keepNext w:val="0"/>
              <w:keepLines w:val="0"/>
              <w:pageBreakBefore w:val="0"/>
              <w:widowControl w:val="0"/>
              <w:kinsoku/>
              <w:wordWrap/>
              <w:overflowPunct/>
              <w:topLinePunct w:val="0"/>
              <w:bidi w:val="0"/>
              <w:spacing w:line="480" w:lineRule="exact"/>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长荡湖水厂设计供水规模为30万吨m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/d，其中一期工程（供水规模20万m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/d）于2015年10月开工建设，2018年7月正式投运，采用“预处理+常规处理+深度处理”工艺。</w:t>
            </w:r>
          </w:p>
          <w:p w14:paraId="1725649F">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（2）雨水工程规划</w:t>
            </w:r>
          </w:p>
          <w:p w14:paraId="6F759D45">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排水制度为雨污分流制。雨水排放按分散、就近原则排入河道。保留现有道路下雨水管道，结合新建道路敷设雨水管道，配套道路及周边排水条件。规划区内道路人行道铺装、广场及其它硬地铺装尽量采用透水材料，停车场尽量采用植草砖种植绿化，以最大限度地降低雨水径流。鼓励各开发地块对部分清洁雨水进行收集处理后利用，用于绿化浇灌、水景补水及冲厕等，实现水体的生态循环，节约水资源。</w:t>
            </w:r>
          </w:p>
          <w:p w14:paraId="7CE0DEF2">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（3）污水工程规划</w:t>
            </w:r>
          </w:p>
          <w:p w14:paraId="464B5A94">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园区采用雨污分流的排水体制。污水分片收集后，经泵站提升进金坛第二污水处理厂集中处理，工业污水须预处理达标后方能接管，待金坛工业污水厂建成且相关管网敷设到位后，特殊产业及化工类污水由单独管道输送至金坛工业污水厂处理。</w:t>
            </w:r>
          </w:p>
          <w:p w14:paraId="538CDD60">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金坛第二污水厂位于良常路北、金武路西侧，现状规模</w:t>
            </w:r>
            <w:r>
              <w:rPr>
                <w:rFonts w:hint="eastAsia"/>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.0万立方米/日，</w:t>
            </w:r>
            <w:r>
              <w:rPr>
                <w:color w:val="000000" w:themeColor="text1"/>
                <w:sz w:val="24"/>
                <w:szCs w:val="24"/>
                <w:lang w:val="en-US" w:eastAsia="zh-CN"/>
                <w14:textFill>
                  <w14:solidFill>
                    <w14:schemeClr w14:val="tx1"/>
                  </w14:solidFill>
                </w14:textFill>
              </w:rPr>
              <w:t>其中再生水利用量为</w:t>
            </w:r>
            <w:r>
              <w:rPr>
                <w:rFonts w:hint="default"/>
                <w:color w:val="000000" w:themeColor="text1"/>
                <w:sz w:val="24"/>
                <w:szCs w:val="24"/>
                <w:lang w:val="en-US" w:eastAsia="zh-CN"/>
                <w14:textFill>
                  <w14:solidFill>
                    <w14:schemeClr w14:val="tx1"/>
                  </w14:solidFill>
                </w14:textFill>
              </w:rPr>
              <w:t>2</w:t>
            </w:r>
            <w:r>
              <w:rPr>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color w:val="000000" w:themeColor="text1"/>
                <w:sz w:val="24"/>
                <w:szCs w:val="24"/>
                <w:lang w:val="en-US" w:eastAsia="zh-CN"/>
                <w14:textFill>
                  <w14:solidFill>
                    <w14:schemeClr w14:val="tx1"/>
                  </w14:solidFill>
                </w14:textFill>
              </w:rPr>
              <w:t>。金坛第二污水处理厂主要收集金坛老城区东环二路以东、开发区（含开发区核心区、金科园、华科园）的污水。</w:t>
            </w:r>
            <w:r>
              <w:rPr>
                <w:color w:val="000000" w:themeColor="text1"/>
                <w:sz w:val="24"/>
                <w:szCs w:val="24"/>
                <w14:textFill>
                  <w14:solidFill>
                    <w14:schemeClr w14:val="tx1"/>
                  </w14:solidFill>
                </w14:textFill>
              </w:rPr>
              <w:t>按太湖流域污染防治要求，尾水达到《城镇污水处理厂污染物排放标准》中一级A标准及《太湖地区城镇污水处理厂及重点工业行业主要水污染物排放限值》</w:t>
            </w:r>
            <w:r>
              <w:rPr>
                <w:color w:val="000000" w:themeColor="text1"/>
                <w:sz w:val="24"/>
                <w:szCs w:val="24"/>
                <w:lang w:val="en-US" w:eastAsia="zh-CN"/>
                <w14:textFill>
                  <w14:solidFill>
                    <w14:schemeClr w14:val="tx1"/>
                  </w14:solidFill>
                </w14:textFill>
              </w:rPr>
              <w:t>城镇污水处理厂Ⅰ级标准后</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.0万立方米/日回用，剩余部分排入尧塘河。</w:t>
            </w:r>
            <w:r>
              <w:rPr>
                <w:color w:val="000000" w:themeColor="text1"/>
                <w:sz w:val="24"/>
                <w:szCs w:val="24"/>
                <w:lang w:val="en-US" w:eastAsia="zh-CN"/>
                <w14:textFill>
                  <w14:solidFill>
                    <w14:schemeClr w14:val="tx1"/>
                  </w14:solidFill>
                </w14:textFill>
              </w:rPr>
              <w:t>第二污水厂建设有再生水利用工程，尾水量超出</w:t>
            </w:r>
            <w:r>
              <w:rPr>
                <w:rFonts w:hint="default"/>
                <w:color w:val="000000" w:themeColor="text1"/>
                <w:sz w:val="24"/>
                <w:szCs w:val="24"/>
                <w:lang w:val="en-US" w:eastAsia="zh-CN"/>
                <w14:textFill>
                  <w14:solidFill>
                    <w14:schemeClr w14:val="tx1"/>
                  </w14:solidFill>
                </w14:textFill>
              </w:rPr>
              <w:t>4</w:t>
            </w:r>
            <w:r>
              <w:rPr>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color w:val="000000" w:themeColor="text1"/>
                <w:sz w:val="24"/>
                <w:szCs w:val="24"/>
                <w:lang w:val="en-US" w:eastAsia="zh-CN"/>
                <w14:textFill>
                  <w14:solidFill>
                    <w14:schemeClr w14:val="tx1"/>
                  </w14:solidFill>
                </w14:textFill>
              </w:rPr>
              <w:t>时，超出部分作为下塘河景观水回用，尾水达到《城市污水再利用景观环境用水水质标准》（</w:t>
            </w:r>
            <w:r>
              <w:rPr>
                <w:rFonts w:hint="default"/>
                <w:color w:val="000000" w:themeColor="text1"/>
                <w:sz w:val="24"/>
                <w:szCs w:val="24"/>
                <w:lang w:val="en-US" w:eastAsia="zh-CN"/>
                <w14:textFill>
                  <w14:solidFill>
                    <w14:schemeClr w14:val="tx1"/>
                  </w14:solidFill>
                </w14:textFill>
              </w:rPr>
              <w:t>GB/T18921-2002</w:t>
            </w:r>
            <w:r>
              <w:rPr>
                <w:color w:val="000000" w:themeColor="text1"/>
                <w:sz w:val="24"/>
                <w:szCs w:val="24"/>
                <w:lang w:val="en-US" w:eastAsia="zh-CN"/>
                <w14:textFill>
                  <w14:solidFill>
                    <w14:schemeClr w14:val="tx1"/>
                  </w14:solidFill>
                </w14:textFill>
              </w:rPr>
              <w:t>）。污泥处置方式为建材利用，由江苏博耐特斯新型建材有限公司处置。</w:t>
            </w:r>
          </w:p>
          <w:p w14:paraId="76D850CB">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金坛经济开发区内正在新建</w:t>
            </w:r>
            <w:r>
              <w:rPr>
                <w:rFonts w:hint="default"/>
                <w:color w:val="000000" w:themeColor="text1"/>
                <w:sz w:val="24"/>
                <w:szCs w:val="24"/>
                <w:lang w:val="en-US" w:eastAsia="zh-CN"/>
                <w14:textFill>
                  <w14:solidFill>
                    <w14:schemeClr w14:val="tx1"/>
                  </w14:solidFill>
                </w14:textFill>
              </w:rPr>
              <w:t>1</w:t>
            </w:r>
            <w:r>
              <w:rPr>
                <w:color w:val="000000" w:themeColor="text1"/>
                <w:sz w:val="24"/>
                <w:szCs w:val="24"/>
                <w:lang w:val="en-US" w:eastAsia="zh-CN"/>
                <w14:textFill>
                  <w14:solidFill>
                    <w14:schemeClr w14:val="tx1"/>
                  </w14:solidFill>
                </w14:textFill>
              </w:rPr>
              <w:t>座规模</w:t>
            </w:r>
            <w:r>
              <w:rPr>
                <w:rFonts w:hint="default"/>
                <w:color w:val="000000" w:themeColor="text1"/>
                <w:sz w:val="24"/>
                <w:szCs w:val="24"/>
                <w:lang w:val="en-US" w:eastAsia="zh-CN"/>
                <w14:textFill>
                  <w14:solidFill>
                    <w14:schemeClr w14:val="tx1"/>
                  </w14:solidFill>
                </w14:textFill>
              </w:rPr>
              <w:t>5</w:t>
            </w:r>
            <w:r>
              <w:rPr>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color w:val="000000" w:themeColor="text1"/>
                <w:sz w:val="24"/>
                <w:szCs w:val="24"/>
                <w:lang w:val="en-US" w:eastAsia="zh-CN"/>
                <w14:textFill>
                  <w14:solidFill>
                    <w14:schemeClr w14:val="tx1"/>
                  </w14:solidFill>
                </w14:textFill>
              </w:rPr>
              <w:t>的金坛区工业污水处理厂以满足开发区日益增长的污水处理需求（近期规模</w:t>
            </w:r>
            <w:r>
              <w:rPr>
                <w:rFonts w:hint="default"/>
                <w:color w:val="000000" w:themeColor="text1"/>
                <w:sz w:val="24"/>
                <w:szCs w:val="24"/>
                <w:lang w:val="en-US" w:eastAsia="zh-CN"/>
                <w14:textFill>
                  <w14:solidFill>
                    <w14:schemeClr w14:val="tx1"/>
                  </w14:solidFill>
                </w14:textFill>
              </w:rPr>
              <w:t>2</w:t>
            </w:r>
            <w:r>
              <w:rPr>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color w:val="000000" w:themeColor="text1"/>
                <w:sz w:val="24"/>
                <w:szCs w:val="24"/>
                <w:lang w:val="en-US" w:eastAsia="zh-CN"/>
                <w14:textFill>
                  <w14:solidFill>
                    <w14:schemeClr w14:val="tx1"/>
                  </w14:solidFill>
                </w14:textFill>
              </w:rPr>
              <w:t>，远期</w:t>
            </w:r>
            <w:r>
              <w:rPr>
                <w:rFonts w:hint="default"/>
                <w:color w:val="000000" w:themeColor="text1"/>
                <w:sz w:val="24"/>
                <w:szCs w:val="24"/>
                <w:lang w:val="en-US" w:eastAsia="zh-CN"/>
                <w14:textFill>
                  <w14:solidFill>
                    <w14:schemeClr w14:val="tx1"/>
                  </w14:solidFill>
                </w14:textFill>
              </w:rPr>
              <w:t>5</w:t>
            </w:r>
            <w:r>
              <w:rPr>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color w:val="000000" w:themeColor="text1"/>
                <w:sz w:val="24"/>
                <w:szCs w:val="24"/>
                <w:lang w:val="en-US" w:eastAsia="zh-CN"/>
                <w14:textFill>
                  <w14:solidFill>
                    <w14:schemeClr w14:val="tx1"/>
                  </w14:solidFill>
                </w14:textFill>
              </w:rPr>
              <w:t>）。一期设计规模</w:t>
            </w:r>
            <w:r>
              <w:rPr>
                <w:rFonts w:hint="default"/>
                <w:color w:val="000000" w:themeColor="text1"/>
                <w:sz w:val="24"/>
                <w:szCs w:val="24"/>
                <w:lang w:val="en-US" w:eastAsia="zh-CN"/>
                <w14:textFill>
                  <w14:solidFill>
                    <w14:schemeClr w14:val="tx1"/>
                  </w14:solidFill>
                </w14:textFill>
              </w:rPr>
              <w:t>2</w:t>
            </w:r>
            <w:r>
              <w:rPr>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color w:val="000000" w:themeColor="text1"/>
                <w:sz w:val="24"/>
                <w:szCs w:val="24"/>
                <w:lang w:val="en-US" w:eastAsia="zh-CN"/>
                <w14:textFill>
                  <w14:solidFill>
                    <w14:schemeClr w14:val="tx1"/>
                  </w14:solidFill>
                </w14:textFill>
              </w:rPr>
              <w:t>，其中，化工废水处理系统设计规模</w:t>
            </w:r>
            <w:r>
              <w:rPr>
                <w:rFonts w:hint="default"/>
                <w:color w:val="000000" w:themeColor="text1"/>
                <w:sz w:val="24"/>
                <w:szCs w:val="24"/>
                <w:lang w:val="en-US" w:eastAsia="zh-CN"/>
                <w14:textFill>
                  <w14:solidFill>
                    <w14:schemeClr w14:val="tx1"/>
                  </w14:solidFill>
                </w14:textFill>
              </w:rPr>
              <w:t>0.5</w:t>
            </w:r>
            <w:r>
              <w:rPr>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color w:val="000000" w:themeColor="text1"/>
                <w:sz w:val="24"/>
                <w:szCs w:val="24"/>
                <w:lang w:val="en-US" w:eastAsia="zh-CN"/>
                <w14:textFill>
                  <w14:solidFill>
                    <w14:schemeClr w14:val="tx1"/>
                  </w14:solidFill>
                </w14:textFill>
              </w:rPr>
              <w:t>，主要用于处理金坛新材料园区的化工废水；一般工业废水处理系统设计规模</w:t>
            </w:r>
            <w:r>
              <w:rPr>
                <w:rFonts w:hint="default"/>
                <w:color w:val="000000" w:themeColor="text1"/>
                <w:sz w:val="24"/>
                <w:szCs w:val="24"/>
                <w:lang w:val="en-US" w:eastAsia="zh-CN"/>
                <w14:textFill>
                  <w14:solidFill>
                    <w14:schemeClr w14:val="tx1"/>
                  </w14:solidFill>
                </w14:textFill>
              </w:rPr>
              <w:t>1.5</w:t>
            </w:r>
            <w:r>
              <w:rPr>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color w:val="000000" w:themeColor="text1"/>
                <w:sz w:val="24"/>
                <w:szCs w:val="24"/>
                <w:lang w:val="en-US" w:eastAsia="zh-CN"/>
                <w14:textFill>
                  <w14:solidFill>
                    <w14:schemeClr w14:val="tx1"/>
                  </w14:solidFill>
                </w14:textFill>
              </w:rPr>
              <w:t>，用于处理一般工业废水</w:t>
            </w:r>
            <w:r>
              <w:rPr>
                <w:rFonts w:hint="eastAsia"/>
                <w:color w:val="000000" w:themeColor="text1"/>
                <w:sz w:val="24"/>
                <w:szCs w:val="24"/>
                <w:lang w:val="en-US" w:eastAsia="zh-CN"/>
                <w14:textFill>
                  <w14:solidFill>
                    <w14:schemeClr w14:val="tx1"/>
                  </w14:solidFill>
                </w14:textFill>
              </w:rPr>
              <w:t>。</w:t>
            </w:r>
          </w:p>
          <w:p w14:paraId="188DA739">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本项目所在地污水管网已敷设到位，</w:t>
            </w:r>
            <w:r>
              <w:rPr>
                <w:rFonts w:hint="eastAsia"/>
                <w:color w:val="000000" w:themeColor="text1"/>
                <w:sz w:val="24"/>
                <w:szCs w:val="24"/>
                <w:lang w:val="en-US" w:eastAsia="zh-CN"/>
                <w14:textFill>
                  <w14:solidFill>
                    <w14:schemeClr w14:val="tx1"/>
                  </w14:solidFill>
                </w14:textFill>
              </w:rPr>
              <w:t>本项目产生的</w:t>
            </w:r>
            <w:r>
              <w:rPr>
                <w:rFonts w:hint="eastAsia"/>
                <w:color w:val="000000" w:themeColor="text1"/>
                <w:sz w:val="24"/>
                <w:szCs w:val="24"/>
                <w14:textFill>
                  <w14:solidFill>
                    <w14:schemeClr w14:val="tx1"/>
                  </w14:solidFill>
                </w14:textFill>
              </w:rPr>
              <w:t>生活污水接入金坛区第二污水处理有限公司进行处理</w:t>
            </w:r>
            <w:r>
              <w:rPr>
                <w:color w:val="000000" w:themeColor="text1"/>
                <w:kern w:val="0"/>
                <w:sz w:val="24"/>
                <w:szCs w:val="24"/>
                <w14:textFill>
                  <w14:solidFill>
                    <w14:schemeClr w14:val="tx1"/>
                  </w14:solidFill>
                </w14:textFill>
              </w:rPr>
              <w:t>。</w:t>
            </w:r>
          </w:p>
          <w:p w14:paraId="101048A8">
            <w:pPr>
              <w:keepNext w:val="0"/>
              <w:keepLines w:val="0"/>
              <w:pageBreakBefore w:val="0"/>
              <w:widowControl w:val="0"/>
              <w:kinsoku/>
              <w:wordWrap/>
              <w:overflowPunct/>
              <w:topLinePunct w:val="0"/>
              <w:bidi w:val="0"/>
              <w:spacing w:line="480" w:lineRule="exact"/>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供电工程规划</w:t>
            </w:r>
          </w:p>
          <w:p w14:paraId="25C1D445">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规划期末园区最高用电负荷约</w:t>
            </w:r>
            <w:r>
              <w:rPr>
                <w:rFonts w:hint="default"/>
                <w:color w:val="000000" w:themeColor="text1"/>
                <w:sz w:val="24"/>
                <w:szCs w:val="24"/>
                <w:lang w:val="en-US" w:eastAsia="zh-CN"/>
                <w14:textFill>
                  <w14:solidFill>
                    <w14:schemeClr w14:val="tx1"/>
                  </w14:solidFill>
                </w14:textFill>
              </w:rPr>
              <w:t>250MW</w:t>
            </w:r>
            <w:r>
              <w:rPr>
                <w:color w:val="000000" w:themeColor="text1"/>
                <w:sz w:val="24"/>
                <w:szCs w:val="24"/>
                <w:lang w:val="en-US" w:eastAsia="zh-CN"/>
                <w14:textFill>
                  <w14:solidFill>
                    <w14:schemeClr w14:val="tx1"/>
                  </w14:solidFill>
                </w14:textFill>
              </w:rPr>
              <w:t>。</w:t>
            </w:r>
          </w:p>
          <w:p w14:paraId="508CCB95">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规划保留</w:t>
            </w:r>
            <w:r>
              <w:rPr>
                <w:rFonts w:hint="default"/>
                <w:color w:val="000000" w:themeColor="text1"/>
                <w:sz w:val="24"/>
                <w:szCs w:val="24"/>
                <w:lang w:val="en-US" w:eastAsia="zh-CN"/>
                <w14:textFill>
                  <w14:solidFill>
                    <w14:schemeClr w14:val="tx1"/>
                  </w14:solidFill>
                </w14:textFill>
              </w:rPr>
              <w:t>110kV</w:t>
            </w:r>
            <w:r>
              <w:rPr>
                <w:color w:val="000000" w:themeColor="text1"/>
                <w:sz w:val="24"/>
                <w:szCs w:val="24"/>
                <w:lang w:val="en-US" w:eastAsia="zh-CN"/>
                <w14:textFill>
                  <w14:solidFill>
                    <w14:schemeClr w14:val="tx1"/>
                  </w14:solidFill>
                </w14:textFill>
              </w:rPr>
              <w:t>城西变（</w:t>
            </w:r>
            <w:r>
              <w:rPr>
                <w:rFonts w:hint="default"/>
                <w:color w:val="000000" w:themeColor="text1"/>
                <w:sz w:val="24"/>
                <w:szCs w:val="24"/>
                <w:lang w:val="en-US" w:eastAsia="zh-CN"/>
                <w14:textFill>
                  <w14:solidFill>
                    <w14:schemeClr w14:val="tx1"/>
                  </w14:solidFill>
                </w14:textFill>
              </w:rPr>
              <w:t>1*31.5MVA</w:t>
            </w:r>
            <w:r>
              <w:rPr>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110kV</w:t>
            </w:r>
            <w:r>
              <w:rPr>
                <w:color w:val="000000" w:themeColor="text1"/>
                <w:sz w:val="24"/>
                <w:szCs w:val="24"/>
                <w:lang w:val="en-US" w:eastAsia="zh-CN"/>
                <w14:textFill>
                  <w14:solidFill>
                    <w14:schemeClr w14:val="tx1"/>
                  </w14:solidFill>
                </w14:textFill>
              </w:rPr>
              <w:t>盐港变（</w:t>
            </w:r>
            <w:r>
              <w:rPr>
                <w:rFonts w:hint="default"/>
                <w:color w:val="000000" w:themeColor="text1"/>
                <w:sz w:val="24"/>
                <w:szCs w:val="24"/>
                <w:lang w:val="en-US" w:eastAsia="zh-CN"/>
                <w14:textFill>
                  <w14:solidFill>
                    <w14:schemeClr w14:val="tx1"/>
                  </w14:solidFill>
                </w14:textFill>
              </w:rPr>
              <w:t>1*80MVA</w:t>
            </w:r>
            <w:r>
              <w:rPr>
                <w:color w:val="000000" w:themeColor="text1"/>
                <w:sz w:val="24"/>
                <w:szCs w:val="24"/>
                <w:lang w:val="en-US" w:eastAsia="zh-CN"/>
                <w14:textFill>
                  <w14:solidFill>
                    <w14:schemeClr w14:val="tx1"/>
                  </w14:solidFill>
                </w14:textFill>
              </w:rPr>
              <w:t>），现状</w:t>
            </w:r>
            <w:r>
              <w:rPr>
                <w:rFonts w:hint="default"/>
                <w:color w:val="000000" w:themeColor="text1"/>
                <w:sz w:val="24"/>
                <w:szCs w:val="24"/>
                <w:lang w:val="en-US" w:eastAsia="zh-CN"/>
                <w14:textFill>
                  <w14:solidFill>
                    <w14:schemeClr w14:val="tx1"/>
                  </w14:solidFill>
                </w14:textFill>
              </w:rPr>
              <w:t>110kV</w:t>
            </w:r>
            <w:r>
              <w:rPr>
                <w:color w:val="000000" w:themeColor="text1"/>
                <w:sz w:val="24"/>
                <w:szCs w:val="24"/>
                <w:lang w:val="en-US" w:eastAsia="zh-CN"/>
                <w14:textFill>
                  <w14:solidFill>
                    <w14:schemeClr w14:val="tx1"/>
                  </w14:solidFill>
                </w14:textFill>
              </w:rPr>
              <w:t>线路、</w:t>
            </w:r>
            <w:r>
              <w:rPr>
                <w:rFonts w:hint="default"/>
                <w:color w:val="000000" w:themeColor="text1"/>
                <w:sz w:val="24"/>
                <w:szCs w:val="24"/>
                <w:lang w:val="en-US" w:eastAsia="zh-CN"/>
                <w14:textFill>
                  <w14:solidFill>
                    <w14:schemeClr w14:val="tx1"/>
                  </w14:solidFill>
                </w14:textFill>
              </w:rPr>
              <w:t>35kV</w:t>
            </w:r>
            <w:r>
              <w:rPr>
                <w:color w:val="000000" w:themeColor="text1"/>
                <w:sz w:val="24"/>
                <w:szCs w:val="24"/>
                <w:lang w:val="en-US" w:eastAsia="zh-CN"/>
                <w14:textFill>
                  <w14:solidFill>
                    <w14:schemeClr w14:val="tx1"/>
                  </w14:solidFill>
                </w14:textFill>
              </w:rPr>
              <w:t>线路保留，影响地块建设的局部迁移改造，规划沿春风东路建设</w:t>
            </w:r>
            <w:r>
              <w:rPr>
                <w:rFonts w:hint="default"/>
                <w:color w:val="000000" w:themeColor="text1"/>
                <w:sz w:val="24"/>
                <w:szCs w:val="24"/>
                <w:lang w:val="en-US" w:eastAsia="zh-CN"/>
                <w14:textFill>
                  <w14:solidFill>
                    <w14:schemeClr w14:val="tx1"/>
                  </w14:solidFill>
                </w14:textFill>
              </w:rPr>
              <w:t>35kV</w:t>
            </w:r>
            <w:r>
              <w:rPr>
                <w:color w:val="000000" w:themeColor="text1"/>
                <w:sz w:val="24"/>
                <w:szCs w:val="24"/>
                <w:lang w:val="en-US" w:eastAsia="zh-CN"/>
                <w14:textFill>
                  <w14:solidFill>
                    <w14:schemeClr w14:val="tx1"/>
                  </w14:solidFill>
                </w14:textFill>
              </w:rPr>
              <w:t>电缆。新建</w:t>
            </w:r>
            <w:r>
              <w:rPr>
                <w:rFonts w:hint="default"/>
                <w:color w:val="000000" w:themeColor="text1"/>
                <w:sz w:val="24"/>
                <w:szCs w:val="24"/>
                <w:lang w:val="en-US" w:eastAsia="zh-CN"/>
                <w14:textFill>
                  <w14:solidFill>
                    <w14:schemeClr w14:val="tx1"/>
                  </w14:solidFill>
                </w14:textFill>
              </w:rPr>
              <w:t>110kV</w:t>
            </w:r>
            <w:r>
              <w:rPr>
                <w:color w:val="000000" w:themeColor="text1"/>
                <w:sz w:val="24"/>
                <w:szCs w:val="24"/>
                <w:lang w:val="en-US" w:eastAsia="zh-CN"/>
                <w14:textFill>
                  <w14:solidFill>
                    <w14:schemeClr w14:val="tx1"/>
                  </w14:solidFill>
                </w14:textFill>
              </w:rPr>
              <w:t>良常变。</w:t>
            </w:r>
          </w:p>
          <w:p w14:paraId="47A9BE7E">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大型居住区、繁华商业区等原则上采用电缆埋地敷设，其余地区可根据需要采用合适的敷设方式。架空线路采用同杆双回或多回，以道路东、南侧为主要通道。</w:t>
            </w:r>
          </w:p>
          <w:p w14:paraId="240B6DB2">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lang w:val="en-US" w:eastAsia="zh-CN"/>
                <w14:textFill>
                  <w14:solidFill>
                    <w14:schemeClr w14:val="tx1"/>
                  </w14:solidFill>
                </w14:textFill>
              </w:rPr>
              <w:t>除依靠传统的公共电网供电外，区内应积极发展以可再生能源利用为主要形式的分布式能源系统，缓解电网压力，提高能源利用效率。重点利用太阳能热水、太阳能光伏发电、地（水）源热泵、冷热电联产等，建设可持续和可再生的能源系统，形成与常规能源相互衔接、相互补充的能源供应模式。</w:t>
            </w:r>
          </w:p>
          <w:p w14:paraId="3E94F062">
            <w:pPr>
              <w:keepNext w:val="0"/>
              <w:keepLines w:val="0"/>
              <w:pageBreakBefore w:val="0"/>
              <w:widowControl w:val="0"/>
              <w:kinsoku/>
              <w:wordWrap/>
              <w:overflowPunct/>
              <w:topLinePunct w:val="0"/>
              <w:bidi w:val="0"/>
              <w:spacing w:line="480" w:lineRule="exact"/>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燃气工程规划</w:t>
            </w:r>
          </w:p>
          <w:p w14:paraId="3EA3C183">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金坛区上游气源为“西气东输”、“川气东送”等多气源联合供气。供气压力采用中低压二级制。来自直溪门站的高压管道经高中压调压站计量、调压至0.4MPa后送往中心城区中压管网，经良常东路等道路引入园区。</w:t>
            </w:r>
          </w:p>
          <w:p w14:paraId="047E098B">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规划保留现状常良高中压调压站（良常高中压调压站）、良常加气站，船用LNG加气站；保留现状高、中压燃气管道，完善园区中压干管网络，采用环状布置方式布置，中压支管布置成支状。</w:t>
            </w:r>
          </w:p>
          <w:p w14:paraId="6DF106BE">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现状高压燃气管道（DN500）敷设在良常路北侧，中压燃气管道（DN150）敷设在西城路、红山路、荆元路、后关路等道路侧，供应沿线的工业用户。规划沿金沙大道、金城大道（盐港路）、春风东路各敷设1根中压管（DN200），与现状中压管接通。低压管道根据自然地理条件自然成片，确保供气效果。</w:t>
            </w:r>
          </w:p>
          <w:p w14:paraId="745575D3">
            <w:pPr>
              <w:keepNext w:val="0"/>
              <w:keepLines w:val="0"/>
              <w:pageBreakBefore w:val="0"/>
              <w:widowControl w:val="0"/>
              <w:kinsoku/>
              <w:wordWrap/>
              <w:overflowPunct/>
              <w:topLinePunct w:val="0"/>
              <w:bidi w:val="0"/>
              <w:spacing w:line="480" w:lineRule="exact"/>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（6）供热工程规划</w:t>
            </w:r>
          </w:p>
          <w:p w14:paraId="14F58B4F">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园区热用户主要为企业生产用热及部分行政办公、医疗卫生、商业商务等公共设施用户。预测园区热负荷约为43.41t/h。</w:t>
            </w:r>
          </w:p>
          <w:p w14:paraId="4A7B64C0">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在金城科技产业园东部（区外）现状有一座加怡热电厂，建有2×75t/h锅炉+150t/h锅炉正常运行，额定供热能力300t/h，另外2×75t/h锅炉作为备用，现状热负荷221t/h，热用户79家，有一条主干热力管道沿盐港路、城西路敷设至工业园内。</w:t>
            </w:r>
          </w:p>
          <w:p w14:paraId="5FCE33B3">
            <w:pPr>
              <w:keepNext w:val="0"/>
              <w:keepLines w:val="0"/>
              <w:pageBreakBefore w:val="0"/>
              <w:widowControl w:val="0"/>
              <w:kinsoku/>
              <w:wordWrap/>
              <w:overflowPunct/>
              <w:topLinePunct w:val="0"/>
              <w:bidi w:val="0"/>
              <w:spacing w:line="480" w:lineRule="exact"/>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（7）绿地系统规划</w:t>
            </w:r>
          </w:p>
          <w:p w14:paraId="121C5DF6">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金坛金城科技产业园规划以水网绿脉构筑韧性城市骨架，引导沿滨水贯通绿地，形成大岛连小岛的“双岛”连续开敞空间系统。重塑河流水面，形成环形水网，园区内打通水网修复区、生态岛与丹金溧漕河的连系，强化泄洪排涝功能。在水网密集区和生态岛结合打造生态浮岛、人工湿地等形成净水型生态湿地，以保障入河水质达到景观及可接触用水标准。</w:t>
            </w:r>
          </w:p>
          <w:p w14:paraId="78CCAA4B">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结合现状基础与国土空间规划要求，重塑绿化公园、开敞空间节点，完善绿地系统，打造绿地公园、街头绿地等多处开敞空间节点，形成以通济河滨水绿地公园贯通、串联各绿地要素的生态景观。</w:t>
            </w:r>
          </w:p>
          <w:p w14:paraId="4FDBECCC">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打造蓝绿交织海绵城市。基于水绿网络和市政基础设施，建立雨水综合管理系统，以内部调蓄雨污水。基于不同功能绿地，提出渗、滞、蓄、净、用、排六大处理机制。整合现状水系格局，提高水面率，与各类绿地结合，调蓄内部水体，达到防洪、减涝、储水、吸水的作用。</w:t>
            </w:r>
          </w:p>
          <w:p w14:paraId="5DEAB7BB">
            <w:pPr>
              <w:keepNext w:val="0"/>
              <w:keepLines w:val="0"/>
              <w:pageBreakBefore w:val="0"/>
              <w:widowControl w:val="0"/>
              <w:kinsoku/>
              <w:wordWrap/>
              <w:overflowPunct/>
              <w:topLinePunct w:val="0"/>
              <w:bidi w:val="0"/>
              <w:spacing w:line="480" w:lineRule="exact"/>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（8）综合交通规划</w:t>
            </w:r>
          </w:p>
          <w:p w14:paraId="0E24E15B">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完善片区交通网络，形成“两横”：金城大道、良常路；“三纵”：金沙大道、西环二路、丹阳门北路；“一环”：沿新老丹金溧漕河打造生态型景观环道，串联自然、人文、休闲、景观资源。并依据功能需求、进一步完善片区微循环交通网络。</w:t>
            </w:r>
          </w:p>
          <w:p w14:paraId="543D3B10">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形成五条景观大道：</w:t>
            </w:r>
          </w:p>
          <w:p w14:paraId="0EDC8DC5">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微软雅黑" w:cs="Times New Roman"/>
                <w:color w:val="000000" w:themeColor="text1"/>
                <w:sz w:val="24"/>
                <w:szCs w:val="24"/>
                <w:lang w:val="en-US" w:eastAsia="zh-CN"/>
                <w14:textFill>
                  <w14:solidFill>
                    <w14:schemeClr w14:val="tx1"/>
                  </w14:solidFill>
                </w14:textFill>
              </w:rPr>
              <w:t>①</w:t>
            </w:r>
            <w:r>
              <w:rPr>
                <w:rFonts w:hint="eastAsia"/>
                <w:color w:val="000000" w:themeColor="text1"/>
                <w:sz w:val="24"/>
                <w:szCs w:val="24"/>
                <w:lang w:val="en-US" w:eastAsia="zh-CN"/>
                <w14:textFill>
                  <w14:solidFill>
                    <w14:schemeClr w14:val="tx1"/>
                  </w14:solidFill>
                </w14:textFill>
              </w:rPr>
              <w:t>金沙大道：强化金坛港、高铁站与园区功能联系，支撑水陆运输与物流、仓储等产业的联系；</w:t>
            </w:r>
          </w:p>
          <w:p w14:paraId="1B7D9647">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微软雅黑" w:cs="Times New Roman"/>
                <w:color w:val="000000" w:themeColor="text1"/>
                <w:sz w:val="24"/>
                <w:szCs w:val="24"/>
                <w:lang w:val="en-US" w:eastAsia="zh-CN"/>
                <w14:textFill>
                  <w14:solidFill>
                    <w14:schemeClr w14:val="tx1"/>
                  </w14:solidFill>
                </w14:textFill>
              </w:rPr>
              <w:t>②</w:t>
            </w:r>
            <w:r>
              <w:rPr>
                <w:rFonts w:hint="eastAsia"/>
                <w:color w:val="000000" w:themeColor="text1"/>
                <w:sz w:val="24"/>
                <w:szCs w:val="24"/>
                <w:lang w:val="en-US" w:eastAsia="zh-CN"/>
                <w14:textFill>
                  <w14:solidFill>
                    <w14:schemeClr w14:val="tx1"/>
                  </w14:solidFill>
                </w14:textFill>
              </w:rPr>
              <w:t>西环二路（白塔路）：协调乡村、园区与老城界面，中段引导五新产业集聚，南段引导研发、科创等功能集聚吧；</w:t>
            </w:r>
          </w:p>
          <w:p w14:paraId="6FEE5366">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微软雅黑" w:cs="Times New Roman"/>
                <w:color w:val="000000" w:themeColor="text1"/>
                <w:sz w:val="24"/>
                <w:szCs w:val="24"/>
                <w:lang w:val="en-US" w:eastAsia="zh-CN"/>
                <w14:textFill>
                  <w14:solidFill>
                    <w14:schemeClr w14:val="tx1"/>
                  </w14:solidFill>
                </w14:textFill>
              </w:rPr>
              <w:t>③</w:t>
            </w:r>
            <w:r>
              <w:rPr>
                <w:rFonts w:hint="eastAsia"/>
                <w:color w:val="000000" w:themeColor="text1"/>
                <w:sz w:val="24"/>
                <w:szCs w:val="24"/>
                <w:lang w:val="en-US" w:eastAsia="zh-CN"/>
                <w14:textFill>
                  <w14:solidFill>
                    <w14:schemeClr w14:val="tx1"/>
                  </w14:solidFill>
                </w14:textFill>
              </w:rPr>
              <w:t>金城大道：协调生态与生产界面，东段以水网修复的生态界面为主，</w:t>
            </w:r>
          </w:p>
          <w:p w14:paraId="08838F91">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西段以工业地块为主，引导地块内以生产、研发等生产功能布局。</w:t>
            </w:r>
          </w:p>
          <w:p w14:paraId="6565CAC5">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微软雅黑" w:cs="Times New Roman"/>
                <w:color w:val="000000" w:themeColor="text1"/>
                <w:sz w:val="24"/>
                <w:szCs w:val="24"/>
                <w:lang w:val="en-US" w:eastAsia="zh-CN"/>
                <w14:textFill>
                  <w14:solidFill>
                    <w14:schemeClr w14:val="tx1"/>
                  </w14:solidFill>
                </w14:textFill>
              </w:rPr>
              <w:t>④</w:t>
            </w:r>
            <w:r>
              <w:rPr>
                <w:rFonts w:hint="eastAsia"/>
                <w:color w:val="000000" w:themeColor="text1"/>
                <w:sz w:val="24"/>
                <w:szCs w:val="24"/>
                <w:lang w:val="en-US" w:eastAsia="zh-CN"/>
                <w14:textFill>
                  <w14:solidFill>
                    <w14:schemeClr w14:val="tx1"/>
                  </w14:solidFill>
                </w14:textFill>
              </w:rPr>
              <w:t>良常路：协调生产与生活界面，在道路两侧统一增设绿化带，绿化带内设置绿化景观及小品建筑，提升环境品质；</w:t>
            </w:r>
          </w:p>
          <w:p w14:paraId="42C8C436">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微软雅黑" w:cs="Times New Roman"/>
                <w:color w:val="000000" w:themeColor="text1"/>
                <w:sz w:val="24"/>
                <w:szCs w:val="24"/>
                <w:lang w:val="en-US" w:eastAsia="zh-CN"/>
                <w14:textFill>
                  <w14:solidFill>
                    <w14:schemeClr w14:val="tx1"/>
                  </w14:solidFill>
                </w14:textFill>
              </w:rPr>
              <w:t>⑤</w:t>
            </w:r>
            <w:r>
              <w:rPr>
                <w:rFonts w:hint="eastAsia"/>
                <w:color w:val="000000" w:themeColor="text1"/>
                <w:sz w:val="24"/>
                <w:szCs w:val="24"/>
                <w:lang w:val="en-US" w:eastAsia="zh-CN"/>
                <w14:textFill>
                  <w14:solidFill>
                    <w14:schemeClr w14:val="tx1"/>
                  </w14:solidFill>
                </w14:textFill>
              </w:rPr>
              <w:t>丹阳门北路：协调研发与产业服务中心界面，在现状基础上打造形成林荫大道。</w:t>
            </w:r>
          </w:p>
          <w:p w14:paraId="2098FC99">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color w:val="000000" w:themeColor="text1"/>
                <w:sz w:val="24"/>
                <w:szCs w:val="24"/>
                <w14:textFill>
                  <w14:solidFill>
                    <w14:schemeClr w14:val="tx1"/>
                  </w14:solidFill>
                </w14:textFill>
              </w:rPr>
              <w:t>、生态环境准入清单</w:t>
            </w:r>
          </w:p>
          <w:p w14:paraId="37F7D753">
            <w:pPr>
              <w:keepNext w:val="0"/>
              <w:keepLines w:val="0"/>
              <w:pageBreakBefore w:val="0"/>
              <w:widowControl w:val="0"/>
              <w:kinsoku/>
              <w:wordWrap/>
              <w:overflowPunct/>
              <w:topLinePunct w:val="0"/>
              <w:bidi w:val="0"/>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w:t>
            </w:r>
            <w:r>
              <w:rPr>
                <w:rFonts w:hint="eastAsia"/>
                <w:color w:val="000000" w:themeColor="text1"/>
                <w:sz w:val="24"/>
                <w:szCs w:val="24"/>
                <w:lang w:val="en-US" w:eastAsia="zh-CN"/>
                <w14:textFill>
                  <w14:solidFill>
                    <w14:schemeClr w14:val="tx1"/>
                  </w14:solidFill>
                </w14:textFill>
              </w:rPr>
              <w:t>金坛金城科技产业园发展规划环境影响报告书</w:t>
            </w:r>
            <w:r>
              <w:rPr>
                <w:color w:val="000000" w:themeColor="text1"/>
                <w:sz w:val="24"/>
                <w:szCs w:val="24"/>
                <w14:textFill>
                  <w14:solidFill>
                    <w14:schemeClr w14:val="tx1"/>
                  </w14:solidFill>
                </w14:textFill>
              </w:rPr>
              <w:t>》及其审查意见，</w:t>
            </w:r>
            <w:r>
              <w:rPr>
                <w:rFonts w:hint="eastAsia"/>
                <w:color w:val="000000" w:themeColor="text1"/>
                <w:sz w:val="24"/>
                <w:szCs w:val="24"/>
                <w14:textFill>
                  <w14:solidFill>
                    <w14:schemeClr w14:val="tx1"/>
                  </w14:solidFill>
                </w14:textFill>
              </w:rPr>
              <w:t>本项目与审查意见的相符性分析见表1-</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w:t>
            </w:r>
          </w:p>
        </w:tc>
      </w:tr>
    </w:tbl>
    <w:p w14:paraId="07C01CEB">
      <w:pPr>
        <w:tabs>
          <w:tab w:val="left" w:pos="1875"/>
        </w:tabs>
        <w:rPr>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3281"/>
      </w:tblGrid>
      <w:tr w14:paraId="6AB6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 w:type="pct"/>
            <w:noWrap w:val="0"/>
            <w:vAlign w:val="center"/>
          </w:tcPr>
          <w:p w14:paraId="7A840241">
            <w:pPr>
              <w:pStyle w:val="7"/>
              <w:jc w:val="center"/>
              <w:rPr>
                <w:color w:val="auto"/>
                <w:lang w:val="en-US" w:eastAsia="zh-CN"/>
              </w:rPr>
            </w:pPr>
            <w:r>
              <w:rPr>
                <w:color w:val="auto"/>
                <w:kern w:val="2"/>
                <w:sz w:val="21"/>
                <w:szCs w:val="21"/>
                <w:lang w:val="en-US" w:eastAsia="zh-CN"/>
              </w:rPr>
              <w:t>规划及规划环境影响评价符合性分析</w:t>
            </w:r>
          </w:p>
        </w:tc>
        <w:tc>
          <w:tcPr>
            <w:tcW w:w="4864" w:type="pct"/>
            <w:noWrap w:val="0"/>
            <w:vAlign w:val="top"/>
          </w:tcPr>
          <w:p w14:paraId="4376FBE8">
            <w:pPr>
              <w:snapToGrid w:val="0"/>
              <w:spacing w:before="72" w:beforeLines="30" w:line="360" w:lineRule="exact"/>
              <w:jc w:val="center"/>
              <w:rPr>
                <w:b/>
                <w:bCs/>
                <w:color w:val="auto"/>
                <w:szCs w:val="21"/>
              </w:rPr>
            </w:pPr>
            <w:r>
              <w:rPr>
                <w:rFonts w:hint="eastAsia"/>
                <w:b/>
                <w:bCs/>
                <w:color w:val="auto"/>
                <w:szCs w:val="21"/>
              </w:rPr>
              <w:t>表1-</w:t>
            </w:r>
            <w:r>
              <w:rPr>
                <w:rFonts w:hint="eastAsia"/>
                <w:b/>
                <w:bCs/>
                <w:color w:val="auto"/>
                <w:szCs w:val="21"/>
                <w:lang w:val="en-US" w:eastAsia="zh-CN"/>
              </w:rPr>
              <w:t>1</w:t>
            </w:r>
            <w:r>
              <w:rPr>
                <w:rFonts w:hint="eastAsia"/>
                <w:b/>
                <w:bCs/>
                <w:color w:val="auto"/>
                <w:szCs w:val="21"/>
              </w:rPr>
              <w:t xml:space="preserve">  与</w:t>
            </w:r>
            <w:bookmarkStart w:id="10" w:name="OLE_LINK47"/>
            <w:r>
              <w:rPr>
                <w:rFonts w:hint="eastAsia"/>
                <w:b/>
                <w:bCs/>
                <w:color w:val="auto"/>
                <w:szCs w:val="21"/>
                <w:lang w:val="en-US" w:eastAsia="zh-CN"/>
              </w:rPr>
              <w:t>金城科技产业园</w:t>
            </w:r>
            <w:bookmarkEnd w:id="10"/>
            <w:r>
              <w:rPr>
                <w:rFonts w:hint="eastAsia"/>
                <w:b/>
                <w:bCs/>
                <w:color w:val="auto"/>
                <w:szCs w:val="21"/>
              </w:rPr>
              <w:t>发展规划审查意见的相符性分析</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213"/>
              <w:gridCol w:w="4307"/>
              <w:gridCol w:w="907"/>
            </w:tblGrid>
            <w:tr w14:paraId="2FD49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44" w:type="pct"/>
                  <w:noWrap w:val="0"/>
                  <w:vAlign w:val="center"/>
                </w:tcPr>
                <w:p w14:paraId="179E6A82">
                  <w:pPr>
                    <w:pStyle w:val="53"/>
                    <w:keepNext w:val="0"/>
                    <w:keepLines w:val="0"/>
                    <w:pageBreakBefore w:val="0"/>
                    <w:widowControl w:val="0"/>
                    <w:kinsoku/>
                    <w:wordWrap/>
                    <w:overflowPunct/>
                    <w:topLinePunct w:val="0"/>
                    <w:autoSpaceDE/>
                    <w:autoSpaceDN/>
                    <w:bidi w:val="0"/>
                    <w:spacing w:line="240" w:lineRule="auto"/>
                    <w:textAlignment w:val="auto"/>
                    <w:rPr>
                      <w:b/>
                      <w:color w:val="auto"/>
                      <w:sz w:val="21"/>
                      <w:szCs w:val="21"/>
                    </w:rPr>
                  </w:pPr>
                  <w:r>
                    <w:rPr>
                      <w:b/>
                      <w:color w:val="auto"/>
                      <w:sz w:val="21"/>
                      <w:szCs w:val="21"/>
                    </w:rPr>
                    <w:t>类别</w:t>
                  </w:r>
                </w:p>
              </w:tc>
              <w:tc>
                <w:tcPr>
                  <w:tcW w:w="2760" w:type="pct"/>
                  <w:noWrap w:val="0"/>
                  <w:vAlign w:val="center"/>
                </w:tcPr>
                <w:p w14:paraId="10BB1B33">
                  <w:pPr>
                    <w:pStyle w:val="53"/>
                    <w:keepNext w:val="0"/>
                    <w:keepLines w:val="0"/>
                    <w:pageBreakBefore w:val="0"/>
                    <w:widowControl w:val="0"/>
                    <w:kinsoku/>
                    <w:wordWrap/>
                    <w:overflowPunct/>
                    <w:topLinePunct w:val="0"/>
                    <w:autoSpaceDE/>
                    <w:autoSpaceDN/>
                    <w:bidi w:val="0"/>
                    <w:spacing w:line="240" w:lineRule="auto"/>
                    <w:textAlignment w:val="auto"/>
                    <w:rPr>
                      <w:b/>
                      <w:color w:val="auto"/>
                      <w:sz w:val="21"/>
                      <w:szCs w:val="21"/>
                    </w:rPr>
                  </w:pPr>
                  <w:r>
                    <w:rPr>
                      <w:b/>
                      <w:color w:val="auto"/>
                      <w:sz w:val="21"/>
                      <w:szCs w:val="21"/>
                    </w:rPr>
                    <w:t>内容</w:t>
                  </w:r>
                </w:p>
              </w:tc>
              <w:tc>
                <w:tcPr>
                  <w:tcW w:w="1648" w:type="pct"/>
                  <w:noWrap w:val="0"/>
                  <w:vAlign w:val="center"/>
                </w:tcPr>
                <w:p w14:paraId="09A3FDF1">
                  <w:pPr>
                    <w:pStyle w:val="53"/>
                    <w:keepNext w:val="0"/>
                    <w:keepLines w:val="0"/>
                    <w:pageBreakBefore w:val="0"/>
                    <w:widowControl w:val="0"/>
                    <w:kinsoku/>
                    <w:wordWrap/>
                    <w:overflowPunct/>
                    <w:topLinePunct w:val="0"/>
                    <w:autoSpaceDE/>
                    <w:autoSpaceDN/>
                    <w:bidi w:val="0"/>
                    <w:spacing w:line="240" w:lineRule="auto"/>
                    <w:textAlignment w:val="auto"/>
                    <w:rPr>
                      <w:b/>
                      <w:color w:val="auto"/>
                      <w:sz w:val="21"/>
                      <w:szCs w:val="21"/>
                    </w:rPr>
                  </w:pPr>
                  <w:r>
                    <w:rPr>
                      <w:b/>
                      <w:color w:val="auto"/>
                      <w:sz w:val="21"/>
                      <w:szCs w:val="21"/>
                    </w:rPr>
                    <w:t>本项目建设情况</w:t>
                  </w:r>
                </w:p>
              </w:tc>
              <w:tc>
                <w:tcPr>
                  <w:tcW w:w="347" w:type="pct"/>
                  <w:noWrap w:val="0"/>
                  <w:vAlign w:val="center"/>
                </w:tcPr>
                <w:p w14:paraId="0249E8A0">
                  <w:pPr>
                    <w:pStyle w:val="53"/>
                    <w:keepNext w:val="0"/>
                    <w:keepLines w:val="0"/>
                    <w:pageBreakBefore w:val="0"/>
                    <w:widowControl w:val="0"/>
                    <w:kinsoku/>
                    <w:wordWrap/>
                    <w:overflowPunct/>
                    <w:topLinePunct w:val="0"/>
                    <w:autoSpaceDE/>
                    <w:autoSpaceDN/>
                    <w:bidi w:val="0"/>
                    <w:spacing w:line="240" w:lineRule="auto"/>
                    <w:textAlignment w:val="auto"/>
                    <w:rPr>
                      <w:b/>
                      <w:color w:val="auto"/>
                      <w:sz w:val="21"/>
                      <w:szCs w:val="21"/>
                    </w:rPr>
                  </w:pPr>
                  <w:r>
                    <w:rPr>
                      <w:b/>
                      <w:color w:val="auto"/>
                      <w:sz w:val="21"/>
                      <w:szCs w:val="21"/>
                    </w:rPr>
                    <w:t>相符性分析</w:t>
                  </w:r>
                </w:p>
              </w:tc>
            </w:tr>
            <w:tr w14:paraId="0AE13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noWrap w:val="0"/>
                  <w:vAlign w:val="center"/>
                </w:tcPr>
                <w:p w14:paraId="1D9513BB">
                  <w:pPr>
                    <w:pStyle w:val="53"/>
                    <w:keepNext w:val="0"/>
                    <w:keepLines w:val="0"/>
                    <w:pageBreakBefore w:val="0"/>
                    <w:widowControl w:val="0"/>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产业定位</w:t>
                  </w:r>
                </w:p>
              </w:tc>
              <w:tc>
                <w:tcPr>
                  <w:tcW w:w="2760" w:type="pct"/>
                  <w:noWrap w:val="0"/>
                  <w:vAlign w:val="center"/>
                </w:tcPr>
                <w:p w14:paraId="302451F4">
                  <w:pPr>
                    <w:pStyle w:val="53"/>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lang w:val="en-US" w:eastAsia="zh-CN"/>
                    </w:rPr>
                    <w:t>重点发展高端装备制造、新能源新材料、生命健康、智慧物流为主导“3+1”产业体系</w:t>
                  </w:r>
                </w:p>
              </w:tc>
              <w:tc>
                <w:tcPr>
                  <w:tcW w:w="1648" w:type="pct"/>
                  <w:noWrap w:val="0"/>
                  <w:vAlign w:val="center"/>
                </w:tcPr>
                <w:p w14:paraId="1EF6675E">
                  <w:pPr>
                    <w:keepNext w:val="0"/>
                    <w:keepLines w:val="0"/>
                    <w:pageBreakBefore w:val="0"/>
                    <w:widowControl w:val="0"/>
                    <w:tabs>
                      <w:tab w:val="left" w:pos="4500"/>
                    </w:tabs>
                    <w:kinsoku/>
                    <w:wordWrap/>
                    <w:overflowPunct/>
                    <w:topLinePunct w:val="0"/>
                    <w:autoSpaceDE/>
                    <w:autoSpaceDN/>
                    <w:bidi w:val="0"/>
                    <w:spacing w:line="240" w:lineRule="auto"/>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本项目为实验室建设项目，以代谢工程和合成生物学技术改造基因工程菌实验为主，属于生命健康产业</w:t>
                  </w:r>
                  <w:r>
                    <w:rPr>
                      <w:rFonts w:hint="eastAsia" w:cs="Times New Roman"/>
                      <w:color w:val="auto"/>
                      <w:kern w:val="2"/>
                      <w:sz w:val="21"/>
                      <w:szCs w:val="21"/>
                      <w:lang w:val="en-US" w:eastAsia="zh-CN" w:bidi="ar-SA"/>
                    </w:rPr>
                    <w:t>。</w:t>
                  </w:r>
                </w:p>
              </w:tc>
              <w:tc>
                <w:tcPr>
                  <w:tcW w:w="347" w:type="pct"/>
                  <w:noWrap w:val="0"/>
                  <w:vAlign w:val="center"/>
                </w:tcPr>
                <w:p w14:paraId="008F8EA2">
                  <w:pPr>
                    <w:pStyle w:val="53"/>
                    <w:keepNext w:val="0"/>
                    <w:keepLines w:val="0"/>
                    <w:pageBreakBefore w:val="0"/>
                    <w:widowControl w:val="0"/>
                    <w:kinsoku/>
                    <w:wordWrap/>
                    <w:overflowPunct/>
                    <w:topLinePunct w:val="0"/>
                    <w:autoSpaceDE/>
                    <w:autoSpaceDN/>
                    <w:bidi w:val="0"/>
                    <w:spacing w:line="240" w:lineRule="auto"/>
                    <w:textAlignment w:val="auto"/>
                    <w:rPr>
                      <w:color w:val="auto"/>
                      <w:sz w:val="21"/>
                      <w:szCs w:val="21"/>
                    </w:rPr>
                  </w:pPr>
                  <w:r>
                    <w:rPr>
                      <w:color w:val="auto"/>
                      <w:sz w:val="21"/>
                      <w:szCs w:val="21"/>
                    </w:rPr>
                    <w:t>相符</w:t>
                  </w:r>
                </w:p>
              </w:tc>
            </w:tr>
            <w:tr w14:paraId="1AB01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noWrap w:val="0"/>
                  <w:vAlign w:val="center"/>
                </w:tcPr>
                <w:p w14:paraId="4A7F6DA6">
                  <w:pPr>
                    <w:pStyle w:val="53"/>
                    <w:keepNext w:val="0"/>
                    <w:keepLines w:val="0"/>
                    <w:pageBreakBefore w:val="0"/>
                    <w:widowControl w:val="0"/>
                    <w:kinsoku/>
                    <w:wordWrap/>
                    <w:overflowPunct/>
                    <w:topLinePunct w:val="0"/>
                    <w:autoSpaceDE/>
                    <w:autoSpaceDN/>
                    <w:bidi w:val="0"/>
                    <w:spacing w:line="240" w:lineRule="auto"/>
                    <w:textAlignment w:val="auto"/>
                    <w:rPr>
                      <w:color w:val="auto"/>
                      <w:sz w:val="21"/>
                      <w:szCs w:val="21"/>
                    </w:rPr>
                  </w:pPr>
                  <w:r>
                    <w:rPr>
                      <w:color w:val="auto"/>
                      <w:sz w:val="21"/>
                      <w:szCs w:val="21"/>
                      <w:lang w:val="en-US" w:eastAsia="zh-CN"/>
                    </w:rPr>
                    <w:t>优先引进</w:t>
                  </w:r>
                </w:p>
              </w:tc>
              <w:tc>
                <w:tcPr>
                  <w:tcW w:w="2760" w:type="pct"/>
                  <w:noWrap w:val="0"/>
                  <w:vAlign w:val="center"/>
                </w:tcPr>
                <w:p w14:paraId="139A6CD5">
                  <w:pPr>
                    <w:pStyle w:val="53"/>
                    <w:keepNext w:val="0"/>
                    <w:keepLines w:val="0"/>
                    <w:pageBreakBefore w:val="0"/>
                    <w:widowControl w:val="0"/>
                    <w:kinsoku/>
                    <w:wordWrap/>
                    <w:overflowPunct/>
                    <w:topLinePunct w:val="0"/>
                    <w:autoSpaceDE/>
                    <w:autoSpaceDN/>
                    <w:bidi w:val="0"/>
                    <w:spacing w:line="240" w:lineRule="auto"/>
                    <w:textAlignment w:val="auto"/>
                    <w:rPr>
                      <w:color w:val="auto"/>
                      <w:sz w:val="21"/>
                      <w:szCs w:val="21"/>
                    </w:rPr>
                  </w:pPr>
                  <w:r>
                    <w:rPr>
                      <w:color w:val="auto"/>
                      <w:sz w:val="21"/>
                      <w:szCs w:val="21"/>
                      <w:lang w:val="en-US" w:eastAsia="zh-CN"/>
                    </w:rPr>
                    <w:t>排污负荷小、技术先进、生产规模大的项目</w:t>
                  </w:r>
                </w:p>
              </w:tc>
              <w:tc>
                <w:tcPr>
                  <w:tcW w:w="1648" w:type="pct"/>
                  <w:noWrap w:val="0"/>
                  <w:vAlign w:val="center"/>
                </w:tcPr>
                <w:p w14:paraId="7ECED530">
                  <w:pPr>
                    <w:pStyle w:val="53"/>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本项目为实验室建设项目，以代谢工程和合成生物学技术改造基因工程菌实验为主，属于排污负荷小、技术先进项目</w:t>
                  </w:r>
                  <w:r>
                    <w:rPr>
                      <w:rFonts w:hint="eastAsia" w:cs="Times New Roman"/>
                      <w:color w:val="auto"/>
                      <w:kern w:val="2"/>
                      <w:sz w:val="21"/>
                      <w:szCs w:val="21"/>
                      <w:lang w:val="en-US" w:eastAsia="zh-CN" w:bidi="ar-SA"/>
                    </w:rPr>
                    <w:t>。</w:t>
                  </w:r>
                </w:p>
              </w:tc>
              <w:tc>
                <w:tcPr>
                  <w:tcW w:w="347" w:type="pct"/>
                  <w:noWrap w:val="0"/>
                  <w:vAlign w:val="center"/>
                </w:tcPr>
                <w:p w14:paraId="12A3CFAB">
                  <w:pPr>
                    <w:pStyle w:val="53"/>
                    <w:keepNext w:val="0"/>
                    <w:keepLines w:val="0"/>
                    <w:pageBreakBefore w:val="0"/>
                    <w:widowControl w:val="0"/>
                    <w:kinsoku/>
                    <w:wordWrap/>
                    <w:overflowPunct/>
                    <w:topLinePunct w:val="0"/>
                    <w:autoSpaceDE/>
                    <w:autoSpaceDN/>
                    <w:bidi w:val="0"/>
                    <w:spacing w:line="240" w:lineRule="auto"/>
                    <w:textAlignment w:val="auto"/>
                    <w:rPr>
                      <w:color w:val="auto"/>
                      <w:sz w:val="21"/>
                      <w:szCs w:val="21"/>
                    </w:rPr>
                  </w:pPr>
                  <w:r>
                    <w:rPr>
                      <w:color w:val="auto"/>
                      <w:sz w:val="21"/>
                      <w:szCs w:val="21"/>
                    </w:rPr>
                    <w:t>相符</w:t>
                  </w:r>
                </w:p>
              </w:tc>
            </w:tr>
            <w:tr w14:paraId="14799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244" w:type="pct"/>
                  <w:noWrap w:val="0"/>
                  <w:vAlign w:val="center"/>
                </w:tcPr>
                <w:p w14:paraId="115E6754">
                  <w:pPr>
                    <w:pStyle w:val="53"/>
                    <w:keepNext w:val="0"/>
                    <w:keepLines w:val="0"/>
                    <w:pageBreakBefore w:val="0"/>
                    <w:widowControl w:val="0"/>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禁止引用项目</w:t>
                  </w:r>
                </w:p>
              </w:tc>
              <w:tc>
                <w:tcPr>
                  <w:tcW w:w="2760" w:type="pct"/>
                  <w:noWrap w:val="0"/>
                  <w:vAlign w:val="center"/>
                </w:tcPr>
                <w:p w14:paraId="28EC920C">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lang w:val="en-US" w:eastAsia="zh-CN"/>
                    </w:rPr>
                  </w:pPr>
                  <w:r>
                    <w:rPr>
                      <w:rFonts w:hint="eastAsia"/>
                      <w:color w:val="auto"/>
                      <w:sz w:val="21"/>
                      <w:szCs w:val="21"/>
                      <w:lang w:val="en-US" w:eastAsia="zh-CN"/>
                    </w:rPr>
                    <w:t>（1）高端装备制造：禁止引入含冶炼、轧钢项目（先进高端铸造类项目除外）；</w:t>
                  </w:r>
                </w:p>
                <w:p w14:paraId="03428EDD">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（2）新能源新材料：禁止使用高VOCs含量的溶剂型涂料、油墨、胶粘剂等项目（具有不可替代性的原料除外）；</w:t>
                  </w:r>
                </w:p>
                <w:p w14:paraId="4E016DCF">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（3）生命健康：禁止引进化学合成原料药的中试及生产项目，禁止引进医药中间体的项目；</w:t>
                  </w:r>
                </w:p>
                <w:p w14:paraId="5FD6E3A9">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（4）禁止新建、扩建涉重点重金属污染物（铅、汞、镉、铬和砷）排放的项目；</w:t>
                  </w:r>
                </w:p>
                <w:p w14:paraId="61F0C44B">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（5）禁止引入排放含磷氮等污染物的项目（《江苏省太湖水污染防治条例》第四十六条规定的情形除外，即新建、改建、扩建排放含磷、氮等污染物的战略性新兴产业项目）；</w:t>
                  </w:r>
                </w:p>
                <w:p w14:paraId="74D51AF7">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（6）禁止新建钢铁、煤电、化工、印染项目；禁止引入不符合《印染行业规范条件》的改建印染项目；</w:t>
                  </w:r>
                </w:p>
                <w:p w14:paraId="0EFD79C1">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（7）《环境保护综合名录（2021年版）》“高污染、高环境风险”产品；</w:t>
                  </w:r>
                </w:p>
                <w:p w14:paraId="6A1E086C">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（8）禁止引进其他属于国家和地方产业政策淘汰类或禁止类的建设项目和工艺；</w:t>
                  </w:r>
                </w:p>
                <w:p w14:paraId="581CE458">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（9）不得建设《长江经济带发展负面清单指南》中禁止类项目；</w:t>
                  </w:r>
                </w:p>
                <w:p w14:paraId="54CCBE1E">
                  <w:pPr>
                    <w:pStyle w:val="53"/>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lang w:val="en-US" w:eastAsia="zh-CN"/>
                    </w:rPr>
                    <w:t>（10）禁止引入危险化学品仓储企业。</w:t>
                  </w:r>
                </w:p>
              </w:tc>
              <w:tc>
                <w:tcPr>
                  <w:tcW w:w="1648" w:type="pct"/>
                  <w:noWrap w:val="0"/>
                  <w:vAlign w:val="center"/>
                </w:tcPr>
                <w:p w14:paraId="38CBC013">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（1）本项目为实验室建设项目，不属于冶炼、轧钢项目</w:t>
                  </w:r>
                  <w:r>
                    <w:rPr>
                      <w:rFonts w:hint="eastAsia" w:cs="Times New Roman"/>
                      <w:color w:val="auto"/>
                      <w:kern w:val="2"/>
                      <w:sz w:val="21"/>
                      <w:szCs w:val="21"/>
                      <w:lang w:val="en-US" w:eastAsia="zh-CN" w:bidi="ar-SA"/>
                    </w:rPr>
                    <w:t>；</w:t>
                  </w:r>
                </w:p>
                <w:p w14:paraId="65DC392F">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（2）本项目为实验室建设项目，以代谢工程和合成生物学技术改造基因工程菌实验为主，不属于新能源新材料</w:t>
                  </w:r>
                  <w:r>
                    <w:rPr>
                      <w:rFonts w:hint="eastAsia" w:cs="Times New Roman"/>
                      <w:color w:val="auto"/>
                      <w:kern w:val="2"/>
                      <w:sz w:val="21"/>
                      <w:szCs w:val="21"/>
                      <w:lang w:val="en-US" w:eastAsia="zh-CN" w:bidi="ar-SA"/>
                    </w:rPr>
                    <w:t>；</w:t>
                  </w:r>
                </w:p>
                <w:p w14:paraId="58004BFF">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（3）本项目为实验室建设项目，以代谢工程和合成生物学技术改造基因工程菌实验为主，不属于化学合成原料药的中试及生产项目及医药中间体的项目</w:t>
                  </w:r>
                  <w:r>
                    <w:rPr>
                      <w:rFonts w:hint="eastAsia" w:cs="Times New Roman"/>
                      <w:color w:val="auto"/>
                      <w:kern w:val="2"/>
                      <w:sz w:val="21"/>
                      <w:szCs w:val="21"/>
                      <w:lang w:val="en-US" w:eastAsia="zh-CN" w:bidi="ar-SA"/>
                    </w:rPr>
                    <w:t>；</w:t>
                  </w:r>
                </w:p>
                <w:p w14:paraId="1F1F3B7A">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（4）本项目为实验室建设项目，不属于新建、扩建涉重点重金属污染物（铅、汞、镉、铬和砷）排放的项目</w:t>
                  </w:r>
                  <w:r>
                    <w:rPr>
                      <w:rFonts w:hint="eastAsia" w:cs="Times New Roman"/>
                      <w:color w:val="auto"/>
                      <w:kern w:val="2"/>
                      <w:sz w:val="21"/>
                      <w:szCs w:val="21"/>
                      <w:lang w:val="en-US" w:eastAsia="zh-CN" w:bidi="ar-SA"/>
                    </w:rPr>
                    <w:t>；</w:t>
                  </w:r>
                </w:p>
                <w:p w14:paraId="19291BB2">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（5）本项目为实验室建设项目，只产生生活污水</w:t>
                  </w:r>
                  <w:r>
                    <w:rPr>
                      <w:rFonts w:hint="eastAsia" w:cs="Times New Roman"/>
                      <w:color w:val="auto"/>
                      <w:kern w:val="2"/>
                      <w:sz w:val="21"/>
                      <w:szCs w:val="21"/>
                      <w:lang w:val="en-US" w:eastAsia="zh-CN" w:bidi="ar-SA"/>
                    </w:rPr>
                    <w:t>；</w:t>
                  </w:r>
                </w:p>
                <w:p w14:paraId="795C0A28">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（6）本项目为实验室建设项目，不属于钢铁、煤电、化工、印染项目</w:t>
                  </w:r>
                  <w:r>
                    <w:rPr>
                      <w:rFonts w:hint="eastAsia" w:cs="Times New Roman"/>
                      <w:color w:val="auto"/>
                      <w:kern w:val="2"/>
                      <w:sz w:val="21"/>
                      <w:szCs w:val="21"/>
                      <w:lang w:val="en-US" w:eastAsia="zh-CN" w:bidi="ar-SA"/>
                    </w:rPr>
                    <w:t>；</w:t>
                  </w:r>
                </w:p>
                <w:p w14:paraId="139A3392">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（7）本项目为实验室建设项目，不在《环境保护综合名录（2021年版）》内</w:t>
                  </w:r>
                  <w:r>
                    <w:rPr>
                      <w:rFonts w:hint="eastAsia" w:cs="Times New Roman"/>
                      <w:color w:val="auto"/>
                      <w:kern w:val="2"/>
                      <w:sz w:val="21"/>
                      <w:szCs w:val="21"/>
                      <w:lang w:val="en-US" w:eastAsia="zh-CN" w:bidi="ar-SA"/>
                    </w:rPr>
                    <w:t>；</w:t>
                  </w:r>
                </w:p>
                <w:p w14:paraId="19C7B752">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（8）本项目为实验室建设项目，不属于其他属于国家和地方产业政策淘汰类或禁止类的建设项目和工艺</w:t>
                  </w:r>
                  <w:r>
                    <w:rPr>
                      <w:rFonts w:hint="eastAsia" w:cs="Times New Roman"/>
                      <w:color w:val="auto"/>
                      <w:kern w:val="2"/>
                      <w:sz w:val="21"/>
                      <w:szCs w:val="21"/>
                      <w:lang w:val="en-US" w:eastAsia="zh-CN" w:bidi="ar-SA"/>
                    </w:rPr>
                    <w:t>；</w:t>
                  </w:r>
                </w:p>
                <w:p w14:paraId="3E0346DA">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（9）本项目为实验室建设项目，不属于《长江经济带发展负面清单指南》中禁止类项目</w:t>
                  </w:r>
                  <w:r>
                    <w:rPr>
                      <w:rFonts w:hint="eastAsia" w:cs="Times New Roman"/>
                      <w:color w:val="auto"/>
                      <w:kern w:val="2"/>
                      <w:sz w:val="21"/>
                      <w:szCs w:val="21"/>
                      <w:lang w:val="en-US" w:eastAsia="zh-CN" w:bidi="ar-SA"/>
                    </w:rPr>
                    <w:t>；</w:t>
                  </w:r>
                </w:p>
                <w:p w14:paraId="7DB73136">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（10）本项目为实验室建设项目</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不属于</w:t>
                  </w:r>
                  <w:r>
                    <w:rPr>
                      <w:rFonts w:hint="eastAsia" w:cs="Times New Roman"/>
                      <w:color w:val="auto"/>
                      <w:kern w:val="2"/>
                      <w:sz w:val="21"/>
                      <w:szCs w:val="21"/>
                      <w:lang w:val="en-US" w:eastAsia="zh-CN" w:bidi="ar-SA"/>
                    </w:rPr>
                    <w:t>危</w:t>
                  </w:r>
                  <w:r>
                    <w:rPr>
                      <w:rFonts w:hint="eastAsia" w:ascii="Times New Roman" w:hAnsi="Times New Roman" w:eastAsia="宋体" w:cs="Times New Roman"/>
                      <w:color w:val="auto"/>
                      <w:kern w:val="2"/>
                      <w:sz w:val="21"/>
                      <w:szCs w:val="21"/>
                      <w:lang w:val="en-US" w:eastAsia="zh-CN" w:bidi="ar-SA"/>
                    </w:rPr>
                    <w:t>险化学品仓储。</w:t>
                  </w:r>
                </w:p>
              </w:tc>
              <w:tc>
                <w:tcPr>
                  <w:tcW w:w="347" w:type="pct"/>
                  <w:noWrap w:val="0"/>
                  <w:vAlign w:val="center"/>
                </w:tcPr>
                <w:p w14:paraId="2B38F1CC">
                  <w:pPr>
                    <w:pStyle w:val="53"/>
                    <w:keepNext w:val="0"/>
                    <w:keepLines w:val="0"/>
                    <w:pageBreakBefore w:val="0"/>
                    <w:widowControl w:val="0"/>
                    <w:kinsoku/>
                    <w:wordWrap/>
                    <w:overflowPunct/>
                    <w:topLinePunct w:val="0"/>
                    <w:autoSpaceDE/>
                    <w:autoSpaceDN/>
                    <w:bidi w:val="0"/>
                    <w:spacing w:line="240" w:lineRule="auto"/>
                    <w:textAlignment w:val="auto"/>
                    <w:rPr>
                      <w:color w:val="auto"/>
                      <w:sz w:val="21"/>
                      <w:szCs w:val="21"/>
                    </w:rPr>
                  </w:pPr>
                  <w:r>
                    <w:rPr>
                      <w:color w:val="auto"/>
                      <w:sz w:val="21"/>
                      <w:szCs w:val="21"/>
                    </w:rPr>
                    <w:t>相符</w:t>
                  </w:r>
                </w:p>
              </w:tc>
            </w:tr>
            <w:tr w14:paraId="2F62A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0" w:hRule="atLeast"/>
              </w:trPr>
              <w:tc>
                <w:tcPr>
                  <w:tcW w:w="244" w:type="pct"/>
                  <w:noWrap w:val="0"/>
                  <w:vAlign w:val="center"/>
                </w:tcPr>
                <w:p w14:paraId="3C7A5B0B">
                  <w:pPr>
                    <w:pStyle w:val="53"/>
                    <w:keepNext w:val="0"/>
                    <w:keepLines w:val="0"/>
                    <w:pageBreakBefore w:val="0"/>
                    <w:widowControl w:val="0"/>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空间管控要求</w:t>
                  </w:r>
                </w:p>
              </w:tc>
              <w:tc>
                <w:tcPr>
                  <w:tcW w:w="2760" w:type="pct"/>
                  <w:noWrap w:val="0"/>
                  <w:vAlign w:val="center"/>
                </w:tcPr>
                <w:p w14:paraId="2F511252">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（1）水域及绿地，禁止一切与环境保护功能无关的建设活动</w:t>
                  </w:r>
                  <w:r>
                    <w:rPr>
                      <w:rFonts w:hint="eastAsia" w:cs="Times New Roman"/>
                      <w:color w:val="auto"/>
                      <w:sz w:val="21"/>
                      <w:szCs w:val="21"/>
                      <w:lang w:val="en-US" w:eastAsia="zh-CN"/>
                    </w:rPr>
                    <w:t>；</w:t>
                  </w:r>
                </w:p>
                <w:p w14:paraId="0C3899DF">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（2）丹金溧漕河、尧塘河沿岸河道范围内（两岸堤防背水坡堤脚外10m）禁止建设妨碍行洪的建筑物、构筑物</w:t>
                  </w:r>
                  <w:r>
                    <w:rPr>
                      <w:rFonts w:hint="eastAsia" w:cs="Times New Roman"/>
                      <w:color w:val="auto"/>
                      <w:sz w:val="21"/>
                      <w:szCs w:val="21"/>
                      <w:lang w:val="en-US" w:eastAsia="zh-CN"/>
                    </w:rPr>
                    <w:t>；</w:t>
                  </w:r>
                </w:p>
                <w:p w14:paraId="06EB22A4">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（3）禁止引进不能满足环评测算出的环境防护距离，或环评事故风险防范和应急措施难以落实到位的项目</w:t>
                  </w:r>
                  <w:r>
                    <w:rPr>
                      <w:rFonts w:hint="eastAsia" w:cs="Times New Roman"/>
                      <w:color w:val="auto"/>
                      <w:sz w:val="21"/>
                      <w:szCs w:val="21"/>
                      <w:lang w:val="en-US" w:eastAsia="zh-CN"/>
                    </w:rPr>
                    <w:t>；</w:t>
                  </w:r>
                </w:p>
                <w:p w14:paraId="5C50DDCE">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（4）限制引进投资强度小、容积率低、土地产出率低的项目</w:t>
                  </w:r>
                  <w:r>
                    <w:rPr>
                      <w:rFonts w:hint="eastAsia" w:cs="Times New Roman"/>
                      <w:color w:val="auto"/>
                      <w:sz w:val="21"/>
                      <w:szCs w:val="21"/>
                      <w:lang w:val="en-US" w:eastAsia="zh-CN"/>
                    </w:rPr>
                    <w:t>；</w:t>
                  </w:r>
                </w:p>
              </w:tc>
              <w:tc>
                <w:tcPr>
                  <w:tcW w:w="1648" w:type="pct"/>
                  <w:noWrap w:val="0"/>
                  <w:vAlign w:val="center"/>
                </w:tcPr>
                <w:p w14:paraId="0F3BA9F5">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（1）本项目位于江苏省金坛西城路118号，属于工业工地</w:t>
                  </w:r>
                  <w:r>
                    <w:rPr>
                      <w:rFonts w:hint="eastAsia" w:cs="Times New Roman"/>
                      <w:color w:val="auto"/>
                      <w:kern w:val="2"/>
                      <w:sz w:val="21"/>
                      <w:szCs w:val="21"/>
                      <w:lang w:val="en-US" w:eastAsia="zh-CN" w:bidi="ar-SA"/>
                    </w:rPr>
                    <w:t>；</w:t>
                  </w:r>
                </w:p>
                <w:p w14:paraId="086B0603">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（2）本项目位于江苏省金坛西城路118，距离丹金溧漕河1.6km、尧塘河2km</w:t>
                  </w:r>
                  <w:r>
                    <w:rPr>
                      <w:rFonts w:hint="eastAsia" w:cs="Times New Roman"/>
                      <w:color w:val="auto"/>
                      <w:kern w:val="2"/>
                      <w:sz w:val="21"/>
                      <w:szCs w:val="21"/>
                      <w:lang w:val="en-US" w:eastAsia="zh-CN" w:bidi="ar-SA"/>
                    </w:rPr>
                    <w:t>；</w:t>
                  </w:r>
                </w:p>
                <w:p w14:paraId="324EDDE9">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SA"/>
                    </w:rPr>
                    <w:t>（3）本项目卫生防护距离为50m，范围内环境无敏感目标；本项目所在园区设置事故应急池1832.2m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，满足风险防范要求</w:t>
                  </w:r>
                  <w:r>
                    <w:rPr>
                      <w:rFonts w:hint="eastAsia" w:cs="Times New Roman"/>
                      <w:color w:val="auto"/>
                      <w:kern w:val="2"/>
                      <w:sz w:val="21"/>
                      <w:szCs w:val="21"/>
                      <w:lang w:val="en-US" w:eastAsia="zh-CN" w:bidi="ar-SA"/>
                    </w:rPr>
                    <w:t>；</w:t>
                  </w:r>
                </w:p>
                <w:p w14:paraId="7E93B3AA">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eastAsia="宋体"/>
                      <w:color w:val="auto"/>
                      <w:sz w:val="21"/>
                      <w:szCs w:val="21"/>
                      <w:lang w:val="en-US" w:eastAsia="zh-CN"/>
                    </w:rPr>
                  </w:pPr>
                  <w:r>
                    <w:rPr>
                      <w:rFonts w:hint="eastAsia"/>
                      <w:color w:val="auto"/>
                      <w:sz w:val="21"/>
                      <w:szCs w:val="21"/>
                      <w:lang w:val="en-US" w:eastAsia="zh-CN"/>
                    </w:rPr>
                    <w:t>（4）本项目投资3000万，属于投资强度大项目。</w:t>
                  </w:r>
                </w:p>
              </w:tc>
              <w:tc>
                <w:tcPr>
                  <w:tcW w:w="347" w:type="pct"/>
                  <w:noWrap w:val="0"/>
                  <w:vAlign w:val="center"/>
                </w:tcPr>
                <w:p w14:paraId="24D736B2">
                  <w:pPr>
                    <w:pStyle w:val="53"/>
                    <w:keepNext w:val="0"/>
                    <w:keepLines w:val="0"/>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相符</w:t>
                  </w:r>
                </w:p>
              </w:tc>
            </w:tr>
            <w:tr w14:paraId="22495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 w:type="pct"/>
                  <w:noWrap w:val="0"/>
                  <w:vAlign w:val="center"/>
                </w:tcPr>
                <w:p w14:paraId="53C3C219">
                  <w:pPr>
                    <w:pStyle w:val="53"/>
                    <w:keepNext w:val="0"/>
                    <w:keepLines w:val="0"/>
                    <w:pageBreakBefore w:val="0"/>
                    <w:widowControl w:val="0"/>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污染物排放管控</w:t>
                  </w:r>
                </w:p>
              </w:tc>
              <w:tc>
                <w:tcPr>
                  <w:tcW w:w="2760" w:type="pct"/>
                  <w:noWrap w:val="0"/>
                  <w:vAlign w:val="center"/>
                </w:tcPr>
                <w:p w14:paraId="61702579">
                  <w:pPr>
                    <w:pStyle w:val="53"/>
                    <w:keepNext w:val="0"/>
                    <w:keepLines w:val="0"/>
                    <w:pageBreakBefore w:val="0"/>
                    <w:widowControl w:val="0"/>
                    <w:kinsoku/>
                    <w:wordWrap/>
                    <w:overflowPunct/>
                    <w:topLinePunct w:val="0"/>
                    <w:autoSpaceDE/>
                    <w:autoSpaceDN/>
                    <w:bidi w:val="0"/>
                    <w:spacing w:line="240" w:lineRule="auto"/>
                    <w:jc w:val="both"/>
                    <w:textAlignment w:val="auto"/>
                    <w:rPr>
                      <w:color w:val="auto"/>
                      <w:sz w:val="21"/>
                      <w:szCs w:val="21"/>
                    </w:rPr>
                  </w:pPr>
                  <w:r>
                    <w:rPr>
                      <w:color w:val="auto"/>
                      <w:sz w:val="21"/>
                      <w:szCs w:val="21"/>
                      <w:lang w:val="en-US" w:eastAsia="zh-CN"/>
                    </w:rPr>
                    <w:t>颗粒物、二氧化硫、氮氧化物、</w:t>
                  </w:r>
                  <w:r>
                    <w:rPr>
                      <w:rFonts w:hint="default"/>
                      <w:color w:val="auto"/>
                      <w:sz w:val="21"/>
                      <w:szCs w:val="21"/>
                      <w:lang w:val="en-US" w:eastAsia="zh-CN"/>
                    </w:rPr>
                    <w:t>VOCs</w:t>
                  </w:r>
                  <w:r>
                    <w:rPr>
                      <w:color w:val="auto"/>
                      <w:sz w:val="21"/>
                      <w:szCs w:val="21"/>
                      <w:lang w:val="en-US" w:eastAsia="zh-CN"/>
                    </w:rPr>
                    <w:t>作为总量控制因子，根据省、市上级要求，进行现役源</w:t>
                  </w:r>
                  <w:r>
                    <w:rPr>
                      <w:rFonts w:hint="default"/>
                      <w:color w:val="auto"/>
                      <w:sz w:val="21"/>
                      <w:szCs w:val="21"/>
                      <w:lang w:val="en-US" w:eastAsia="zh-CN"/>
                    </w:rPr>
                    <w:t>2</w:t>
                  </w:r>
                  <w:r>
                    <w:rPr>
                      <w:color w:val="auto"/>
                      <w:sz w:val="21"/>
                      <w:szCs w:val="21"/>
                      <w:lang w:val="en-US" w:eastAsia="zh-CN"/>
                    </w:rPr>
                    <w:t>倍削减量替代或关闭类项目</w:t>
                  </w:r>
                  <w:r>
                    <w:rPr>
                      <w:rFonts w:hint="default"/>
                      <w:color w:val="auto"/>
                      <w:sz w:val="21"/>
                      <w:szCs w:val="21"/>
                      <w:lang w:val="en-US" w:eastAsia="zh-CN"/>
                    </w:rPr>
                    <w:t>1.5</w:t>
                  </w:r>
                  <w:r>
                    <w:rPr>
                      <w:color w:val="auto"/>
                      <w:sz w:val="21"/>
                      <w:szCs w:val="21"/>
                      <w:lang w:val="en-US" w:eastAsia="zh-CN"/>
                    </w:rPr>
                    <w:t>倍削减量替代</w:t>
                  </w:r>
                  <w:r>
                    <w:rPr>
                      <w:rFonts w:hint="eastAsia"/>
                      <w:color w:val="auto"/>
                      <w:sz w:val="21"/>
                      <w:szCs w:val="21"/>
                      <w:lang w:val="en-US" w:eastAsia="zh-CN"/>
                    </w:rPr>
                    <w:t>；</w:t>
                  </w:r>
                </w:p>
                <w:p w14:paraId="395679A4">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color w:val="auto"/>
                      <w:sz w:val="21"/>
                      <w:szCs w:val="21"/>
                      <w:lang w:val="en-US" w:eastAsia="zh-CN"/>
                    </w:rPr>
                  </w:pPr>
                  <w:r>
                    <w:rPr>
                      <w:rFonts w:hint="eastAsia"/>
                      <w:color w:val="auto"/>
                      <w:sz w:val="21"/>
                      <w:szCs w:val="21"/>
                      <w:lang w:val="en-US" w:eastAsia="zh-CN"/>
                    </w:rPr>
                    <w:t>（1）</w:t>
                  </w:r>
                  <w:r>
                    <w:rPr>
                      <w:color w:val="auto"/>
                      <w:sz w:val="21"/>
                      <w:szCs w:val="21"/>
                      <w:lang w:val="en-US" w:eastAsia="zh-CN"/>
                    </w:rPr>
                    <w:t>废气污染物规划末期总量：</w:t>
                  </w:r>
                  <w:r>
                    <w:rPr>
                      <w:rFonts w:hint="default"/>
                      <w:color w:val="auto"/>
                      <w:sz w:val="21"/>
                      <w:szCs w:val="21"/>
                      <w:lang w:val="en-US" w:eastAsia="zh-CN"/>
                    </w:rPr>
                    <w:t>SO</w:t>
                  </w:r>
                  <w:r>
                    <w:rPr>
                      <w:rFonts w:hint="default"/>
                      <w:color w:val="auto"/>
                      <w:sz w:val="21"/>
                      <w:szCs w:val="21"/>
                      <w:vertAlign w:val="subscript"/>
                      <w:lang w:val="en-US" w:eastAsia="zh-CN"/>
                    </w:rPr>
                    <w:t>2</w:t>
                  </w:r>
                  <w:r>
                    <w:rPr>
                      <w:rFonts w:hint="default"/>
                      <w:color w:val="auto"/>
                      <w:sz w:val="21"/>
                      <w:szCs w:val="21"/>
                      <w:lang w:val="en-US" w:eastAsia="zh-CN"/>
                    </w:rPr>
                    <w:t xml:space="preserve"> 8.912t/a</w:t>
                  </w:r>
                  <w:r>
                    <w:rPr>
                      <w:color w:val="auto"/>
                      <w:sz w:val="21"/>
                      <w:szCs w:val="21"/>
                      <w:lang w:val="en-US" w:eastAsia="zh-CN"/>
                    </w:rPr>
                    <w:t>、</w:t>
                  </w:r>
                  <w:r>
                    <w:rPr>
                      <w:rFonts w:hint="default"/>
                      <w:color w:val="auto"/>
                      <w:sz w:val="21"/>
                      <w:szCs w:val="21"/>
                      <w:lang w:val="en-US" w:eastAsia="zh-CN"/>
                    </w:rPr>
                    <w:t>NOx 60.39t/a</w:t>
                  </w:r>
                  <w:r>
                    <w:rPr>
                      <w:color w:val="auto"/>
                      <w:sz w:val="21"/>
                      <w:szCs w:val="21"/>
                      <w:lang w:val="en-US" w:eastAsia="zh-CN"/>
                    </w:rPr>
                    <w:t xml:space="preserve">、颗粒物 </w:t>
                  </w:r>
                  <w:r>
                    <w:rPr>
                      <w:rFonts w:hint="default"/>
                      <w:color w:val="auto"/>
                      <w:sz w:val="21"/>
                      <w:szCs w:val="21"/>
                      <w:lang w:val="en-US" w:eastAsia="zh-CN"/>
                    </w:rPr>
                    <w:t>91.643t/a</w:t>
                  </w:r>
                  <w:r>
                    <w:rPr>
                      <w:color w:val="auto"/>
                      <w:sz w:val="21"/>
                      <w:szCs w:val="21"/>
                      <w:lang w:val="en-US" w:eastAsia="zh-CN"/>
                    </w:rPr>
                    <w:t>、</w:t>
                  </w:r>
                  <w:r>
                    <w:rPr>
                      <w:rFonts w:hint="default"/>
                      <w:color w:val="auto"/>
                      <w:sz w:val="21"/>
                      <w:szCs w:val="21"/>
                      <w:lang w:val="en-US" w:eastAsia="zh-CN"/>
                    </w:rPr>
                    <w:t>VOCs 61.56t/a</w:t>
                  </w:r>
                  <w:r>
                    <w:rPr>
                      <w:rFonts w:hint="eastAsia"/>
                      <w:color w:val="auto"/>
                      <w:sz w:val="21"/>
                      <w:szCs w:val="21"/>
                      <w:lang w:val="en-US" w:eastAsia="zh-CN"/>
                    </w:rPr>
                    <w:t>；</w:t>
                  </w:r>
                </w:p>
                <w:p w14:paraId="63503203">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（2）废水污染物规划末期总量：废水量331.36万t/a、COD165.69t/a、氨氮13.26t/a、</w:t>
                  </w:r>
                </w:p>
                <w:p w14:paraId="2EA545E1">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总氮39.77t/a、总磷1.65t/a。</w:t>
                  </w:r>
                </w:p>
              </w:tc>
              <w:tc>
                <w:tcPr>
                  <w:tcW w:w="1648" w:type="pct"/>
                  <w:noWrap w:val="0"/>
                  <w:vAlign w:val="center"/>
                </w:tcPr>
                <w:p w14:paraId="4444BD9B">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eastAsia="宋体"/>
                      <w:color w:val="auto"/>
                      <w:spacing w:val="-6"/>
                      <w:sz w:val="21"/>
                      <w:szCs w:val="21"/>
                      <w:lang w:val="en-US" w:eastAsia="zh-CN"/>
                    </w:rPr>
                  </w:pPr>
                  <w:bookmarkStart w:id="11" w:name="OLE_LINK25"/>
                  <w:r>
                    <w:rPr>
                      <w:color w:val="auto"/>
                      <w:sz w:val="21"/>
                      <w:szCs w:val="21"/>
                    </w:rPr>
                    <w:t>本项目</w:t>
                  </w:r>
                  <w:r>
                    <w:rPr>
                      <w:rFonts w:hint="eastAsia"/>
                      <w:color w:val="auto"/>
                      <w:sz w:val="21"/>
                      <w:szCs w:val="21"/>
                      <w:lang w:val="en-US" w:eastAsia="zh-CN"/>
                    </w:rPr>
                    <w:t>产生的废气有非甲烷总烃、臭气、氨和颗粒物，非甲烷总烃、臭气氨经内置活性炭吸附装置无管道通风橱收集处置后车间无组织排放，颗粒物产生量较小，只做定性分析，无组织排放</w:t>
                  </w:r>
                  <w:bookmarkEnd w:id="11"/>
                  <w:r>
                    <w:rPr>
                      <w:rFonts w:hint="eastAsia"/>
                      <w:color w:val="auto"/>
                      <w:sz w:val="21"/>
                      <w:szCs w:val="21"/>
                      <w:lang w:val="en-US" w:eastAsia="zh-CN"/>
                    </w:rPr>
                    <w:t>；本项目产生的生活污水接管至金坛第二污水处理厂。</w:t>
                  </w:r>
                </w:p>
              </w:tc>
              <w:tc>
                <w:tcPr>
                  <w:tcW w:w="347" w:type="pct"/>
                  <w:noWrap w:val="0"/>
                  <w:vAlign w:val="center"/>
                </w:tcPr>
                <w:p w14:paraId="79476774">
                  <w:pPr>
                    <w:pStyle w:val="53"/>
                    <w:keepNext w:val="0"/>
                    <w:keepLines w:val="0"/>
                    <w:pageBreakBefore w:val="0"/>
                    <w:widowControl w:val="0"/>
                    <w:kinsoku/>
                    <w:wordWrap/>
                    <w:overflowPunct/>
                    <w:topLinePunct w:val="0"/>
                    <w:autoSpaceDE/>
                    <w:autoSpaceDN/>
                    <w:bidi w:val="0"/>
                    <w:spacing w:line="240" w:lineRule="auto"/>
                    <w:textAlignment w:val="auto"/>
                    <w:rPr>
                      <w:color w:val="auto"/>
                      <w:sz w:val="21"/>
                      <w:szCs w:val="21"/>
                    </w:rPr>
                  </w:pPr>
                  <w:r>
                    <w:rPr>
                      <w:color w:val="auto"/>
                      <w:sz w:val="21"/>
                      <w:szCs w:val="21"/>
                    </w:rPr>
                    <w:t>相符</w:t>
                  </w:r>
                </w:p>
              </w:tc>
            </w:tr>
            <w:tr w14:paraId="3B630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0" w:hRule="atLeast"/>
              </w:trPr>
              <w:tc>
                <w:tcPr>
                  <w:tcW w:w="244" w:type="pct"/>
                  <w:noWrap w:val="0"/>
                  <w:vAlign w:val="center"/>
                </w:tcPr>
                <w:p w14:paraId="076E897F">
                  <w:pPr>
                    <w:pStyle w:val="53"/>
                    <w:keepNext w:val="0"/>
                    <w:keepLines w:val="0"/>
                    <w:pageBreakBefore w:val="0"/>
                    <w:widowControl w:val="0"/>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环境风险防控</w:t>
                  </w:r>
                </w:p>
              </w:tc>
              <w:tc>
                <w:tcPr>
                  <w:tcW w:w="2760" w:type="pct"/>
                  <w:noWrap w:val="0"/>
                  <w:vAlign w:val="center"/>
                </w:tcPr>
                <w:p w14:paraId="4E36106C">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lang w:val="en-US" w:eastAsia="zh-CN"/>
                    </w:rPr>
                  </w:pPr>
                  <w:r>
                    <w:rPr>
                      <w:rFonts w:hint="eastAsia"/>
                      <w:color w:val="auto"/>
                      <w:sz w:val="21"/>
                      <w:szCs w:val="21"/>
                      <w:lang w:val="en-US" w:eastAsia="zh-CN"/>
                    </w:rPr>
                    <w:t>（1）</w:t>
                  </w:r>
                  <w:r>
                    <w:rPr>
                      <w:color w:val="auto"/>
                      <w:sz w:val="21"/>
                      <w:szCs w:val="21"/>
                      <w:lang w:val="en-US" w:eastAsia="zh-CN"/>
                    </w:rPr>
                    <w:t>针对搬迁关闭的企业，应当在其土地出让或项目批准核准前完成场地环境调查和风险评估工作，以保障工业企业场地再开发利用的环境安全</w:t>
                  </w:r>
                  <w:r>
                    <w:rPr>
                      <w:rFonts w:hint="eastAsia"/>
                      <w:color w:val="auto"/>
                      <w:sz w:val="21"/>
                      <w:szCs w:val="21"/>
                      <w:lang w:val="en-US" w:eastAsia="zh-CN"/>
                    </w:rPr>
                    <w:t>；</w:t>
                  </w:r>
                </w:p>
                <w:p w14:paraId="3DC3EDEC">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（2）禁止安全风险大、工艺设施落后、安全水平低的企业或项目进入；</w:t>
                  </w:r>
                </w:p>
                <w:p w14:paraId="5E541964">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（3）存储危险化学品及产生大量废水的企业，应配套有效措施，防止因渗漏污染地下水、土壤，以及因事故废水直排污染地表水体；</w:t>
                  </w:r>
                </w:p>
                <w:p w14:paraId="73E331EF">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（4）产生、利用或处置固体废物（含危险废物）的企业，在贮存、转移、利用、处置固体废物（含危险废物）过程中，应配套防扬散、防流失、防渗漏及其他防止污染环境的措施；</w:t>
                  </w:r>
                </w:p>
                <w:p w14:paraId="68EDDCEC">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（5）禁止无法落实危险废物处置途径的项目入园；</w:t>
                  </w:r>
                </w:p>
                <w:p w14:paraId="5909B985">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（6）禁止建设不能满足环评测算出环境防护距离的项目。</w:t>
                  </w:r>
                </w:p>
              </w:tc>
              <w:tc>
                <w:tcPr>
                  <w:tcW w:w="1648" w:type="pct"/>
                  <w:noWrap w:val="0"/>
                  <w:vAlign w:val="center"/>
                </w:tcPr>
                <w:p w14:paraId="206A7532">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pacing w:val="-6"/>
                      <w:sz w:val="21"/>
                      <w:szCs w:val="21"/>
                      <w:lang w:val="en-US" w:eastAsia="zh-CN"/>
                    </w:rPr>
                  </w:pPr>
                  <w:r>
                    <w:rPr>
                      <w:rFonts w:hint="eastAsia"/>
                      <w:color w:val="auto"/>
                      <w:spacing w:val="-6"/>
                      <w:sz w:val="21"/>
                      <w:szCs w:val="21"/>
                      <w:lang w:val="en-US" w:eastAsia="zh-CN"/>
                    </w:rPr>
                    <w:t>（1）本项目为新建项目；</w:t>
                  </w:r>
                </w:p>
                <w:p w14:paraId="20DB4E32">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（2）本项目为实验室建设项目，以代谢工程和合成生物学技术改造基因工程菌实验为主</w:t>
                  </w:r>
                  <w:r>
                    <w:rPr>
                      <w:rFonts w:hint="eastAsia" w:cs="Times New Roman"/>
                      <w:color w:val="auto"/>
                      <w:kern w:val="2"/>
                      <w:sz w:val="21"/>
                      <w:szCs w:val="21"/>
                      <w:lang w:val="en-US" w:eastAsia="zh-CN" w:bidi="ar-SA"/>
                    </w:rPr>
                    <w:t>；</w:t>
                  </w:r>
                </w:p>
                <w:p w14:paraId="36E8F5F4">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eastAsia="宋体"/>
                      <w:color w:val="auto"/>
                      <w:sz w:val="21"/>
                      <w:szCs w:val="21"/>
                      <w:lang w:val="en-US" w:eastAsia="zh-CN"/>
                    </w:rPr>
                  </w:pPr>
                  <w:r>
                    <w:rPr>
                      <w:rFonts w:hint="eastAsia"/>
                      <w:color w:val="auto"/>
                      <w:sz w:val="21"/>
                      <w:szCs w:val="21"/>
                      <w:lang w:val="en-US" w:eastAsia="zh-CN"/>
                    </w:rPr>
                    <w:t>（3）本项目危险化学品为乙醇，储存在防爆柜中，产生的废水为生活污水，接管至金坛第二污水处理厂；</w:t>
                  </w:r>
                </w:p>
                <w:p w14:paraId="38389289">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eastAsia="宋体"/>
                      <w:color w:val="auto"/>
                      <w:sz w:val="21"/>
                      <w:szCs w:val="21"/>
                      <w:lang w:val="en-US" w:eastAsia="zh-CN"/>
                    </w:rPr>
                  </w:pPr>
                  <w:r>
                    <w:rPr>
                      <w:rFonts w:hint="eastAsia"/>
                      <w:color w:val="auto"/>
                      <w:sz w:val="21"/>
                      <w:szCs w:val="21"/>
                      <w:lang w:val="en-US" w:eastAsia="zh-CN"/>
                    </w:rPr>
                    <w:t>（4）本项目危险废物委托有资质单位处置，储存在危废仓库内，配套防扬散、防流失、防渗漏及其他防止污染环境的措施；</w:t>
                  </w:r>
                </w:p>
                <w:p w14:paraId="66FE105C">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eastAsia="宋体"/>
                      <w:color w:val="auto"/>
                      <w:sz w:val="21"/>
                      <w:szCs w:val="21"/>
                      <w:lang w:val="en-US" w:eastAsia="zh-CN"/>
                    </w:rPr>
                  </w:pPr>
                  <w:r>
                    <w:rPr>
                      <w:rFonts w:hint="eastAsia"/>
                      <w:color w:val="auto"/>
                      <w:sz w:val="21"/>
                      <w:szCs w:val="21"/>
                      <w:lang w:val="en-US" w:eastAsia="zh-CN"/>
                    </w:rPr>
                    <w:t>（5）本项目危险废物委托有资质单位处置；</w:t>
                  </w:r>
                </w:p>
                <w:p w14:paraId="36177A90">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eastAsia="宋体"/>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（6）项目卫生防护距离为</w:t>
                  </w:r>
                  <w:r>
                    <w:rPr>
                      <w:rFonts w:hint="eastAsia" w:cs="Times New Roman"/>
                      <w:color w:val="auto"/>
                      <w:kern w:val="2"/>
                      <w:sz w:val="21"/>
                      <w:szCs w:val="21"/>
                      <w:lang w:val="en-US" w:eastAsia="zh-CN" w:bidi="ar-SA"/>
                    </w:rPr>
                    <w:t>100</w:t>
                  </w:r>
                  <w:r>
                    <w:rPr>
                      <w:rFonts w:hint="eastAsia" w:ascii="Times New Roman" w:hAnsi="Times New Roman" w:eastAsia="宋体" w:cs="Times New Roman"/>
                      <w:color w:val="auto"/>
                      <w:kern w:val="2"/>
                      <w:sz w:val="21"/>
                      <w:szCs w:val="21"/>
                      <w:lang w:val="en-US" w:eastAsia="zh-CN" w:bidi="ar-SA"/>
                    </w:rPr>
                    <w:t>m</w:t>
                  </w:r>
                  <w:r>
                    <w:rPr>
                      <w:rFonts w:hint="eastAsia"/>
                      <w:color w:val="auto"/>
                      <w:lang w:eastAsia="zh-CN"/>
                    </w:rPr>
                    <w:t>，卫生防护距离内目前无居民点、医院、学校等环境敏感点。</w:t>
                  </w:r>
                </w:p>
              </w:tc>
              <w:tc>
                <w:tcPr>
                  <w:tcW w:w="347" w:type="pct"/>
                  <w:noWrap w:val="0"/>
                  <w:vAlign w:val="center"/>
                </w:tcPr>
                <w:p w14:paraId="08874A2C">
                  <w:pPr>
                    <w:pStyle w:val="53"/>
                    <w:keepNext w:val="0"/>
                    <w:keepLines w:val="0"/>
                    <w:pageBreakBefore w:val="0"/>
                    <w:widowControl w:val="0"/>
                    <w:kinsoku/>
                    <w:wordWrap/>
                    <w:overflowPunct/>
                    <w:topLinePunct w:val="0"/>
                    <w:autoSpaceDE/>
                    <w:autoSpaceDN/>
                    <w:bidi w:val="0"/>
                    <w:spacing w:line="240" w:lineRule="auto"/>
                    <w:textAlignment w:val="auto"/>
                    <w:rPr>
                      <w:color w:val="auto"/>
                      <w:sz w:val="21"/>
                      <w:szCs w:val="21"/>
                    </w:rPr>
                  </w:pPr>
                  <w:r>
                    <w:rPr>
                      <w:color w:val="auto"/>
                      <w:sz w:val="21"/>
                      <w:szCs w:val="21"/>
                    </w:rPr>
                    <w:t>相符</w:t>
                  </w:r>
                </w:p>
              </w:tc>
            </w:tr>
            <w:tr w14:paraId="1E2A3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244" w:type="pct"/>
                  <w:noWrap w:val="0"/>
                  <w:vAlign w:val="center"/>
                </w:tcPr>
                <w:p w14:paraId="37582C6B">
                  <w:pPr>
                    <w:pStyle w:val="5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资源开发利用效率</w:t>
                  </w:r>
                </w:p>
              </w:tc>
              <w:tc>
                <w:tcPr>
                  <w:tcW w:w="2760" w:type="pct"/>
                  <w:noWrap w:val="0"/>
                  <w:vAlign w:val="center"/>
                </w:tcPr>
                <w:p w14:paraId="7759B3F3">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（1）大力倡导使用清洁能源</w:t>
                  </w:r>
                  <w:r>
                    <w:rPr>
                      <w:rFonts w:hint="eastAsia" w:cs="Times New Roman"/>
                      <w:color w:val="auto"/>
                      <w:sz w:val="21"/>
                      <w:szCs w:val="21"/>
                      <w:lang w:val="en-US" w:eastAsia="zh-CN"/>
                    </w:rPr>
                    <w:t>；</w:t>
                  </w:r>
                </w:p>
                <w:p w14:paraId="77AD9AFC">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（2）提升废水资源化技术，提高水资源回用率</w:t>
                  </w:r>
                  <w:r>
                    <w:rPr>
                      <w:rFonts w:hint="eastAsia" w:cs="Times New Roman"/>
                      <w:color w:val="auto"/>
                      <w:sz w:val="21"/>
                      <w:szCs w:val="21"/>
                      <w:lang w:val="en-US" w:eastAsia="zh-CN"/>
                    </w:rPr>
                    <w:t>；</w:t>
                  </w:r>
                </w:p>
                <w:p w14:paraId="0CC02EAF">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（3）禁止销售使用燃料为“II类”（较严），具体包括：①除单台出力大于等于20蒸吨/小时锅炉以外燃用的煤炭及其制品。②石油焦、油页岩、原油、重油、渣油、煤焦油</w:t>
                  </w:r>
                  <w:r>
                    <w:rPr>
                      <w:rFonts w:hint="eastAsia" w:cs="Times New Roman"/>
                      <w:color w:val="auto"/>
                      <w:sz w:val="21"/>
                      <w:szCs w:val="21"/>
                      <w:lang w:val="en-US" w:eastAsia="zh-CN"/>
                    </w:rPr>
                    <w:t>；</w:t>
                  </w:r>
                </w:p>
                <w:p w14:paraId="388653C3">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（4）禁止销售使用燃料为</w:t>
                  </w:r>
                  <w:r>
                    <w:rPr>
                      <w:rFonts w:hint="default" w:ascii="Times New Roman" w:hAnsi="Times New Roman" w:eastAsia="宋体" w:cs="Times New Roman"/>
                      <w:color w:val="auto"/>
                      <w:sz w:val="21"/>
                      <w:szCs w:val="21"/>
                      <w:lang w:val="en-US" w:eastAsia="zh-CN"/>
                    </w:rPr>
                    <w:t>“Ⅲ</w:t>
                  </w:r>
                  <w:r>
                    <w:rPr>
                      <w:rFonts w:hint="eastAsia" w:ascii="Times New Roman" w:hAnsi="Times New Roman" w:eastAsia="宋体" w:cs="Times New Roman"/>
                      <w:color w:val="auto"/>
                      <w:sz w:val="21"/>
                      <w:szCs w:val="21"/>
                      <w:lang w:val="en-US" w:eastAsia="zh-CN"/>
                    </w:rPr>
                    <w:t>类</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严格），具体包括：①煤炭及其制品（包括原煤、散煤煤矸石、煤泥、煤粉、水煤浆、型煤、焦炭、兰炭等）；②石油焦、油页岩、原油、重油、渣油、煤焦油；③非专用锅炉或未配置高效除尘设施的专用锅炉燃用的生物质成型燃料；④国家规定的其它高污染燃料；</w:t>
                  </w:r>
                </w:p>
                <w:p w14:paraId="70D96C60">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（5）资源利用上限：单位工业增加值综合能耗≤0.5吨标煤/万元；单位工业增加值新鲜水耗≤8.0m</w:t>
                  </w:r>
                  <w:r>
                    <w:rPr>
                      <w:rFonts w:hint="eastAsia"/>
                      <w:color w:val="auto"/>
                      <w:sz w:val="21"/>
                      <w:szCs w:val="21"/>
                      <w:vertAlign w:val="superscript"/>
                      <w:lang w:val="en-US" w:eastAsia="zh-CN"/>
                    </w:rPr>
                    <w:t>3</w:t>
                  </w:r>
                  <w:r>
                    <w:rPr>
                      <w:rFonts w:hint="eastAsia"/>
                      <w:color w:val="auto"/>
                      <w:sz w:val="21"/>
                      <w:szCs w:val="21"/>
                      <w:lang w:val="en-US" w:eastAsia="zh-CN"/>
                    </w:rPr>
                    <w:t>/万元；单位工业用地面积工业增加值≥9亿元/km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1648" w:type="pct"/>
                  <w:noWrap w:val="0"/>
                  <w:vAlign w:val="center"/>
                </w:tcPr>
                <w:p w14:paraId="607C392E">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pacing w:val="-6"/>
                      <w:sz w:val="21"/>
                      <w:szCs w:val="21"/>
                      <w:lang w:val="en-US" w:eastAsia="zh-CN"/>
                    </w:rPr>
                  </w:pPr>
                  <w:r>
                    <w:rPr>
                      <w:rFonts w:hint="eastAsia"/>
                      <w:color w:val="auto"/>
                      <w:spacing w:val="-6"/>
                      <w:sz w:val="21"/>
                      <w:szCs w:val="21"/>
                      <w:lang w:val="en-US" w:eastAsia="zh-CN"/>
                    </w:rPr>
                    <w:t>（1）本项目使用能源为电力；</w:t>
                  </w:r>
                </w:p>
                <w:p w14:paraId="1AD50D29">
                  <w:pPr>
                    <w:pStyle w:val="53"/>
                    <w:keepNext w:val="0"/>
                    <w:keepLines w:val="0"/>
                    <w:pageBreakBefore w:val="0"/>
                    <w:widowControl w:val="0"/>
                    <w:kinsoku/>
                    <w:wordWrap/>
                    <w:overflowPunct/>
                    <w:topLinePunct w:val="0"/>
                    <w:autoSpaceDE/>
                    <w:autoSpaceDN/>
                    <w:bidi w:val="0"/>
                    <w:spacing w:line="240" w:lineRule="auto"/>
                    <w:jc w:val="both"/>
                    <w:textAlignment w:val="auto"/>
                    <w:rPr>
                      <w:rFonts w:hint="default" w:eastAsia="宋体"/>
                      <w:color w:val="auto"/>
                      <w:sz w:val="21"/>
                      <w:szCs w:val="21"/>
                      <w:lang w:val="en-US" w:eastAsia="zh-CN"/>
                    </w:rPr>
                  </w:pPr>
                  <w:r>
                    <w:rPr>
                      <w:rFonts w:hint="eastAsia"/>
                      <w:color w:val="auto"/>
                      <w:sz w:val="21"/>
                      <w:szCs w:val="21"/>
                      <w:lang w:val="en-US" w:eastAsia="zh-CN"/>
                    </w:rPr>
                    <w:t>（2）本项目产生的废水主要是生活污水，接管至金坛第二污水处理厂处理；</w:t>
                  </w:r>
                </w:p>
                <w:p w14:paraId="00AEF3EB">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color w:val="auto"/>
                      <w:sz w:val="21"/>
                      <w:szCs w:val="21"/>
                    </w:rPr>
                  </w:pPr>
                  <w:r>
                    <w:rPr>
                      <w:rFonts w:hint="eastAsia"/>
                      <w:color w:val="auto"/>
                      <w:sz w:val="21"/>
                      <w:szCs w:val="21"/>
                      <w:lang w:val="en-US" w:eastAsia="zh-CN"/>
                    </w:rPr>
                    <w:t>（3）本项目不使用燃料；</w:t>
                  </w:r>
                </w:p>
                <w:p w14:paraId="13D5F2CD">
                  <w:pPr>
                    <w:pStyle w:val="53"/>
                    <w:keepNext w:val="0"/>
                    <w:keepLines w:val="0"/>
                    <w:pageBreakBefore w:val="0"/>
                    <w:widowControl w:val="0"/>
                    <w:kinsoku/>
                    <w:wordWrap/>
                    <w:overflowPunct/>
                    <w:topLinePunct w:val="0"/>
                    <w:autoSpaceDE/>
                    <w:autoSpaceDN/>
                    <w:bidi w:val="0"/>
                    <w:spacing w:line="240" w:lineRule="auto"/>
                    <w:jc w:val="both"/>
                    <w:textAlignment w:val="auto"/>
                    <w:rPr>
                      <w:rFonts w:hint="eastAsia" w:eastAsia="宋体"/>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（5）本项目为实验室建设项目，以代谢工程和合成生物学技术改造基因工程菌实验为主</w:t>
                  </w:r>
                  <w:r>
                    <w:rPr>
                      <w:rFonts w:hint="eastAsia" w:cs="Times New Roman"/>
                      <w:color w:val="auto"/>
                      <w:kern w:val="2"/>
                      <w:sz w:val="21"/>
                      <w:szCs w:val="21"/>
                      <w:lang w:val="en-US" w:eastAsia="zh-CN" w:bidi="ar-SA"/>
                    </w:rPr>
                    <w:t>；</w:t>
                  </w:r>
                </w:p>
              </w:tc>
              <w:tc>
                <w:tcPr>
                  <w:tcW w:w="347" w:type="pct"/>
                  <w:noWrap w:val="0"/>
                  <w:vAlign w:val="center"/>
                </w:tcPr>
                <w:p w14:paraId="333465A6">
                  <w:pPr>
                    <w:pStyle w:val="53"/>
                    <w:keepNext w:val="0"/>
                    <w:keepLines w:val="0"/>
                    <w:pageBreakBefore w:val="0"/>
                    <w:widowControl w:val="0"/>
                    <w:kinsoku/>
                    <w:wordWrap/>
                    <w:overflowPunct/>
                    <w:topLinePunct w:val="0"/>
                    <w:autoSpaceDE/>
                    <w:autoSpaceDN/>
                    <w:bidi w:val="0"/>
                    <w:spacing w:line="240" w:lineRule="auto"/>
                    <w:textAlignment w:val="auto"/>
                    <w:rPr>
                      <w:color w:val="auto"/>
                      <w:sz w:val="21"/>
                      <w:szCs w:val="21"/>
                    </w:rPr>
                  </w:pPr>
                  <w:r>
                    <w:rPr>
                      <w:color w:val="auto"/>
                      <w:sz w:val="21"/>
                      <w:szCs w:val="21"/>
                    </w:rPr>
                    <w:t>相符</w:t>
                  </w:r>
                </w:p>
              </w:tc>
            </w:tr>
          </w:tbl>
          <w:p w14:paraId="082B342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color w:val="auto"/>
                <w:lang w:val="en-US" w:eastAsia="zh-CN"/>
              </w:rPr>
            </w:pPr>
            <w:r>
              <w:rPr>
                <w:color w:val="auto"/>
                <w:sz w:val="24"/>
                <w:szCs w:val="24"/>
              </w:rPr>
              <w:t>综上，本项目与</w:t>
            </w:r>
            <w:r>
              <w:rPr>
                <w:rFonts w:hint="eastAsia"/>
                <w:color w:val="auto"/>
                <w:sz w:val="24"/>
                <w:szCs w:val="24"/>
                <w:lang w:val="en-US" w:eastAsia="zh-CN"/>
              </w:rPr>
              <w:t>金城科技产业园</w:t>
            </w:r>
            <w:r>
              <w:rPr>
                <w:rFonts w:hint="eastAsia"/>
                <w:color w:val="auto"/>
                <w:sz w:val="24"/>
                <w:szCs w:val="24"/>
              </w:rPr>
              <w:t>发展规划审查意见</w:t>
            </w:r>
            <w:r>
              <w:rPr>
                <w:color w:val="auto"/>
                <w:sz w:val="24"/>
                <w:szCs w:val="24"/>
              </w:rPr>
              <w:t>相符。</w:t>
            </w:r>
          </w:p>
        </w:tc>
      </w:tr>
    </w:tbl>
    <w:p w14:paraId="15172CDF">
      <w:pPr>
        <w:pStyle w:val="11"/>
        <w:numPr>
          <w:ilvl w:val="0"/>
          <w:numId w:val="0"/>
        </w:numPr>
        <w:rPr>
          <w:color w:val="auto"/>
        </w:rPr>
      </w:pPr>
    </w:p>
    <w:p w14:paraId="6090AB71">
      <w:pPr>
        <w:pStyle w:val="11"/>
        <w:numPr>
          <w:ilvl w:val="0"/>
          <w:numId w:val="0"/>
        </w:numPr>
        <w:rPr>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8061"/>
      </w:tblGrid>
      <w:tr w14:paraId="7BF1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noWrap w:val="0"/>
            <w:vAlign w:val="top"/>
          </w:tcPr>
          <w:p w14:paraId="6F8C02FB">
            <w:pPr>
              <w:pStyle w:val="11"/>
              <w:numPr>
                <w:ilvl w:val="0"/>
                <w:numId w:val="0"/>
              </w:numPr>
              <w:rPr>
                <w:color w:val="auto"/>
                <w:sz w:val="24"/>
                <w:szCs w:val="24"/>
              </w:rPr>
            </w:pPr>
          </w:p>
        </w:tc>
        <w:tc>
          <w:tcPr>
            <w:tcW w:w="8061" w:type="dxa"/>
            <w:noWrap w:val="0"/>
            <w:vAlign w:val="top"/>
          </w:tcPr>
          <w:p w14:paraId="328DE515">
            <w:pPr>
              <w:autoSpaceDE w:val="0"/>
              <w:autoSpaceDN w:val="0"/>
              <w:adjustRightInd w:val="0"/>
              <w:snapToGrid w:val="0"/>
              <w:spacing w:before="120" w:beforeLines="50" w:after="120" w:afterLines="50" w:line="360" w:lineRule="exact"/>
              <w:rPr>
                <w:b/>
                <w:bCs/>
                <w:color w:val="auto"/>
                <w:kern w:val="0"/>
                <w:sz w:val="24"/>
                <w:szCs w:val="24"/>
              </w:rPr>
            </w:pPr>
            <w:r>
              <w:rPr>
                <w:rFonts w:hint="eastAsia"/>
                <w:b/>
                <w:bCs/>
                <w:color w:val="auto"/>
                <w:kern w:val="0"/>
                <w:sz w:val="24"/>
                <w:szCs w:val="24"/>
              </w:rPr>
              <w:t>与《常州市“三区三线”划定成果》的相符性分析</w:t>
            </w:r>
          </w:p>
          <w:p w14:paraId="2F15CD0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（1）内容要点</w:t>
            </w:r>
          </w:p>
          <w:p w14:paraId="17AE090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“三区三线”：根据城镇空间、农业空间、生态空间三种类型的空间，分别对应划定的城镇开发边界、永久基本农田保护红线、生态保护红线三条控制线。</w:t>
            </w:r>
          </w:p>
          <w:p w14:paraId="19517B9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永久基本农田：常州市永久基本农田保护任务为114.9600万亩，市域划定永久基本农田112.9589万亩，占市域面积的17.22%。</w:t>
            </w:r>
          </w:p>
          <w:p w14:paraId="4D46A69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生态保护红线：市域划定生态保护红线346.10平方公里，占市域面积的7.92%。</w:t>
            </w:r>
          </w:p>
          <w:p w14:paraId="1C1FEF9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城镇开发边界：市域划定城镇开发边界925.05平方公里，占市域面积的21.16%。其中，城镇集中建设区911.38平方公里，城镇弹性发展区13.67平方公里。</w:t>
            </w:r>
          </w:p>
          <w:p w14:paraId="762BA1A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（2）相符性分析</w:t>
            </w:r>
          </w:p>
          <w:p w14:paraId="72C9059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本项目位于江苏省金坛</w:t>
            </w:r>
            <w:r>
              <w:rPr>
                <w:rFonts w:hint="eastAsia"/>
                <w:color w:val="000000" w:themeColor="text1"/>
                <w:sz w:val="24"/>
                <w:szCs w:val="24"/>
                <w:lang w:eastAsia="zh-CN"/>
                <w14:textFill>
                  <w14:solidFill>
                    <w14:schemeClr w14:val="tx1"/>
                  </w14:solidFill>
                </w14:textFill>
              </w:rPr>
              <w:t>西城路118号</w:t>
            </w:r>
            <w:r>
              <w:rPr>
                <w:rFonts w:hint="eastAsia"/>
                <w:color w:val="000000" w:themeColor="text1"/>
                <w:sz w:val="24"/>
                <w:szCs w:val="24"/>
                <w14:textFill>
                  <w14:solidFill>
                    <w14:schemeClr w14:val="tx1"/>
                  </w14:solidFill>
                </w14:textFill>
              </w:rPr>
              <w:t>，根据《常州市国土空间总体规划（2021-2035年）》位于城镇开发边界</w:t>
            </w:r>
            <w:r>
              <w:rPr>
                <w:rFonts w:hint="eastAsia"/>
                <w:color w:val="000000" w:themeColor="text1"/>
                <w:sz w:val="24"/>
                <w:szCs w:val="24"/>
                <w:lang w:val="en-US" w:eastAsia="zh-CN"/>
                <w14:textFill>
                  <w14:solidFill>
                    <w14:schemeClr w14:val="tx1"/>
                  </w14:solidFill>
                </w14:textFill>
              </w:rPr>
              <w:t>内</w:t>
            </w:r>
            <w:r>
              <w:rPr>
                <w:rFonts w:hint="eastAsia"/>
                <w:color w:val="000000" w:themeColor="text1"/>
                <w:sz w:val="24"/>
                <w:szCs w:val="24"/>
                <w14:textFill>
                  <w14:solidFill>
                    <w14:schemeClr w14:val="tx1"/>
                  </w14:solidFill>
                </w14:textFill>
              </w:rPr>
              <w:t>，不涉及永久基本农田、生态保护红线。</w:t>
            </w:r>
          </w:p>
          <w:p w14:paraId="29023C65">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atLeast"/>
              <w:textAlignment w:val="auto"/>
              <w:rPr>
                <w:rFonts w:hint="eastAsia"/>
                <w:b/>
                <w:bCs/>
                <w:color w:val="auto"/>
                <w:sz w:val="24"/>
                <w:szCs w:val="24"/>
                <w:lang w:val="en-US" w:eastAsia="zh-CN"/>
              </w:rPr>
            </w:pPr>
            <w:r>
              <w:rPr>
                <w:rFonts w:hint="eastAsia"/>
                <w:b/>
                <w:bCs/>
                <w:color w:val="auto"/>
                <w:sz w:val="24"/>
                <w:szCs w:val="24"/>
                <w:lang w:val="en-US" w:eastAsia="zh-CN"/>
              </w:rPr>
              <w:t>选址可行性分析</w:t>
            </w:r>
          </w:p>
          <w:p w14:paraId="4806D469">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atLeast"/>
              <w:ind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eastAsia"/>
                <w:color w:val="auto"/>
                <w:sz w:val="24"/>
                <w:szCs w:val="24"/>
                <w:lang w:val="en-US" w:eastAsia="zh-CN"/>
              </w:rPr>
              <w:t>本项目</w:t>
            </w:r>
            <w:r>
              <w:rPr>
                <w:rFonts w:hint="eastAsia"/>
                <w:color w:val="000000" w:themeColor="text1"/>
                <w:sz w:val="24"/>
                <w:szCs w:val="24"/>
                <w14:textFill>
                  <w14:solidFill>
                    <w14:schemeClr w14:val="tx1"/>
                  </w14:solidFill>
                </w14:textFill>
              </w:rPr>
              <w:t>江苏省金坛</w:t>
            </w:r>
            <w:r>
              <w:rPr>
                <w:rFonts w:hint="eastAsia"/>
                <w:color w:val="000000" w:themeColor="text1"/>
                <w:sz w:val="24"/>
                <w:szCs w:val="24"/>
                <w:lang w:eastAsia="zh-CN"/>
                <w14:textFill>
                  <w14:solidFill>
                    <w14:schemeClr w14:val="tx1"/>
                  </w14:solidFill>
                </w14:textFill>
              </w:rPr>
              <w:t>西城路118号，</w:t>
            </w:r>
            <w:r>
              <w:rPr>
                <w:rFonts w:hint="eastAsia"/>
                <w:color w:val="000000" w:themeColor="text1"/>
                <w:sz w:val="24"/>
                <w:szCs w:val="24"/>
                <w:lang w:val="en-US" w:eastAsia="zh-CN"/>
                <w14:textFill>
                  <w14:solidFill>
                    <w14:schemeClr w14:val="tx1"/>
                  </w14:solidFill>
                </w14:textFill>
              </w:rPr>
              <w:t>9号楼2层，</w:t>
            </w:r>
            <w:r>
              <w:rPr>
                <w:rFonts w:hint="default" w:ascii="Times New Roman" w:hAnsi="Times New Roman" w:eastAsia="宋体" w:cs="Times New Roman"/>
                <w:color w:val="000000" w:themeColor="text1"/>
                <w:sz w:val="24"/>
                <w:lang w:eastAsia="zh-CN"/>
                <w14:textFill>
                  <w14:solidFill>
                    <w14:schemeClr w14:val="tx1"/>
                  </w14:solidFill>
                </w14:textFill>
              </w:rPr>
              <w:t>租用位于蓝色彩虹(常州)孵化器有限公司</w:t>
            </w:r>
            <w:r>
              <w:rPr>
                <w:rFonts w:hint="eastAsia" w:cs="Times New Roman"/>
                <w:color w:val="000000" w:themeColor="text1"/>
                <w:sz w:val="24"/>
                <w:lang w:val="en-US" w:eastAsia="zh-CN"/>
                <w14:textFill>
                  <w14:solidFill>
                    <w14:schemeClr w14:val="tx1"/>
                  </w14:solidFill>
                </w14:textFill>
              </w:rPr>
              <w:t>的空余厂房156</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可满足本项目生产所需</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蓝色彩虹(常州)孵化器有限公司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租用江苏金坛经济开发区管理委员会厂房</w:t>
            </w:r>
            <w:r>
              <w:rPr>
                <w:rFonts w:hint="eastAsia" w:cs="Times New Roman"/>
                <w:color w:val="000000" w:themeColor="text1"/>
                <w:sz w:val="24"/>
                <w:lang w:val="en-US" w:eastAsia="zh-CN"/>
                <w14:textFill>
                  <w14:solidFill>
                    <w14:schemeClr w14:val="tx1"/>
                  </w14:solidFill>
                </w14:textFill>
              </w:rPr>
              <w:t>9号楼（一层184</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，二层1413</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，一层被租用给常州新一产生命科技有限公司，其他区域为闲置厂房）。</w:t>
            </w:r>
          </w:p>
          <w:p w14:paraId="5AC63A3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lang w:val="en-US" w:eastAsia="zh-CN"/>
              </w:rPr>
            </w:pPr>
            <w:r>
              <w:rPr>
                <w:rFonts w:hint="eastAsia" w:ascii="Times New Roman" w:hAnsi="Times New Roman" w:eastAsia="宋体" w:cs="Times New Roman"/>
                <w:color w:val="auto"/>
                <w:kern w:val="2"/>
                <w:sz w:val="24"/>
                <w:szCs w:val="24"/>
                <w:lang w:val="en-US" w:eastAsia="zh-CN" w:bidi="ar-SA"/>
              </w:rPr>
              <w:t>目前园区房屋产权证正在办理中。根据《金坛金城科技产业园发展规划环境影响报告书》中用地规划，本项目所在地用地</w:t>
            </w:r>
            <w:r>
              <w:rPr>
                <w:rFonts w:hint="eastAsia" w:cs="Times New Roman"/>
                <w:color w:val="auto"/>
                <w:kern w:val="2"/>
                <w:sz w:val="24"/>
                <w:szCs w:val="24"/>
                <w:lang w:val="en-US" w:eastAsia="zh-CN" w:bidi="ar-SA"/>
              </w:rPr>
              <w:t>规划</w:t>
            </w:r>
            <w:r>
              <w:rPr>
                <w:rFonts w:hint="eastAsia" w:ascii="Times New Roman" w:hAnsi="Times New Roman" w:eastAsia="宋体" w:cs="Times New Roman"/>
                <w:color w:val="auto"/>
                <w:kern w:val="2"/>
                <w:sz w:val="24"/>
                <w:szCs w:val="24"/>
                <w:lang w:val="en-US" w:eastAsia="zh-CN" w:bidi="ar-SA"/>
              </w:rPr>
              <w:t>为工业用地（见附图8）。</w:t>
            </w:r>
          </w:p>
          <w:p w14:paraId="75D4D0D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本项目选址</w:t>
            </w:r>
            <w:r>
              <w:rPr>
                <w:rFonts w:hint="eastAsia" w:cs="Times New Roman"/>
                <w:color w:val="auto"/>
                <w:kern w:val="2"/>
                <w:sz w:val="24"/>
                <w:szCs w:val="24"/>
                <w:lang w:val="en-US" w:eastAsia="zh-CN" w:bidi="ar-SA"/>
              </w:rPr>
              <w:t>与用地规划相符。</w:t>
            </w:r>
          </w:p>
          <w:p w14:paraId="7DFFEC73">
            <w:pPr>
              <w:pStyle w:val="11"/>
              <w:numPr>
                <w:ilvl w:val="0"/>
                <w:numId w:val="0"/>
              </w:numPr>
              <w:rPr>
                <w:color w:val="auto"/>
                <w:sz w:val="24"/>
                <w:szCs w:val="24"/>
              </w:rPr>
            </w:pPr>
          </w:p>
        </w:tc>
      </w:tr>
    </w:tbl>
    <w:p w14:paraId="19C8E63D">
      <w:pPr>
        <w:pStyle w:val="11"/>
        <w:numPr>
          <w:ilvl w:val="0"/>
          <w:numId w:val="0"/>
        </w:numPr>
        <w:rPr>
          <w:color w:val="auto"/>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22"/>
        <w:tblW w:w="9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520"/>
      </w:tblGrid>
      <w:tr w14:paraId="40EB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noWrap w:val="0"/>
            <w:vAlign w:val="center"/>
          </w:tcPr>
          <w:p w14:paraId="29AE9EBB">
            <w:pPr>
              <w:pStyle w:val="11"/>
              <w:numPr>
                <w:ilvl w:val="0"/>
                <w:numId w:val="0"/>
              </w:numPr>
              <w:jc w:val="center"/>
              <w:rPr>
                <w:color w:val="auto"/>
                <w:sz w:val="24"/>
                <w:szCs w:val="24"/>
              </w:rPr>
            </w:pPr>
            <w:r>
              <w:rPr>
                <w:color w:val="auto"/>
                <w:kern w:val="0"/>
                <w:sz w:val="24"/>
                <w:szCs w:val="24"/>
              </w:rPr>
              <w:t>其他符合性分析</w:t>
            </w:r>
          </w:p>
        </w:tc>
        <w:tc>
          <w:tcPr>
            <w:tcW w:w="8520" w:type="dxa"/>
            <w:noWrap w:val="0"/>
            <w:vAlign w:val="top"/>
          </w:tcPr>
          <w:p w14:paraId="36F933AC">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auto"/>
                <w:kern w:val="0"/>
                <w:sz w:val="24"/>
                <w:szCs w:val="24"/>
              </w:rPr>
            </w:pPr>
            <w:r>
              <w:rPr>
                <w:b/>
                <w:bCs/>
                <w:color w:val="auto"/>
                <w:kern w:val="0"/>
                <w:sz w:val="24"/>
                <w:szCs w:val="24"/>
              </w:rPr>
              <w:t>与产业政策相符性分析</w:t>
            </w:r>
          </w:p>
          <w:p w14:paraId="3CBA8155">
            <w:pPr>
              <w:keepNext w:val="0"/>
              <w:keepLines w:val="0"/>
              <w:pageBreakBefore w:val="0"/>
              <w:widowControl w:val="0"/>
              <w:kinsoku/>
              <w:wordWrap/>
              <w:overflowPunct/>
              <w:topLinePunct w:val="0"/>
              <w:bidi w:val="0"/>
              <w:spacing w:line="480" w:lineRule="exact"/>
              <w:ind w:firstLine="480" w:firstLineChars="200"/>
              <w:textAlignment w:val="auto"/>
              <w:rPr>
                <w:color w:val="auto"/>
                <w:sz w:val="24"/>
                <w:szCs w:val="24"/>
              </w:rPr>
            </w:pPr>
            <w:r>
              <w:rPr>
                <w:color w:val="auto"/>
                <w:sz w:val="24"/>
                <w:szCs w:val="24"/>
              </w:rPr>
              <w:t>本项目产业政策相符性分析具体见表1-</w:t>
            </w:r>
            <w:r>
              <w:rPr>
                <w:rFonts w:hint="eastAsia"/>
                <w:color w:val="auto"/>
                <w:sz w:val="24"/>
                <w:szCs w:val="24"/>
                <w:lang w:val="en-US" w:eastAsia="zh-CN"/>
              </w:rPr>
              <w:t>2</w:t>
            </w:r>
            <w:r>
              <w:rPr>
                <w:color w:val="auto"/>
                <w:sz w:val="24"/>
                <w:szCs w:val="24"/>
              </w:rPr>
              <w:t>。</w:t>
            </w:r>
          </w:p>
          <w:p w14:paraId="365559E8">
            <w:pPr>
              <w:snapToGrid w:val="0"/>
              <w:spacing w:before="72" w:beforeLines="30" w:line="360" w:lineRule="exact"/>
              <w:jc w:val="center"/>
              <w:rPr>
                <w:b/>
                <w:bCs/>
                <w:color w:val="auto"/>
                <w:sz w:val="21"/>
                <w:szCs w:val="21"/>
              </w:rPr>
            </w:pPr>
            <w:r>
              <w:rPr>
                <w:b/>
                <w:bCs/>
                <w:color w:val="auto"/>
                <w:sz w:val="21"/>
                <w:szCs w:val="21"/>
              </w:rPr>
              <w:t>表1-</w:t>
            </w:r>
            <w:r>
              <w:rPr>
                <w:rFonts w:hint="eastAsia"/>
                <w:b/>
                <w:bCs/>
                <w:color w:val="auto"/>
                <w:sz w:val="21"/>
                <w:szCs w:val="21"/>
                <w:lang w:val="en-US" w:eastAsia="zh-CN"/>
              </w:rPr>
              <w:t>2</w:t>
            </w:r>
            <w:r>
              <w:rPr>
                <w:b/>
                <w:bCs/>
                <w:color w:val="auto"/>
                <w:sz w:val="21"/>
                <w:szCs w:val="21"/>
              </w:rPr>
              <w:t xml:space="preserve"> 本项目产业政策相符性分析</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9"/>
              <w:gridCol w:w="6822"/>
              <w:gridCol w:w="830"/>
            </w:tblGrid>
            <w:tr w14:paraId="2F576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3" w:hRule="atLeast"/>
              </w:trPr>
              <w:tc>
                <w:tcPr>
                  <w:tcW w:w="391" w:type="pct"/>
                  <w:noWrap w:val="0"/>
                  <w:vAlign w:val="center"/>
                </w:tcPr>
                <w:p w14:paraId="25EF70B4">
                  <w:pPr>
                    <w:snapToGrid w:val="0"/>
                    <w:spacing w:line="240" w:lineRule="auto"/>
                    <w:jc w:val="center"/>
                    <w:rPr>
                      <w:b/>
                      <w:color w:val="auto"/>
                      <w:sz w:val="21"/>
                      <w:szCs w:val="21"/>
                    </w:rPr>
                  </w:pPr>
                  <w:r>
                    <w:rPr>
                      <w:b/>
                      <w:color w:val="auto"/>
                      <w:sz w:val="21"/>
                      <w:szCs w:val="21"/>
                    </w:rPr>
                    <w:t>判断</w:t>
                  </w:r>
                </w:p>
                <w:p w14:paraId="216DBEF6">
                  <w:pPr>
                    <w:snapToGrid w:val="0"/>
                    <w:spacing w:line="240" w:lineRule="auto"/>
                    <w:jc w:val="center"/>
                    <w:rPr>
                      <w:b/>
                      <w:color w:val="auto"/>
                      <w:sz w:val="21"/>
                      <w:szCs w:val="21"/>
                    </w:rPr>
                  </w:pPr>
                  <w:r>
                    <w:rPr>
                      <w:b/>
                      <w:color w:val="auto"/>
                      <w:sz w:val="21"/>
                      <w:szCs w:val="21"/>
                    </w:rPr>
                    <w:t>类型</w:t>
                  </w:r>
                </w:p>
              </w:tc>
              <w:tc>
                <w:tcPr>
                  <w:tcW w:w="4107" w:type="pct"/>
                  <w:noWrap w:val="0"/>
                  <w:vAlign w:val="center"/>
                </w:tcPr>
                <w:p w14:paraId="72B2B6D3">
                  <w:pPr>
                    <w:snapToGrid w:val="0"/>
                    <w:spacing w:line="240" w:lineRule="auto"/>
                    <w:jc w:val="center"/>
                    <w:rPr>
                      <w:b/>
                      <w:color w:val="auto"/>
                      <w:sz w:val="21"/>
                      <w:szCs w:val="21"/>
                    </w:rPr>
                  </w:pPr>
                  <w:r>
                    <w:rPr>
                      <w:b/>
                      <w:color w:val="auto"/>
                      <w:sz w:val="21"/>
                      <w:szCs w:val="21"/>
                    </w:rPr>
                    <w:t>对照简析</w:t>
                  </w:r>
                </w:p>
              </w:tc>
              <w:tc>
                <w:tcPr>
                  <w:tcW w:w="500" w:type="pct"/>
                  <w:noWrap w:val="0"/>
                  <w:vAlign w:val="center"/>
                </w:tcPr>
                <w:p w14:paraId="7F4FC10E">
                  <w:pPr>
                    <w:snapToGrid w:val="0"/>
                    <w:spacing w:line="240" w:lineRule="auto"/>
                    <w:jc w:val="center"/>
                    <w:rPr>
                      <w:b/>
                      <w:color w:val="auto"/>
                      <w:sz w:val="21"/>
                      <w:szCs w:val="21"/>
                    </w:rPr>
                  </w:pPr>
                  <w:r>
                    <w:rPr>
                      <w:b/>
                      <w:color w:val="auto"/>
                      <w:sz w:val="21"/>
                      <w:szCs w:val="21"/>
                    </w:rPr>
                    <w:t>是否满足要求</w:t>
                  </w:r>
                </w:p>
              </w:tc>
            </w:tr>
            <w:tr w14:paraId="4FEAA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restart"/>
                  <w:noWrap w:val="0"/>
                  <w:vAlign w:val="center"/>
                </w:tcPr>
                <w:p w14:paraId="7A5602D2">
                  <w:pPr>
                    <w:pStyle w:val="65"/>
                    <w:snapToGrid w:val="0"/>
                    <w:spacing w:line="240" w:lineRule="auto"/>
                    <w:rPr>
                      <w:rFonts w:ascii="Times New Roman" w:hAnsi="Times New Roman" w:eastAsia="宋体"/>
                      <w:color w:val="auto"/>
                      <w:sz w:val="21"/>
                      <w:szCs w:val="21"/>
                    </w:rPr>
                  </w:pPr>
                  <w:r>
                    <w:rPr>
                      <w:rFonts w:ascii="Times New Roman" w:hAnsi="Times New Roman" w:eastAsia="宋体"/>
                      <w:color w:val="auto"/>
                      <w:sz w:val="21"/>
                      <w:szCs w:val="21"/>
                    </w:rPr>
                    <w:t>产业</w:t>
                  </w:r>
                </w:p>
                <w:p w14:paraId="70A0DB67">
                  <w:pPr>
                    <w:pStyle w:val="65"/>
                    <w:snapToGrid w:val="0"/>
                    <w:spacing w:line="240" w:lineRule="auto"/>
                    <w:rPr>
                      <w:rFonts w:ascii="Times New Roman" w:hAnsi="Times New Roman" w:eastAsia="宋体"/>
                      <w:color w:val="auto"/>
                      <w:sz w:val="21"/>
                      <w:szCs w:val="21"/>
                    </w:rPr>
                  </w:pPr>
                  <w:r>
                    <w:rPr>
                      <w:rFonts w:ascii="Times New Roman" w:hAnsi="Times New Roman" w:eastAsia="宋体"/>
                      <w:color w:val="auto"/>
                      <w:sz w:val="21"/>
                      <w:szCs w:val="21"/>
                    </w:rPr>
                    <w:t>政策</w:t>
                  </w:r>
                </w:p>
              </w:tc>
              <w:tc>
                <w:tcPr>
                  <w:tcW w:w="4107" w:type="pct"/>
                  <w:noWrap w:val="0"/>
                  <w:vAlign w:val="center"/>
                </w:tcPr>
                <w:p w14:paraId="7FFCA656">
                  <w:pPr>
                    <w:pStyle w:val="65"/>
                    <w:snapToGrid w:val="0"/>
                    <w:spacing w:line="240" w:lineRule="auto"/>
                    <w:rPr>
                      <w:rFonts w:hint="eastAsia" w:ascii="Times New Roman" w:hAnsi="Times New Roman" w:eastAsia="宋体"/>
                      <w:color w:val="auto"/>
                      <w:sz w:val="21"/>
                      <w:szCs w:val="21"/>
                      <w:lang w:eastAsia="zh-CN"/>
                    </w:rPr>
                  </w:pPr>
                  <w:r>
                    <w:rPr>
                      <w:rFonts w:ascii="Times New Roman" w:hAnsi="Times New Roman" w:eastAsia="宋体"/>
                      <w:color w:val="auto"/>
                      <w:spacing w:val="-6"/>
                      <w:sz w:val="21"/>
                      <w:szCs w:val="21"/>
                    </w:rPr>
                    <w:t>本</w:t>
                  </w:r>
                  <w:r>
                    <w:rPr>
                      <w:rFonts w:ascii="Times New Roman" w:hAnsi="Times New Roman" w:eastAsia="宋体"/>
                      <w:color w:val="auto"/>
                      <w:sz w:val="21"/>
                      <w:szCs w:val="21"/>
                    </w:rPr>
                    <w:t>项目属于</w:t>
                  </w:r>
                  <w:r>
                    <w:rPr>
                      <w:rFonts w:hint="eastAsia" w:ascii="Times New Roman" w:hAnsi="Times New Roman" w:eastAsia="宋体"/>
                      <w:color w:val="auto"/>
                      <w:sz w:val="21"/>
                      <w:szCs w:val="21"/>
                      <w:lang w:eastAsia="zh-CN"/>
                    </w:rPr>
                    <w:t>M7320工程和技术研究和试验发展</w:t>
                  </w:r>
                  <w:r>
                    <w:rPr>
                      <w:rFonts w:ascii="Times New Roman" w:hAnsi="Times New Roman" w:eastAsia="宋体"/>
                      <w:color w:val="auto"/>
                      <w:sz w:val="21"/>
                      <w:szCs w:val="21"/>
                    </w:rPr>
                    <w:t>，不属于《产业结构调整指导目录（20</w:t>
                  </w:r>
                  <w:r>
                    <w:rPr>
                      <w:rFonts w:hint="eastAsia" w:ascii="Times New Roman" w:hAnsi="Times New Roman" w:eastAsia="宋体"/>
                      <w:color w:val="auto"/>
                      <w:sz w:val="21"/>
                      <w:szCs w:val="21"/>
                    </w:rPr>
                    <w:t>24</w:t>
                  </w:r>
                  <w:r>
                    <w:rPr>
                      <w:rFonts w:ascii="Times New Roman" w:hAnsi="Times New Roman" w:eastAsia="宋体"/>
                      <w:color w:val="auto"/>
                      <w:sz w:val="21"/>
                      <w:szCs w:val="21"/>
                    </w:rPr>
                    <w:t>年本）》中的限制及淘汰类</w:t>
                  </w:r>
                  <w:r>
                    <w:rPr>
                      <w:rFonts w:hint="eastAsia" w:ascii="Times New Roman" w:hAnsi="Times New Roman" w:eastAsia="宋体"/>
                      <w:color w:val="auto"/>
                      <w:sz w:val="21"/>
                      <w:szCs w:val="21"/>
                      <w:lang w:eastAsia="zh-CN"/>
                    </w:rPr>
                    <w:t>。</w:t>
                  </w:r>
                </w:p>
              </w:tc>
              <w:tc>
                <w:tcPr>
                  <w:tcW w:w="500" w:type="pct"/>
                  <w:noWrap w:val="0"/>
                  <w:vAlign w:val="center"/>
                </w:tcPr>
                <w:p w14:paraId="36C73668">
                  <w:pPr>
                    <w:pStyle w:val="65"/>
                    <w:snapToGrid w:val="0"/>
                    <w:spacing w:line="240" w:lineRule="auto"/>
                    <w:rPr>
                      <w:rFonts w:ascii="Times New Roman" w:hAnsi="Times New Roman" w:eastAsia="宋体"/>
                      <w:color w:val="auto"/>
                      <w:sz w:val="21"/>
                      <w:szCs w:val="21"/>
                    </w:rPr>
                  </w:pPr>
                  <w:r>
                    <w:rPr>
                      <w:rFonts w:ascii="Times New Roman" w:hAnsi="Times New Roman" w:eastAsia="宋体"/>
                      <w:color w:val="auto"/>
                      <w:sz w:val="21"/>
                      <w:szCs w:val="21"/>
                    </w:rPr>
                    <w:t>是</w:t>
                  </w:r>
                </w:p>
              </w:tc>
            </w:tr>
            <w:tr w14:paraId="12D99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4F5EB658">
                  <w:pPr>
                    <w:pStyle w:val="65"/>
                    <w:snapToGrid w:val="0"/>
                    <w:spacing w:line="240" w:lineRule="auto"/>
                    <w:rPr>
                      <w:rFonts w:ascii="Times New Roman" w:hAnsi="Times New Roman" w:eastAsia="宋体"/>
                      <w:color w:val="auto"/>
                      <w:sz w:val="21"/>
                      <w:szCs w:val="21"/>
                    </w:rPr>
                  </w:pPr>
                </w:p>
              </w:tc>
              <w:tc>
                <w:tcPr>
                  <w:tcW w:w="4107" w:type="pct"/>
                  <w:noWrap w:val="0"/>
                  <w:vAlign w:val="center"/>
                </w:tcPr>
                <w:p w14:paraId="41A51CD6">
                  <w:pPr>
                    <w:pStyle w:val="4"/>
                    <w:snapToGrid w:val="0"/>
                    <w:spacing w:line="240" w:lineRule="auto"/>
                    <w:ind w:firstLine="0" w:firstLineChars="0"/>
                    <w:jc w:val="center"/>
                    <w:rPr>
                      <w:rFonts w:eastAsia="宋体"/>
                      <w:color w:val="auto"/>
                      <w:sz w:val="21"/>
                      <w:szCs w:val="21"/>
                    </w:rPr>
                  </w:pPr>
                  <w:r>
                    <w:rPr>
                      <w:rFonts w:eastAsia="宋体"/>
                      <w:color w:val="auto"/>
                      <w:sz w:val="21"/>
                      <w:szCs w:val="21"/>
                    </w:rPr>
                    <w:t>本项目</w:t>
                  </w:r>
                  <w:r>
                    <w:rPr>
                      <w:rFonts w:eastAsia="宋体"/>
                      <w:color w:val="auto"/>
                      <w:kern w:val="44"/>
                      <w:sz w:val="21"/>
                      <w:szCs w:val="21"/>
                    </w:rPr>
                    <w:t>属于</w:t>
                  </w:r>
                  <w:r>
                    <w:rPr>
                      <w:rFonts w:hint="eastAsia" w:eastAsia="宋体"/>
                      <w:color w:val="auto"/>
                      <w:sz w:val="21"/>
                      <w:szCs w:val="21"/>
                      <w:lang w:eastAsia="zh-CN"/>
                    </w:rPr>
                    <w:t>M7320工程和技术研究和试验发展</w:t>
                  </w:r>
                  <w:r>
                    <w:rPr>
                      <w:rFonts w:eastAsia="宋体"/>
                      <w:color w:val="auto"/>
                      <w:sz w:val="21"/>
                      <w:szCs w:val="21"/>
                    </w:rPr>
                    <w:t>，</w:t>
                  </w:r>
                  <w:r>
                    <w:rPr>
                      <w:rFonts w:eastAsia="宋体"/>
                      <w:color w:val="auto"/>
                      <w:kern w:val="44"/>
                      <w:sz w:val="21"/>
                      <w:szCs w:val="21"/>
                    </w:rPr>
                    <w:t>不属于《江苏省产业结构调整限制、淘汰和禁止目录（2018年本）》中的限制、淘汰及禁止类</w:t>
                  </w:r>
                </w:p>
              </w:tc>
              <w:tc>
                <w:tcPr>
                  <w:tcW w:w="500" w:type="pct"/>
                  <w:noWrap w:val="0"/>
                  <w:vAlign w:val="center"/>
                </w:tcPr>
                <w:p w14:paraId="637F1AD2">
                  <w:pPr>
                    <w:pStyle w:val="65"/>
                    <w:snapToGrid w:val="0"/>
                    <w:spacing w:line="240" w:lineRule="auto"/>
                    <w:rPr>
                      <w:rFonts w:ascii="Times New Roman" w:hAnsi="Times New Roman" w:eastAsia="宋体"/>
                      <w:color w:val="auto"/>
                      <w:sz w:val="21"/>
                      <w:szCs w:val="21"/>
                    </w:rPr>
                  </w:pPr>
                  <w:r>
                    <w:rPr>
                      <w:rFonts w:ascii="Times New Roman" w:hAnsi="Times New Roman" w:eastAsia="宋体"/>
                      <w:color w:val="auto"/>
                      <w:sz w:val="21"/>
                      <w:szCs w:val="21"/>
                    </w:rPr>
                    <w:t>是</w:t>
                  </w:r>
                </w:p>
              </w:tc>
            </w:tr>
            <w:tr w14:paraId="52B4F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147DE49B">
                  <w:pPr>
                    <w:pStyle w:val="65"/>
                    <w:snapToGrid w:val="0"/>
                    <w:spacing w:line="240" w:lineRule="auto"/>
                    <w:rPr>
                      <w:rFonts w:ascii="Times New Roman" w:hAnsi="Times New Roman" w:eastAsia="宋体"/>
                      <w:color w:val="auto"/>
                      <w:sz w:val="21"/>
                      <w:szCs w:val="21"/>
                    </w:rPr>
                  </w:pPr>
                </w:p>
              </w:tc>
              <w:tc>
                <w:tcPr>
                  <w:tcW w:w="4107" w:type="pct"/>
                  <w:noWrap w:val="0"/>
                  <w:vAlign w:val="center"/>
                </w:tcPr>
                <w:p w14:paraId="7540A23E">
                  <w:pPr>
                    <w:pStyle w:val="65"/>
                    <w:snapToGrid w:val="0"/>
                    <w:spacing w:line="240" w:lineRule="auto"/>
                    <w:rPr>
                      <w:rFonts w:hint="eastAsia" w:ascii="Times New Roman" w:hAnsi="Times New Roman" w:eastAsia="宋体"/>
                      <w:color w:val="auto"/>
                      <w:spacing w:val="-4"/>
                      <w:sz w:val="21"/>
                      <w:szCs w:val="21"/>
                      <w:lang w:eastAsia="zh-CN"/>
                    </w:rPr>
                  </w:pPr>
                  <w:r>
                    <w:rPr>
                      <w:rFonts w:ascii="Times New Roman" w:hAnsi="Times New Roman" w:eastAsia="宋体"/>
                      <w:color w:val="auto"/>
                      <w:sz w:val="21"/>
                      <w:szCs w:val="21"/>
                    </w:rPr>
                    <w:t>本项目不属于《限制用地项目目录(2012年本)》和《禁止用地项目目录(2012年本)》中的限制类及禁止类项目</w:t>
                  </w:r>
                  <w:r>
                    <w:rPr>
                      <w:rFonts w:hint="eastAsia" w:ascii="Times New Roman" w:hAnsi="Times New Roman" w:eastAsia="宋体"/>
                      <w:color w:val="auto"/>
                      <w:sz w:val="21"/>
                      <w:szCs w:val="21"/>
                      <w:lang w:eastAsia="zh-CN"/>
                    </w:rPr>
                    <w:t>。</w:t>
                  </w:r>
                </w:p>
              </w:tc>
              <w:tc>
                <w:tcPr>
                  <w:tcW w:w="500" w:type="pct"/>
                  <w:noWrap w:val="0"/>
                  <w:vAlign w:val="center"/>
                </w:tcPr>
                <w:p w14:paraId="071FD8D6">
                  <w:pPr>
                    <w:pStyle w:val="65"/>
                    <w:snapToGrid w:val="0"/>
                    <w:spacing w:line="240" w:lineRule="auto"/>
                    <w:rPr>
                      <w:rFonts w:ascii="Times New Roman" w:hAnsi="Times New Roman" w:eastAsia="宋体"/>
                      <w:color w:val="auto"/>
                      <w:sz w:val="21"/>
                      <w:szCs w:val="21"/>
                    </w:rPr>
                  </w:pPr>
                  <w:r>
                    <w:rPr>
                      <w:rFonts w:ascii="Times New Roman" w:hAnsi="Times New Roman" w:eastAsia="宋体"/>
                      <w:color w:val="auto"/>
                      <w:sz w:val="21"/>
                      <w:szCs w:val="21"/>
                    </w:rPr>
                    <w:t>是</w:t>
                  </w:r>
                </w:p>
              </w:tc>
            </w:tr>
            <w:tr w14:paraId="13F46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60798F8F">
                  <w:pPr>
                    <w:pStyle w:val="65"/>
                    <w:snapToGrid w:val="0"/>
                    <w:spacing w:line="240" w:lineRule="auto"/>
                    <w:rPr>
                      <w:rFonts w:ascii="Times New Roman" w:hAnsi="Times New Roman" w:eastAsia="宋体"/>
                      <w:color w:val="auto"/>
                      <w:sz w:val="21"/>
                      <w:szCs w:val="21"/>
                    </w:rPr>
                  </w:pPr>
                </w:p>
              </w:tc>
              <w:tc>
                <w:tcPr>
                  <w:tcW w:w="4107" w:type="pct"/>
                  <w:noWrap w:val="0"/>
                  <w:vAlign w:val="center"/>
                </w:tcPr>
                <w:p w14:paraId="37E9AA58">
                  <w:pPr>
                    <w:pStyle w:val="65"/>
                    <w:snapToGrid w:val="0"/>
                    <w:spacing w:line="240" w:lineRule="auto"/>
                    <w:rPr>
                      <w:rFonts w:hint="eastAsia" w:ascii="Times New Roman" w:hAnsi="Times New Roman" w:eastAsia="宋体"/>
                      <w:color w:val="auto"/>
                      <w:spacing w:val="-4"/>
                      <w:sz w:val="21"/>
                      <w:szCs w:val="21"/>
                      <w:lang w:eastAsia="zh-CN"/>
                    </w:rPr>
                  </w:pPr>
                  <w:r>
                    <w:rPr>
                      <w:rFonts w:ascii="Times New Roman" w:hAnsi="Times New Roman" w:eastAsia="宋体"/>
                      <w:color w:val="auto"/>
                      <w:kern w:val="2"/>
                      <w:sz w:val="21"/>
                      <w:szCs w:val="21"/>
                    </w:rPr>
                    <w:t>本项目属于</w:t>
                  </w:r>
                  <w:r>
                    <w:rPr>
                      <w:rFonts w:hint="eastAsia" w:ascii="Times New Roman" w:hAnsi="Times New Roman" w:eastAsia="宋体"/>
                      <w:color w:val="auto"/>
                      <w:sz w:val="21"/>
                      <w:szCs w:val="21"/>
                      <w:lang w:eastAsia="zh-CN"/>
                    </w:rPr>
                    <w:t>M7320工程和技术研究和试验发展</w:t>
                  </w:r>
                  <w:r>
                    <w:rPr>
                      <w:rFonts w:ascii="Times New Roman" w:hAnsi="Times New Roman" w:eastAsia="宋体"/>
                      <w:color w:val="auto"/>
                      <w:kern w:val="2"/>
                      <w:sz w:val="21"/>
                      <w:szCs w:val="21"/>
                    </w:rPr>
                    <w:t>，不</w:t>
                  </w:r>
                  <w:r>
                    <w:rPr>
                      <w:rFonts w:ascii="Times New Roman" w:hAnsi="Times New Roman" w:eastAsia="宋体"/>
                      <w:color w:val="auto"/>
                      <w:sz w:val="21"/>
                      <w:szCs w:val="21"/>
                    </w:rPr>
                    <w:t>属于《长江经济带发展负面清单指南》（试行，2022年版）、《关于印发&lt;长江经济带发展负面清单指南&gt;（试行，2022年版）江苏省实施细则》的通知（苏长江办发〔2022〕55号）中的禁止类项目，不属于《市场准入负面清单（2022年版）》中的禁止类项目</w:t>
                  </w:r>
                  <w:r>
                    <w:rPr>
                      <w:rFonts w:hint="eastAsia" w:ascii="Times New Roman" w:hAnsi="Times New Roman" w:eastAsia="宋体"/>
                      <w:color w:val="auto"/>
                      <w:sz w:val="21"/>
                      <w:szCs w:val="21"/>
                      <w:lang w:eastAsia="zh-CN"/>
                    </w:rPr>
                    <w:t>。</w:t>
                  </w:r>
                </w:p>
              </w:tc>
              <w:tc>
                <w:tcPr>
                  <w:tcW w:w="500" w:type="pct"/>
                  <w:noWrap w:val="0"/>
                  <w:vAlign w:val="center"/>
                </w:tcPr>
                <w:p w14:paraId="2307AE13">
                  <w:pPr>
                    <w:pStyle w:val="65"/>
                    <w:snapToGrid w:val="0"/>
                    <w:spacing w:line="240" w:lineRule="auto"/>
                    <w:rPr>
                      <w:rFonts w:ascii="Times New Roman" w:hAnsi="Times New Roman" w:eastAsia="宋体"/>
                      <w:color w:val="auto"/>
                      <w:sz w:val="21"/>
                      <w:szCs w:val="21"/>
                    </w:rPr>
                  </w:pPr>
                  <w:r>
                    <w:rPr>
                      <w:rFonts w:ascii="Times New Roman" w:hAnsi="Times New Roman" w:eastAsia="宋体"/>
                      <w:color w:val="auto"/>
                      <w:sz w:val="21"/>
                      <w:szCs w:val="21"/>
                    </w:rPr>
                    <w:t>是</w:t>
                  </w:r>
                </w:p>
              </w:tc>
            </w:tr>
            <w:tr w14:paraId="13C91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06A8420F">
                  <w:pPr>
                    <w:pStyle w:val="65"/>
                    <w:snapToGrid w:val="0"/>
                    <w:spacing w:line="240" w:lineRule="auto"/>
                    <w:rPr>
                      <w:rFonts w:ascii="Times New Roman" w:hAnsi="Times New Roman" w:eastAsia="宋体"/>
                      <w:color w:val="auto"/>
                      <w:sz w:val="21"/>
                      <w:szCs w:val="21"/>
                    </w:rPr>
                  </w:pPr>
                </w:p>
              </w:tc>
              <w:tc>
                <w:tcPr>
                  <w:tcW w:w="4107" w:type="pct"/>
                  <w:noWrap w:val="0"/>
                  <w:vAlign w:val="center"/>
                </w:tcPr>
                <w:p w14:paraId="274B1E88">
                  <w:pPr>
                    <w:pStyle w:val="65"/>
                    <w:snapToGrid w:val="0"/>
                    <w:spacing w:line="240" w:lineRule="auto"/>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本项目已在江苏</w:t>
                  </w:r>
                  <w:r>
                    <w:rPr>
                      <w:rFonts w:hint="eastAsia" w:ascii="Times New Roman" w:hAnsi="Times New Roman" w:eastAsia="宋体"/>
                      <w:color w:val="auto"/>
                      <w:sz w:val="21"/>
                      <w:szCs w:val="21"/>
                    </w:rPr>
                    <w:t>金坛经济</w:t>
                  </w:r>
                  <w:r>
                    <w:rPr>
                      <w:rFonts w:ascii="Times New Roman" w:hAnsi="Times New Roman" w:eastAsia="宋体"/>
                      <w:color w:val="auto"/>
                      <w:sz w:val="21"/>
                      <w:szCs w:val="21"/>
                    </w:rPr>
                    <w:t>开发区</w:t>
                  </w:r>
                  <w:r>
                    <w:rPr>
                      <w:rFonts w:hint="eastAsia" w:ascii="Times New Roman" w:hAnsi="Times New Roman" w:eastAsia="宋体"/>
                      <w:color w:val="auto"/>
                      <w:sz w:val="21"/>
                      <w:szCs w:val="21"/>
                    </w:rPr>
                    <w:t>经济发展局</w:t>
                  </w:r>
                  <w:r>
                    <w:rPr>
                      <w:rFonts w:ascii="Times New Roman" w:hAnsi="Times New Roman" w:eastAsia="宋体"/>
                      <w:color w:val="auto"/>
                      <w:sz w:val="21"/>
                      <w:szCs w:val="21"/>
                    </w:rPr>
                    <w:t>进行了备案（备案号：</w:t>
                  </w:r>
                  <w:r>
                    <w:rPr>
                      <w:rFonts w:hint="eastAsia" w:ascii="Times New Roman" w:hAnsi="Times New Roman" w:eastAsia="宋体"/>
                      <w:color w:val="auto"/>
                      <w:sz w:val="21"/>
                      <w:szCs w:val="21"/>
                    </w:rPr>
                    <w:t>坛开经发</w:t>
                  </w:r>
                  <w:r>
                    <w:rPr>
                      <w:rFonts w:ascii="Times New Roman" w:hAnsi="Times New Roman" w:eastAsia="宋体"/>
                      <w:color w:val="auto"/>
                      <w:sz w:val="21"/>
                      <w:szCs w:val="21"/>
                    </w:rPr>
                    <w:t>备</w:t>
                  </w:r>
                  <w:r>
                    <w:rPr>
                      <w:rFonts w:hint="eastAsia" w:ascii="Times New Roman" w:hAnsi="Times New Roman" w:eastAsia="宋体"/>
                      <w:color w:val="auto"/>
                      <w:sz w:val="21"/>
                      <w:szCs w:val="21"/>
                    </w:rPr>
                    <w:t>字</w:t>
                  </w:r>
                  <w:r>
                    <w:rPr>
                      <w:rFonts w:ascii="Times New Roman" w:hAnsi="Times New Roman" w:eastAsia="宋体"/>
                      <w:color w:val="auto"/>
                      <w:sz w:val="21"/>
                      <w:szCs w:val="21"/>
                    </w:rPr>
                    <w:t>〔202</w:t>
                  </w:r>
                  <w:r>
                    <w:rPr>
                      <w:rFonts w:hint="eastAsia" w:ascii="Times New Roman" w:hAnsi="Times New Roman" w:eastAsia="宋体"/>
                      <w:color w:val="auto"/>
                      <w:sz w:val="21"/>
                      <w:szCs w:val="21"/>
                    </w:rPr>
                    <w:t>4</w:t>
                  </w:r>
                  <w:r>
                    <w:rPr>
                      <w:rFonts w:ascii="Times New Roman" w:hAnsi="Times New Roman" w:eastAsia="宋体"/>
                      <w:color w:val="auto"/>
                      <w:sz w:val="21"/>
                      <w:szCs w:val="21"/>
                    </w:rPr>
                    <w:t>〕</w:t>
                  </w:r>
                  <w:r>
                    <w:rPr>
                      <w:rFonts w:hint="eastAsia" w:ascii="Times New Roman" w:hAnsi="Times New Roman" w:eastAsia="宋体"/>
                      <w:color w:val="auto"/>
                      <w:sz w:val="21"/>
                      <w:szCs w:val="21"/>
                    </w:rPr>
                    <w:t>146</w:t>
                  </w:r>
                  <w:r>
                    <w:rPr>
                      <w:rFonts w:ascii="Times New Roman" w:hAnsi="Times New Roman" w:eastAsia="宋体"/>
                      <w:color w:val="auto"/>
                      <w:sz w:val="21"/>
                      <w:szCs w:val="21"/>
                    </w:rPr>
                    <w:t>号），符合区域产业政策</w:t>
                  </w:r>
                  <w:r>
                    <w:rPr>
                      <w:rFonts w:hint="eastAsia" w:ascii="Times New Roman" w:hAnsi="Times New Roman" w:eastAsia="宋体"/>
                      <w:color w:val="auto"/>
                      <w:sz w:val="21"/>
                      <w:szCs w:val="21"/>
                      <w:lang w:eastAsia="zh-CN"/>
                    </w:rPr>
                    <w:t>。</w:t>
                  </w:r>
                </w:p>
              </w:tc>
              <w:tc>
                <w:tcPr>
                  <w:tcW w:w="500" w:type="pct"/>
                  <w:noWrap w:val="0"/>
                  <w:vAlign w:val="center"/>
                </w:tcPr>
                <w:p w14:paraId="077FAD10">
                  <w:pPr>
                    <w:pStyle w:val="65"/>
                    <w:snapToGrid w:val="0"/>
                    <w:spacing w:line="240" w:lineRule="auto"/>
                    <w:rPr>
                      <w:rFonts w:ascii="Times New Roman" w:hAnsi="Times New Roman" w:eastAsia="宋体"/>
                      <w:color w:val="auto"/>
                      <w:sz w:val="21"/>
                      <w:szCs w:val="21"/>
                    </w:rPr>
                  </w:pPr>
                  <w:r>
                    <w:rPr>
                      <w:rFonts w:ascii="Times New Roman" w:hAnsi="Times New Roman" w:eastAsia="宋体"/>
                      <w:color w:val="auto"/>
                      <w:sz w:val="21"/>
                      <w:szCs w:val="21"/>
                    </w:rPr>
                    <w:t>是</w:t>
                  </w:r>
                </w:p>
              </w:tc>
            </w:tr>
          </w:tbl>
          <w:p w14:paraId="6DCBFC5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color w:val="auto"/>
                <w:sz w:val="24"/>
                <w:szCs w:val="24"/>
              </w:rPr>
            </w:pPr>
            <w:r>
              <w:rPr>
                <w:color w:val="auto"/>
                <w:sz w:val="24"/>
                <w:szCs w:val="24"/>
              </w:rPr>
              <w:t>由上表可知，本项目符合国家及地方产业政策。</w:t>
            </w:r>
          </w:p>
          <w:p w14:paraId="01C945DF">
            <w:pPr>
              <w:keepNext w:val="0"/>
              <w:keepLines w:val="0"/>
              <w:pageBreakBefore w:val="0"/>
              <w:widowControl w:val="0"/>
              <w:kinsoku/>
              <w:wordWrap/>
              <w:overflowPunct/>
              <w:topLinePunct w:val="0"/>
              <w:autoSpaceDE w:val="0"/>
              <w:autoSpaceDN w:val="0"/>
              <w:bidi w:val="0"/>
              <w:adjustRightInd w:val="0"/>
              <w:snapToGrid w:val="0"/>
              <w:spacing w:before="120" w:beforeLines="50" w:after="120" w:afterLines="50" w:line="480" w:lineRule="exact"/>
              <w:textAlignment w:val="auto"/>
              <w:rPr>
                <w:b/>
                <w:bCs/>
                <w:color w:val="auto"/>
                <w:kern w:val="0"/>
                <w:sz w:val="24"/>
                <w:szCs w:val="24"/>
              </w:rPr>
            </w:pPr>
            <w:r>
              <w:rPr>
                <w:b/>
                <w:bCs/>
                <w:color w:val="auto"/>
                <w:kern w:val="0"/>
                <w:sz w:val="24"/>
                <w:szCs w:val="24"/>
              </w:rPr>
              <w:t>与“三线一单”相符性分析</w:t>
            </w:r>
          </w:p>
          <w:p w14:paraId="7890FC96">
            <w:pPr>
              <w:keepNext w:val="0"/>
              <w:keepLines w:val="0"/>
              <w:pageBreakBefore w:val="0"/>
              <w:widowControl w:val="0"/>
              <w:kinsoku/>
              <w:wordWrap/>
              <w:overflowPunct/>
              <w:topLinePunct w:val="0"/>
              <w:bidi w:val="0"/>
              <w:spacing w:line="480" w:lineRule="exact"/>
              <w:ind w:firstLine="480" w:firstLineChars="200"/>
              <w:textAlignment w:val="auto"/>
              <w:rPr>
                <w:color w:val="auto"/>
                <w:sz w:val="24"/>
                <w:szCs w:val="24"/>
              </w:rPr>
            </w:pPr>
            <w:r>
              <w:rPr>
                <w:color w:val="auto"/>
                <w:sz w:val="24"/>
                <w:szCs w:val="24"/>
              </w:rPr>
              <w:t>根据《关于以改善环境质量为核心加强环境影响评价管理的通知》（环环评[2016]150号），本项目与“三线一单”相符性分析见表1-</w:t>
            </w:r>
            <w:r>
              <w:rPr>
                <w:rFonts w:hint="eastAsia"/>
                <w:color w:val="auto"/>
                <w:sz w:val="24"/>
                <w:szCs w:val="24"/>
                <w:lang w:val="en-US" w:eastAsia="zh-CN"/>
              </w:rPr>
              <w:t>3</w:t>
            </w:r>
            <w:r>
              <w:rPr>
                <w:color w:val="auto"/>
                <w:sz w:val="24"/>
                <w:szCs w:val="24"/>
              </w:rPr>
              <w:t>。</w:t>
            </w:r>
          </w:p>
          <w:p w14:paraId="729483A4">
            <w:pPr>
              <w:snapToGrid w:val="0"/>
              <w:spacing w:before="72" w:beforeLines="30" w:line="360" w:lineRule="exact"/>
              <w:jc w:val="center"/>
              <w:rPr>
                <w:b/>
                <w:bCs/>
                <w:color w:val="auto"/>
                <w:sz w:val="21"/>
                <w:szCs w:val="21"/>
              </w:rPr>
            </w:pPr>
            <w:r>
              <w:rPr>
                <w:b/>
                <w:bCs/>
                <w:color w:val="auto"/>
                <w:sz w:val="21"/>
                <w:szCs w:val="21"/>
              </w:rPr>
              <w:t>表1-</w:t>
            </w:r>
            <w:r>
              <w:rPr>
                <w:rFonts w:hint="eastAsia"/>
                <w:b/>
                <w:bCs/>
                <w:color w:val="auto"/>
                <w:sz w:val="21"/>
                <w:szCs w:val="21"/>
                <w:lang w:val="en-US" w:eastAsia="zh-CN"/>
              </w:rPr>
              <w:t>3</w:t>
            </w:r>
            <w:r>
              <w:rPr>
                <w:b/>
                <w:bCs/>
                <w:color w:val="auto"/>
                <w:sz w:val="21"/>
                <w:szCs w:val="21"/>
              </w:rPr>
              <w:t xml:space="preserve">  与“三线一单”符合性分析</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22"/>
              <w:gridCol w:w="6608"/>
              <w:gridCol w:w="671"/>
            </w:tblGrid>
            <w:tr w14:paraId="20CCB8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34569809">
                  <w:pPr>
                    <w:keepNext w:val="0"/>
                    <w:keepLines w:val="0"/>
                    <w:pageBreakBefore w:val="0"/>
                    <w:tabs>
                      <w:tab w:val="left" w:pos="470"/>
                    </w:tabs>
                    <w:kinsoku/>
                    <w:wordWrap/>
                    <w:overflowPunct/>
                    <w:topLinePunct w:val="0"/>
                    <w:autoSpaceDE/>
                    <w:autoSpaceDN/>
                    <w:bidi w:val="0"/>
                    <w:adjustRightInd/>
                    <w:spacing w:line="320" w:lineRule="exact"/>
                    <w:ind w:left="0" w:right="0" w:firstLine="0" w:firstLineChars="0"/>
                    <w:jc w:val="center"/>
                    <w:textAlignment w:val="auto"/>
                    <w:rPr>
                      <w:b/>
                      <w:color w:val="auto"/>
                      <w:sz w:val="21"/>
                      <w:szCs w:val="21"/>
                    </w:rPr>
                  </w:pPr>
                  <w:r>
                    <w:rPr>
                      <w:b/>
                      <w:color w:val="auto"/>
                      <w:sz w:val="21"/>
                      <w:szCs w:val="21"/>
                    </w:rPr>
                    <w:t>内容</w:t>
                  </w:r>
                </w:p>
              </w:tc>
              <w:tc>
                <w:tcPr>
                  <w:tcW w:w="3979" w:type="pct"/>
                  <w:noWrap w:val="0"/>
                  <w:vAlign w:val="center"/>
                </w:tcPr>
                <w:p w14:paraId="64568988">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b/>
                      <w:color w:val="auto"/>
                      <w:sz w:val="21"/>
                      <w:szCs w:val="21"/>
                    </w:rPr>
                  </w:pPr>
                  <w:r>
                    <w:rPr>
                      <w:b/>
                      <w:color w:val="auto"/>
                      <w:sz w:val="21"/>
                      <w:szCs w:val="21"/>
                    </w:rPr>
                    <w:t>符合性分析</w:t>
                  </w:r>
                </w:p>
              </w:tc>
              <w:tc>
                <w:tcPr>
                  <w:tcW w:w="404" w:type="pct"/>
                  <w:noWrap w:val="0"/>
                  <w:vAlign w:val="center"/>
                </w:tcPr>
                <w:p w14:paraId="08D92D13">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b/>
                      <w:color w:val="auto"/>
                      <w:sz w:val="21"/>
                      <w:szCs w:val="21"/>
                    </w:rPr>
                  </w:pPr>
                  <w:r>
                    <w:rPr>
                      <w:b/>
                      <w:color w:val="auto"/>
                      <w:sz w:val="21"/>
                      <w:szCs w:val="21"/>
                    </w:rPr>
                    <w:t>是否</w:t>
                  </w:r>
                </w:p>
                <w:p w14:paraId="33AD6DF3">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b/>
                      <w:color w:val="auto"/>
                      <w:sz w:val="21"/>
                      <w:szCs w:val="21"/>
                    </w:rPr>
                  </w:pPr>
                  <w:r>
                    <w:rPr>
                      <w:b/>
                      <w:color w:val="auto"/>
                      <w:sz w:val="21"/>
                      <w:szCs w:val="21"/>
                    </w:rPr>
                    <w:t>相符</w:t>
                  </w:r>
                </w:p>
              </w:tc>
            </w:tr>
            <w:tr w14:paraId="46AB53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3DCD6869">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color w:val="auto"/>
                      <w:sz w:val="21"/>
                      <w:szCs w:val="21"/>
                    </w:rPr>
                  </w:pPr>
                  <w:r>
                    <w:rPr>
                      <w:color w:val="auto"/>
                      <w:sz w:val="21"/>
                      <w:szCs w:val="21"/>
                    </w:rPr>
                    <w:t>生态保护红线</w:t>
                  </w:r>
                </w:p>
              </w:tc>
              <w:tc>
                <w:tcPr>
                  <w:tcW w:w="3979" w:type="pct"/>
                  <w:noWrap w:val="0"/>
                  <w:vAlign w:val="center"/>
                </w:tcPr>
                <w:p w14:paraId="27A4981F">
                  <w:pPr>
                    <w:pStyle w:val="63"/>
                    <w:keepNext w:val="0"/>
                    <w:keepLines w:val="0"/>
                    <w:pageBreakBefore w:val="0"/>
                    <w:kinsoku/>
                    <w:wordWrap/>
                    <w:overflowPunct/>
                    <w:topLinePunct w:val="0"/>
                    <w:autoSpaceDE/>
                    <w:autoSpaceDN/>
                    <w:bidi w:val="0"/>
                    <w:adjustRightInd/>
                    <w:spacing w:line="240" w:lineRule="auto"/>
                    <w:ind w:left="0" w:right="0" w:firstLine="0" w:firstLineChars="0"/>
                    <w:jc w:val="center"/>
                    <w:textAlignment w:val="auto"/>
                    <w:rPr>
                      <w:color w:val="auto"/>
                      <w:sz w:val="21"/>
                      <w:szCs w:val="21"/>
                    </w:rPr>
                  </w:pPr>
                  <w:r>
                    <w:rPr>
                      <w:color w:val="auto"/>
                      <w:sz w:val="21"/>
                      <w:szCs w:val="21"/>
                    </w:rPr>
                    <w:t>根据关于印发《江苏省生态空间管控区域规划》的通知苏政发[2020]1号及《江苏省国家级生态保护红线规划》（苏政发【2018】74号），对照常州市生态红线区域名录，最近的生态空间管控区为</w:t>
                  </w:r>
                  <w:r>
                    <w:rPr>
                      <w:rFonts w:hint="eastAsia"/>
                      <w:color w:val="auto"/>
                      <w:sz w:val="21"/>
                      <w:szCs w:val="21"/>
                    </w:rPr>
                    <w:t>丹金溧漕河洪水调蓄区</w:t>
                  </w:r>
                  <w:r>
                    <w:rPr>
                      <w:color w:val="auto"/>
                      <w:sz w:val="21"/>
                      <w:szCs w:val="21"/>
                    </w:rPr>
                    <w:t>，位于项目</w:t>
                  </w:r>
                  <w:r>
                    <w:rPr>
                      <w:rFonts w:hint="eastAsia"/>
                      <w:color w:val="auto"/>
                      <w:sz w:val="21"/>
                      <w:szCs w:val="21"/>
                    </w:rPr>
                    <w:t>西</w:t>
                  </w:r>
                  <w:r>
                    <w:rPr>
                      <w:color w:val="auto"/>
                      <w:sz w:val="21"/>
                      <w:szCs w:val="21"/>
                    </w:rPr>
                    <w:t>南侧</w:t>
                  </w:r>
                  <w:r>
                    <w:rPr>
                      <w:rFonts w:hint="eastAsia"/>
                      <w:color w:val="auto"/>
                      <w:sz w:val="21"/>
                      <w:szCs w:val="21"/>
                      <w:lang w:val="en-US" w:eastAsia="zh-CN"/>
                    </w:rPr>
                    <w:t>3</w:t>
                  </w:r>
                  <w:r>
                    <w:rPr>
                      <w:color w:val="auto"/>
                      <w:sz w:val="21"/>
                      <w:szCs w:val="21"/>
                    </w:rPr>
                    <w:t>km处，不在江苏省常州市生态红线管控区域范围内；</w:t>
                  </w:r>
                  <w:r>
                    <w:rPr>
                      <w:color w:val="auto"/>
                      <w:spacing w:val="-2"/>
                      <w:sz w:val="21"/>
                      <w:szCs w:val="21"/>
                    </w:rPr>
                    <w:t>根据</w:t>
                  </w:r>
                  <w:r>
                    <w:rPr>
                      <w:rFonts w:hint="eastAsia"/>
                      <w:color w:val="auto"/>
                      <w:spacing w:val="-2"/>
                      <w:sz w:val="21"/>
                      <w:szCs w:val="21"/>
                    </w:rPr>
                    <w:t>《常州市生态环境分区管控动态更新成果（2023年版）》</w:t>
                  </w:r>
                  <w:r>
                    <w:rPr>
                      <w:color w:val="auto"/>
                      <w:spacing w:val="-2"/>
                      <w:sz w:val="21"/>
                      <w:szCs w:val="21"/>
                    </w:rPr>
                    <w:t>中分类，本项目</w:t>
                  </w:r>
                  <w:r>
                    <w:rPr>
                      <w:rFonts w:hint="eastAsia"/>
                      <w:color w:val="auto"/>
                      <w:spacing w:val="-2"/>
                      <w:sz w:val="21"/>
                      <w:szCs w:val="21"/>
                    </w:rPr>
                    <w:t>位于</w:t>
                  </w:r>
                  <w:r>
                    <w:rPr>
                      <w:color w:val="auto"/>
                      <w:spacing w:val="-2"/>
                      <w:sz w:val="21"/>
                      <w:szCs w:val="21"/>
                    </w:rPr>
                    <w:t>常州市金坛区</w:t>
                  </w:r>
                  <w:r>
                    <w:rPr>
                      <w:rFonts w:hint="eastAsia"/>
                      <w:color w:val="auto"/>
                      <w:spacing w:val="-2"/>
                      <w:sz w:val="21"/>
                      <w:szCs w:val="21"/>
                      <w:lang w:eastAsia="zh-CN"/>
                    </w:rPr>
                    <w:t>西城路118号</w:t>
                  </w:r>
                  <w:r>
                    <w:rPr>
                      <w:rFonts w:hint="eastAsia"/>
                      <w:color w:val="auto"/>
                      <w:spacing w:val="-2"/>
                      <w:sz w:val="21"/>
                      <w:szCs w:val="21"/>
                    </w:rPr>
                    <w:t>，</w:t>
                  </w:r>
                  <w:r>
                    <w:rPr>
                      <w:color w:val="auto"/>
                      <w:sz w:val="21"/>
                      <w:szCs w:val="21"/>
                    </w:rPr>
                    <w:t>属于重点管控单元，其项目性质不属于该文件所列空间布局约束中所列项</w:t>
                  </w:r>
                  <w:r>
                    <w:rPr>
                      <w:rFonts w:hint="eastAsia"/>
                      <w:color w:val="auto"/>
                      <w:sz w:val="21"/>
                      <w:szCs w:val="21"/>
                      <w:lang w:val="en-US" w:eastAsia="zh-CN"/>
                    </w:rPr>
                    <w:t>目</w:t>
                  </w:r>
                  <w:r>
                    <w:rPr>
                      <w:color w:val="auto"/>
                      <w:sz w:val="21"/>
                      <w:szCs w:val="21"/>
                    </w:rPr>
                    <w:t>，且满足污染物排放管控要求，故本项目满足常州市生态环境准入清单。</w:t>
                  </w:r>
                </w:p>
              </w:tc>
              <w:tc>
                <w:tcPr>
                  <w:tcW w:w="404" w:type="pct"/>
                  <w:noWrap w:val="0"/>
                  <w:vAlign w:val="center"/>
                </w:tcPr>
                <w:p w14:paraId="615AEFAA">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color w:val="auto"/>
                      <w:sz w:val="21"/>
                      <w:szCs w:val="21"/>
                    </w:rPr>
                  </w:pPr>
                  <w:r>
                    <w:rPr>
                      <w:color w:val="auto"/>
                      <w:sz w:val="21"/>
                      <w:szCs w:val="21"/>
                    </w:rPr>
                    <w:t>是</w:t>
                  </w:r>
                </w:p>
              </w:tc>
            </w:tr>
            <w:tr w14:paraId="3AB2B1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39F3F613">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color w:val="auto"/>
                      <w:sz w:val="21"/>
                      <w:szCs w:val="21"/>
                    </w:rPr>
                  </w:pPr>
                  <w:r>
                    <w:rPr>
                      <w:color w:val="auto"/>
                      <w:sz w:val="21"/>
                      <w:szCs w:val="21"/>
                    </w:rPr>
                    <w:t>环境质量底线</w:t>
                  </w:r>
                </w:p>
              </w:tc>
              <w:tc>
                <w:tcPr>
                  <w:tcW w:w="3979" w:type="pct"/>
                  <w:noWrap w:val="0"/>
                  <w:vAlign w:val="center"/>
                </w:tcPr>
                <w:p w14:paraId="73461901">
                  <w:pPr>
                    <w:keepNext w:val="0"/>
                    <w:keepLines w:val="0"/>
                    <w:pageBreakBefore w:val="0"/>
                    <w:kinsoku/>
                    <w:wordWrap/>
                    <w:overflowPunct/>
                    <w:topLinePunct w:val="0"/>
                    <w:autoSpaceDE/>
                    <w:autoSpaceDN/>
                    <w:bidi w:val="0"/>
                    <w:adjustRightInd/>
                    <w:spacing w:line="240" w:lineRule="auto"/>
                    <w:ind w:left="0" w:right="0" w:firstLine="0" w:firstLineChars="0"/>
                    <w:jc w:val="both"/>
                    <w:textAlignment w:val="auto"/>
                    <w:rPr>
                      <w:rFonts w:hint="eastAsia" w:ascii="Times New Roman" w:hAnsi="Times New Roman" w:eastAsia="宋体" w:cs="Times New Roman"/>
                      <w:color w:val="auto"/>
                      <w:kern w:val="44"/>
                      <w:sz w:val="21"/>
                      <w:szCs w:val="21"/>
                      <w:lang w:val="en-US" w:eastAsia="zh-CN" w:bidi="ar-SA"/>
                    </w:rPr>
                  </w:pPr>
                  <w:r>
                    <w:rPr>
                      <w:b/>
                      <w:color w:val="auto"/>
                      <w:sz w:val="21"/>
                      <w:szCs w:val="21"/>
                    </w:rPr>
                    <w:t>大气环境质量底线：</w:t>
                  </w:r>
                  <w:r>
                    <w:rPr>
                      <w:color w:val="auto"/>
                      <w:sz w:val="21"/>
                      <w:szCs w:val="21"/>
                    </w:rPr>
                    <w:t>根据《202</w:t>
                  </w:r>
                  <w:r>
                    <w:rPr>
                      <w:rFonts w:hint="eastAsia"/>
                      <w:color w:val="auto"/>
                      <w:sz w:val="21"/>
                      <w:szCs w:val="21"/>
                      <w:lang w:val="en-US" w:eastAsia="zh-CN"/>
                    </w:rPr>
                    <w:t>4</w:t>
                  </w:r>
                  <w:r>
                    <w:rPr>
                      <w:color w:val="auto"/>
                      <w:sz w:val="21"/>
                      <w:szCs w:val="21"/>
                    </w:rPr>
                    <w:t>年常州市生态环境状况公报》可知，细颗粒（PM</w:t>
                  </w:r>
                  <w:r>
                    <w:rPr>
                      <w:color w:val="auto"/>
                      <w:sz w:val="21"/>
                      <w:szCs w:val="21"/>
                      <w:vertAlign w:val="subscript"/>
                    </w:rPr>
                    <w:t>2.5</w:t>
                  </w:r>
                  <w:r>
                    <w:rPr>
                      <w:color w:val="auto"/>
                      <w:sz w:val="21"/>
                      <w:szCs w:val="21"/>
                    </w:rPr>
                    <w:t>）日均值达标率为9</w:t>
                  </w:r>
                  <w:r>
                    <w:rPr>
                      <w:rFonts w:hint="eastAsia"/>
                      <w:color w:val="auto"/>
                      <w:sz w:val="21"/>
                      <w:szCs w:val="21"/>
                      <w:lang w:val="en-US" w:eastAsia="zh-CN"/>
                    </w:rPr>
                    <w:t>3</w:t>
                  </w:r>
                  <w:r>
                    <w:rPr>
                      <w:color w:val="auto"/>
                      <w:sz w:val="21"/>
                      <w:szCs w:val="21"/>
                    </w:rPr>
                    <w:t>.</w:t>
                  </w:r>
                  <w:r>
                    <w:rPr>
                      <w:rFonts w:hint="eastAsia"/>
                      <w:color w:val="auto"/>
                      <w:sz w:val="21"/>
                      <w:szCs w:val="21"/>
                      <w:lang w:val="en-US" w:eastAsia="zh-CN"/>
                    </w:rPr>
                    <w:t>2</w:t>
                  </w:r>
                  <w:r>
                    <w:rPr>
                      <w:color w:val="auto"/>
                      <w:sz w:val="21"/>
                      <w:szCs w:val="21"/>
                    </w:rPr>
                    <w:t>%，可吸入颗粒物（PM</w:t>
                  </w:r>
                  <w:r>
                    <w:rPr>
                      <w:color w:val="auto"/>
                      <w:sz w:val="21"/>
                      <w:szCs w:val="21"/>
                      <w:vertAlign w:val="subscript"/>
                    </w:rPr>
                    <w:t>10</w:t>
                  </w:r>
                  <w:r>
                    <w:rPr>
                      <w:color w:val="auto"/>
                      <w:sz w:val="21"/>
                      <w:szCs w:val="21"/>
                    </w:rPr>
                    <w:t>）日均值达标率为98.</w:t>
                  </w:r>
                  <w:r>
                    <w:rPr>
                      <w:rFonts w:hint="eastAsia"/>
                      <w:color w:val="auto"/>
                      <w:sz w:val="21"/>
                      <w:szCs w:val="21"/>
                      <w:lang w:val="en-US" w:eastAsia="zh-CN"/>
                    </w:rPr>
                    <w:t>3</w:t>
                  </w:r>
                  <w:r>
                    <w:rPr>
                      <w:color w:val="auto"/>
                      <w:sz w:val="21"/>
                      <w:szCs w:val="21"/>
                    </w:rPr>
                    <w:t>%，臭氧（O</w:t>
                  </w:r>
                  <w:r>
                    <w:rPr>
                      <w:color w:val="auto"/>
                      <w:sz w:val="21"/>
                      <w:szCs w:val="21"/>
                      <w:vertAlign w:val="subscript"/>
                    </w:rPr>
                    <w:t>3</w:t>
                  </w:r>
                  <w:r>
                    <w:rPr>
                      <w:color w:val="auto"/>
                      <w:sz w:val="21"/>
                      <w:szCs w:val="21"/>
                    </w:rPr>
                    <w:t>）达标率为8</w:t>
                  </w:r>
                  <w:r>
                    <w:rPr>
                      <w:rFonts w:hint="eastAsia"/>
                      <w:color w:val="auto"/>
                      <w:sz w:val="21"/>
                      <w:szCs w:val="21"/>
                      <w:lang w:val="en-US" w:eastAsia="zh-CN"/>
                    </w:rPr>
                    <w:t>6</w:t>
                  </w:r>
                  <w:r>
                    <w:rPr>
                      <w:color w:val="auto"/>
                      <w:sz w:val="21"/>
                      <w:szCs w:val="21"/>
                    </w:rPr>
                    <w:t>.</w:t>
                  </w:r>
                  <w:r>
                    <w:rPr>
                      <w:rFonts w:hint="eastAsia"/>
                      <w:color w:val="auto"/>
                      <w:sz w:val="21"/>
                      <w:szCs w:val="21"/>
                      <w:lang w:val="en-US" w:eastAsia="zh-CN"/>
                    </w:rPr>
                    <w:t>3</w:t>
                  </w:r>
                  <w:r>
                    <w:rPr>
                      <w:color w:val="auto"/>
                      <w:sz w:val="21"/>
                      <w:szCs w:val="21"/>
                    </w:rPr>
                    <w:t>%，二氧化硫（SO</w:t>
                  </w:r>
                  <w:r>
                    <w:rPr>
                      <w:color w:val="auto"/>
                      <w:sz w:val="21"/>
                      <w:szCs w:val="21"/>
                      <w:vertAlign w:val="subscript"/>
                    </w:rPr>
                    <w:t>2</w:t>
                  </w:r>
                  <w:r>
                    <w:rPr>
                      <w:color w:val="auto"/>
                      <w:sz w:val="21"/>
                      <w:szCs w:val="21"/>
                    </w:rPr>
                    <w:t>）达标率为100%，二氧化氮（NO</w:t>
                  </w:r>
                  <w:r>
                    <w:rPr>
                      <w:color w:val="auto"/>
                      <w:sz w:val="21"/>
                      <w:szCs w:val="21"/>
                      <w:vertAlign w:val="subscript"/>
                    </w:rPr>
                    <w:t>2</w:t>
                  </w:r>
                  <w:r>
                    <w:rPr>
                      <w:color w:val="auto"/>
                      <w:sz w:val="21"/>
                      <w:szCs w:val="21"/>
                    </w:rPr>
                    <w:t>）达标率为9</w:t>
                  </w:r>
                  <w:r>
                    <w:rPr>
                      <w:rFonts w:hint="eastAsia"/>
                      <w:color w:val="auto"/>
                      <w:sz w:val="21"/>
                      <w:szCs w:val="21"/>
                      <w:lang w:val="en-US" w:eastAsia="zh-CN"/>
                    </w:rPr>
                    <w:t>9</w:t>
                  </w:r>
                  <w:r>
                    <w:rPr>
                      <w:color w:val="auto"/>
                      <w:sz w:val="21"/>
                      <w:szCs w:val="21"/>
                    </w:rPr>
                    <w:t>.</w:t>
                  </w:r>
                  <w:r>
                    <w:rPr>
                      <w:rFonts w:hint="eastAsia"/>
                      <w:color w:val="auto"/>
                      <w:sz w:val="21"/>
                      <w:szCs w:val="21"/>
                      <w:lang w:val="en-US" w:eastAsia="zh-CN"/>
                    </w:rPr>
                    <w:t>5</w:t>
                  </w:r>
                  <w:r>
                    <w:rPr>
                      <w:color w:val="auto"/>
                      <w:sz w:val="21"/>
                      <w:szCs w:val="21"/>
                    </w:rPr>
                    <w:t>%，一氧化碳（CO）日均达标率为100%，因此判定为不达标区，通过</w:t>
                  </w:r>
                  <w:r>
                    <w:rPr>
                      <w:rFonts w:hint="eastAsia"/>
                      <w:color w:val="auto"/>
                      <w:sz w:val="21"/>
                      <w:szCs w:val="21"/>
                    </w:rPr>
                    <w:t>着力打好重污染天气消除攻坚战、着力打好臭氧污染防治攻坚战、深化工业园区及企业集群综合</w:t>
                  </w:r>
                  <w:r>
                    <w:rPr>
                      <w:rFonts w:hint="eastAsia" w:ascii="Times New Roman" w:hAnsi="Times New Roman" w:eastAsia="宋体" w:cs="Times New Roman"/>
                      <w:color w:val="auto"/>
                      <w:kern w:val="44"/>
                      <w:sz w:val="21"/>
                      <w:szCs w:val="21"/>
                      <w:lang w:val="en-US" w:eastAsia="zh-CN" w:bidi="ar-SA"/>
                    </w:rPr>
                    <w:t>治理、推进固定源深度治理、加强城市面源污染治理、加强其他涉气污染物控制、加强重点区域联防联管控</w:t>
                  </w:r>
                  <w:r>
                    <w:rPr>
                      <w:rFonts w:ascii="Times New Roman" w:hAnsi="Times New Roman" w:eastAsia="宋体" w:cs="Times New Roman"/>
                      <w:color w:val="auto"/>
                      <w:kern w:val="44"/>
                      <w:sz w:val="21"/>
                      <w:szCs w:val="21"/>
                      <w:lang w:val="en-US" w:eastAsia="zh-CN" w:bidi="ar-SA"/>
                    </w:rPr>
                    <w:t>等措施，大气环境质量状况可以得到进一步改善。本项目排放的非甲烷总烃</w:t>
                  </w:r>
                  <w:r>
                    <w:rPr>
                      <w:rFonts w:hint="eastAsia" w:ascii="Times New Roman" w:hAnsi="Times New Roman" w:eastAsia="宋体" w:cs="Times New Roman"/>
                      <w:color w:val="auto"/>
                      <w:kern w:val="44"/>
                      <w:sz w:val="21"/>
                      <w:szCs w:val="21"/>
                      <w:lang w:val="en-US" w:eastAsia="zh-CN" w:bidi="ar-SA"/>
                    </w:rPr>
                    <w:t>符合</w:t>
                  </w:r>
                  <w:r>
                    <w:rPr>
                      <w:rFonts w:ascii="Times New Roman" w:hAnsi="Times New Roman" w:eastAsia="宋体" w:cs="Times New Roman"/>
                      <w:color w:val="auto"/>
                      <w:kern w:val="44"/>
                      <w:sz w:val="21"/>
                      <w:szCs w:val="21"/>
                      <w:lang w:val="en-US" w:eastAsia="zh-CN" w:bidi="ar-SA"/>
                    </w:rPr>
                    <w:t>《大气污染物综合排放标准详解》中选用的2.0mg/m</w:t>
                  </w:r>
                  <w:r>
                    <w:rPr>
                      <w:rFonts w:ascii="Times New Roman" w:hAnsi="Times New Roman" w:eastAsia="宋体" w:cs="Times New Roman"/>
                      <w:color w:val="auto"/>
                      <w:kern w:val="44"/>
                      <w:sz w:val="21"/>
                      <w:szCs w:val="21"/>
                      <w:vertAlign w:val="superscript"/>
                      <w:lang w:val="en-US" w:eastAsia="zh-CN" w:bidi="ar-SA"/>
                    </w:rPr>
                    <w:t>3</w:t>
                  </w:r>
                  <w:r>
                    <w:rPr>
                      <w:rFonts w:hint="eastAsia" w:ascii="Times New Roman" w:hAnsi="Times New Roman" w:eastAsia="宋体" w:cs="Times New Roman"/>
                      <w:color w:val="auto"/>
                      <w:kern w:val="44"/>
                      <w:sz w:val="21"/>
                      <w:szCs w:val="21"/>
                      <w:lang w:val="en-US" w:eastAsia="zh-CN" w:bidi="ar-SA"/>
                    </w:rPr>
                    <w:t>的限值要求；</w:t>
                  </w:r>
                  <w:r>
                    <w:rPr>
                      <w:rFonts w:ascii="Times New Roman" w:hAnsi="Times New Roman" w:eastAsia="宋体" w:cs="Times New Roman"/>
                      <w:color w:val="auto"/>
                      <w:kern w:val="44"/>
                      <w:sz w:val="21"/>
                      <w:szCs w:val="21"/>
                      <w:lang w:val="en-US" w:eastAsia="zh-CN" w:bidi="ar-SA"/>
                    </w:rPr>
                    <w:t>满足项目所在地区的环境功能区划要求</w:t>
                  </w:r>
                  <w:r>
                    <w:rPr>
                      <w:rFonts w:hint="eastAsia" w:ascii="Times New Roman" w:hAnsi="Times New Roman" w:eastAsia="宋体" w:cs="Times New Roman"/>
                      <w:color w:val="auto"/>
                      <w:kern w:val="44"/>
                      <w:sz w:val="21"/>
                      <w:szCs w:val="21"/>
                      <w:lang w:val="en-US" w:eastAsia="zh-CN" w:bidi="ar-SA"/>
                    </w:rPr>
                    <w:t>。</w:t>
                  </w:r>
                </w:p>
                <w:p w14:paraId="3BD70428">
                  <w:pPr>
                    <w:keepNext w:val="0"/>
                    <w:keepLines w:val="0"/>
                    <w:pageBreakBefore w:val="0"/>
                    <w:kinsoku/>
                    <w:wordWrap/>
                    <w:overflowPunct/>
                    <w:topLinePunct w:val="0"/>
                    <w:autoSpaceDE/>
                    <w:autoSpaceDN/>
                    <w:bidi w:val="0"/>
                    <w:adjustRightInd/>
                    <w:spacing w:line="240" w:lineRule="auto"/>
                    <w:ind w:left="0" w:right="0" w:firstLine="0" w:firstLineChars="0"/>
                    <w:jc w:val="both"/>
                    <w:textAlignment w:val="auto"/>
                    <w:rPr>
                      <w:color w:val="auto"/>
                      <w:sz w:val="21"/>
                      <w:szCs w:val="21"/>
                    </w:rPr>
                  </w:pPr>
                  <w:r>
                    <w:rPr>
                      <w:b/>
                      <w:color w:val="auto"/>
                      <w:sz w:val="21"/>
                      <w:szCs w:val="21"/>
                    </w:rPr>
                    <w:t>地表水环境质量底线：</w:t>
                  </w:r>
                  <w:r>
                    <w:rPr>
                      <w:color w:val="auto"/>
                      <w:sz w:val="21"/>
                      <w:szCs w:val="21"/>
                    </w:rPr>
                    <w:t>根据《202</w:t>
                  </w:r>
                  <w:r>
                    <w:rPr>
                      <w:rFonts w:hint="eastAsia"/>
                      <w:color w:val="auto"/>
                      <w:sz w:val="21"/>
                      <w:szCs w:val="21"/>
                      <w:lang w:val="en-US" w:eastAsia="zh-CN"/>
                    </w:rPr>
                    <w:t>4</w:t>
                  </w:r>
                  <w:r>
                    <w:rPr>
                      <w:color w:val="auto"/>
                      <w:sz w:val="21"/>
                      <w:szCs w:val="21"/>
                    </w:rPr>
                    <w:t>年常州市生态环境状况公报》可知，202</w:t>
                  </w:r>
                  <w:r>
                    <w:rPr>
                      <w:rFonts w:hint="eastAsia"/>
                      <w:color w:val="auto"/>
                      <w:sz w:val="21"/>
                      <w:szCs w:val="21"/>
                      <w:lang w:val="en-US" w:eastAsia="zh-CN"/>
                    </w:rPr>
                    <w:t>4</w:t>
                  </w:r>
                  <w:r>
                    <w:rPr>
                      <w:color w:val="auto"/>
                      <w:sz w:val="21"/>
                      <w:szCs w:val="21"/>
                    </w:rPr>
                    <w:t>年，常州市纳入“十四五”国家地表水环境质量考核的20个断面中，年均水质达到或好于《地表水环境质量标准》(GB 3838- 2002 ) Ⅲ 类标准的断面比例为</w:t>
                  </w:r>
                  <w:r>
                    <w:rPr>
                      <w:rFonts w:hint="eastAsia"/>
                      <w:color w:val="auto"/>
                      <w:sz w:val="21"/>
                      <w:szCs w:val="21"/>
                      <w:lang w:val="en-US" w:eastAsia="zh-CN"/>
                    </w:rPr>
                    <w:t>85</w:t>
                  </w:r>
                  <w:r>
                    <w:rPr>
                      <w:color w:val="auto"/>
                      <w:sz w:val="21"/>
                      <w:szCs w:val="21"/>
                    </w:rPr>
                    <w:t>%，无劣V类断面</w:t>
                  </w:r>
                  <w:r>
                    <w:rPr>
                      <w:rFonts w:hint="eastAsia"/>
                      <w:color w:val="auto"/>
                      <w:sz w:val="21"/>
                      <w:szCs w:val="21"/>
                      <w:lang w:eastAsia="zh-CN"/>
                    </w:rPr>
                    <w:t>。</w:t>
                  </w:r>
                  <w:r>
                    <w:rPr>
                      <w:color w:val="auto"/>
                      <w:sz w:val="21"/>
                      <w:szCs w:val="21"/>
                    </w:rPr>
                    <w:t>滆湖总磷分别同比下降</w:t>
                  </w:r>
                  <w:r>
                    <w:rPr>
                      <w:rFonts w:hint="eastAsia"/>
                      <w:color w:val="auto"/>
                      <w:sz w:val="21"/>
                      <w:szCs w:val="21"/>
                      <w:lang w:val="en-US" w:eastAsia="zh-CN"/>
                    </w:rPr>
                    <w:t>27.9</w:t>
                  </w:r>
                  <w:r>
                    <w:rPr>
                      <w:color w:val="auto"/>
                      <w:sz w:val="21"/>
                      <w:szCs w:val="21"/>
                    </w:rPr>
                    <w:t>%。 纳入江苏省“十四五”水环境质量目标考核51个断面，年均水质达到或好于Ⅲ类的比例为9</w:t>
                  </w:r>
                  <w:r>
                    <w:rPr>
                      <w:rFonts w:hint="eastAsia"/>
                      <w:color w:val="auto"/>
                      <w:sz w:val="21"/>
                      <w:szCs w:val="21"/>
                      <w:lang w:val="en-US" w:eastAsia="zh-CN"/>
                    </w:rPr>
                    <w:t>4.1</w:t>
                  </w:r>
                  <w:r>
                    <w:rPr>
                      <w:color w:val="auto"/>
                      <w:sz w:val="21"/>
                      <w:szCs w:val="21"/>
                    </w:rPr>
                    <w:t>%，无劣V类断面</w:t>
                  </w:r>
                  <w:r>
                    <w:rPr>
                      <w:rFonts w:hint="eastAsia"/>
                      <w:color w:val="auto"/>
                      <w:sz w:val="21"/>
                      <w:szCs w:val="21"/>
                      <w:lang w:eastAsia="zh-CN"/>
                    </w:rPr>
                    <w:t>。2024年，太湖水质自2007年蓝藻事件以来首次达川、重回“良好”湖泊，其中我市椒山点位首次达到川类，太湖常州水域总磷同比改善24%，对全湖总磷改善幅度贡献率达182%，位列环湖城市第一，太湖入湖河道通量最大的百渎港总磷同比下降17.6%。</w:t>
                  </w:r>
                  <w:r>
                    <w:rPr>
                      <w:rFonts w:hint="eastAsia"/>
                      <w:color w:val="auto"/>
                      <w:sz w:val="21"/>
                      <w:szCs w:val="21"/>
                    </w:rPr>
                    <w:t>长江干流魏村(右岸)断面水质连续八年达到Ⅱ类;新孟河、德胜河、澡港河等3条主要通江支流上5个国省考断面年均水质均达到或优于川类。</w:t>
                  </w:r>
                  <w:r>
                    <w:rPr>
                      <w:color w:val="auto"/>
                      <w:sz w:val="21"/>
                      <w:szCs w:val="21"/>
                    </w:rPr>
                    <w:t>根据现状检测报告可知，本项目纳污河道</w:t>
                  </w:r>
                  <w:r>
                    <w:rPr>
                      <w:rFonts w:hint="eastAsia"/>
                      <w:color w:val="auto"/>
                      <w:sz w:val="21"/>
                      <w:szCs w:val="21"/>
                    </w:rPr>
                    <w:t>尧塘河</w:t>
                  </w:r>
                  <w:r>
                    <w:rPr>
                      <w:color w:val="auto"/>
                      <w:sz w:val="21"/>
                      <w:szCs w:val="21"/>
                    </w:rPr>
                    <w:t>各监测断面水质现状监测值均达到《地表水环境质量标准》（GB3838-2002）中Ⅲ类水质标准要求。</w:t>
                  </w:r>
                </w:p>
                <w:p w14:paraId="002D1A62">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color w:val="auto"/>
                      <w:sz w:val="21"/>
                      <w:szCs w:val="21"/>
                      <w:lang w:val="en-US" w:eastAsia="zh-CN"/>
                    </w:rPr>
                  </w:pPr>
                  <w:r>
                    <w:rPr>
                      <w:b/>
                      <w:color w:val="auto"/>
                      <w:kern w:val="2"/>
                      <w:sz w:val="21"/>
                      <w:szCs w:val="21"/>
                      <w:lang w:val="en-US" w:eastAsia="zh-CN"/>
                    </w:rPr>
                    <w:t>声环境质量底线：</w:t>
                  </w:r>
                  <w:r>
                    <w:rPr>
                      <w:color w:val="auto"/>
                      <w:spacing w:val="-6"/>
                      <w:kern w:val="2"/>
                      <w:sz w:val="21"/>
                      <w:szCs w:val="21"/>
                      <w:lang w:val="en-US" w:eastAsia="zh-CN"/>
                    </w:rPr>
                    <w:t>根据环</w:t>
                  </w:r>
                  <w:r>
                    <w:rPr>
                      <w:color w:val="auto"/>
                      <w:kern w:val="2"/>
                      <w:sz w:val="21"/>
                      <w:szCs w:val="21"/>
                      <w:lang w:val="en-US" w:eastAsia="zh-CN"/>
                    </w:rPr>
                    <w:t>境质量现状监测报告，本项目</w:t>
                  </w:r>
                  <w:r>
                    <w:rPr>
                      <w:rFonts w:hint="eastAsia"/>
                      <w:color w:val="auto"/>
                      <w:kern w:val="2"/>
                      <w:sz w:val="21"/>
                      <w:szCs w:val="21"/>
                      <w:lang w:val="en-US" w:eastAsia="zh-CN"/>
                    </w:rPr>
                    <w:t>各</w:t>
                  </w:r>
                  <w:r>
                    <w:rPr>
                      <w:color w:val="auto"/>
                      <w:kern w:val="2"/>
                      <w:sz w:val="21"/>
                      <w:szCs w:val="21"/>
                      <w:lang w:val="en-US" w:eastAsia="zh-CN"/>
                    </w:rPr>
                    <w:t>厂界均能达到《工业企业厂界环境噪声排放标准》</w:t>
                  </w:r>
                  <w:r>
                    <w:rPr>
                      <w:rFonts w:hint="eastAsia"/>
                      <w:color w:val="auto"/>
                      <w:kern w:val="2"/>
                      <w:sz w:val="21"/>
                      <w:szCs w:val="21"/>
                      <w:lang w:val="en-US" w:eastAsia="zh-CN"/>
                    </w:rPr>
                    <w:t>（GB12348-2008）中3类标准限值</w:t>
                  </w:r>
                  <w:r>
                    <w:rPr>
                      <w:color w:val="auto"/>
                      <w:kern w:val="2"/>
                      <w:sz w:val="21"/>
                      <w:szCs w:val="21"/>
                      <w:lang w:val="en-US" w:eastAsia="zh-CN"/>
                    </w:rPr>
                    <w:t>。因此，本项目不会改变区域环境功能区质量要求，能维持环境功能区质量现状，不会降低周边环境质量。</w:t>
                  </w:r>
                </w:p>
              </w:tc>
              <w:tc>
                <w:tcPr>
                  <w:tcW w:w="404" w:type="pct"/>
                  <w:noWrap w:val="0"/>
                  <w:vAlign w:val="center"/>
                </w:tcPr>
                <w:p w14:paraId="11310CCD">
                  <w:pPr>
                    <w:keepNext w:val="0"/>
                    <w:keepLines w:val="0"/>
                    <w:pageBreakBefore w:val="0"/>
                    <w:widowControl/>
                    <w:kinsoku/>
                    <w:wordWrap/>
                    <w:overflowPunct/>
                    <w:topLinePunct w:val="0"/>
                    <w:autoSpaceDE/>
                    <w:autoSpaceDN/>
                    <w:bidi w:val="0"/>
                    <w:adjustRightInd/>
                    <w:spacing w:line="320" w:lineRule="exact"/>
                    <w:ind w:left="0" w:right="0" w:firstLine="0" w:firstLineChars="0"/>
                    <w:jc w:val="center"/>
                    <w:textAlignment w:val="auto"/>
                    <w:rPr>
                      <w:color w:val="auto"/>
                      <w:sz w:val="21"/>
                      <w:szCs w:val="21"/>
                    </w:rPr>
                  </w:pPr>
                  <w:r>
                    <w:rPr>
                      <w:color w:val="auto"/>
                      <w:sz w:val="21"/>
                      <w:szCs w:val="21"/>
                    </w:rPr>
                    <w:t>是</w:t>
                  </w:r>
                </w:p>
              </w:tc>
            </w:tr>
            <w:tr w14:paraId="214926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7DAE0D7C">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rFonts w:hint="eastAsia" w:eastAsia="宋体"/>
                      <w:color w:val="auto"/>
                      <w:sz w:val="21"/>
                      <w:szCs w:val="21"/>
                      <w:lang w:val="en-US" w:eastAsia="zh-CN"/>
                    </w:rPr>
                  </w:pPr>
                  <w:r>
                    <w:rPr>
                      <w:color w:val="auto"/>
                      <w:sz w:val="21"/>
                      <w:szCs w:val="21"/>
                    </w:rPr>
                    <w:t>资源利用上</w:t>
                  </w:r>
                  <w:r>
                    <w:rPr>
                      <w:rFonts w:hint="eastAsia"/>
                      <w:color w:val="auto"/>
                      <w:sz w:val="21"/>
                      <w:szCs w:val="21"/>
                      <w:lang w:val="en-US" w:eastAsia="zh-CN"/>
                    </w:rPr>
                    <w:t>限</w:t>
                  </w:r>
                </w:p>
              </w:tc>
              <w:tc>
                <w:tcPr>
                  <w:tcW w:w="3979" w:type="pct"/>
                  <w:noWrap w:val="0"/>
                  <w:vAlign w:val="center"/>
                </w:tcPr>
                <w:p w14:paraId="6EEEA779">
                  <w:pPr>
                    <w:pStyle w:val="7"/>
                    <w:keepNext w:val="0"/>
                    <w:keepLines w:val="0"/>
                    <w:pageBreakBefore w:val="0"/>
                    <w:kinsoku/>
                    <w:wordWrap/>
                    <w:overflowPunct/>
                    <w:topLinePunct w:val="0"/>
                    <w:autoSpaceDE/>
                    <w:autoSpaceDN/>
                    <w:bidi w:val="0"/>
                    <w:adjustRightInd/>
                    <w:spacing w:before="0" w:after="0" w:line="240" w:lineRule="auto"/>
                    <w:ind w:left="0" w:right="0" w:firstLine="0" w:firstLineChars="0"/>
                    <w:jc w:val="center"/>
                    <w:textAlignment w:val="auto"/>
                    <w:rPr>
                      <w:color w:val="auto"/>
                      <w:sz w:val="21"/>
                      <w:szCs w:val="21"/>
                      <w:lang w:val="en-US" w:eastAsia="zh-CN"/>
                    </w:rPr>
                  </w:pPr>
                  <w:r>
                    <w:rPr>
                      <w:color w:val="auto"/>
                      <w:kern w:val="2"/>
                      <w:sz w:val="21"/>
                      <w:szCs w:val="21"/>
                      <w:lang w:val="en-US" w:eastAsia="zh-CN"/>
                    </w:rPr>
                    <w:t>本项目不属于高耗能行业，所使用的能源主要为水、电能，用水量</w:t>
                  </w:r>
                  <w:r>
                    <w:rPr>
                      <w:rFonts w:ascii="Times New Roman" w:hAnsi="Times New Roman" w:eastAsia="宋体" w:cs="Times New Roman"/>
                      <w:color w:val="auto"/>
                      <w:kern w:val="2"/>
                      <w:sz w:val="21"/>
                      <w:szCs w:val="21"/>
                      <w:lang w:val="en-US" w:eastAsia="zh-CN"/>
                    </w:rPr>
                    <w:t>为</w:t>
                  </w:r>
                  <w:r>
                    <w:rPr>
                      <w:rFonts w:hint="eastAsia" w:cs="Times New Roman"/>
                      <w:color w:val="auto"/>
                      <w:kern w:val="2"/>
                      <w:sz w:val="21"/>
                      <w:szCs w:val="21"/>
                      <w:lang w:val="en-US" w:eastAsia="zh-CN"/>
                    </w:rPr>
                    <w:t>240</w:t>
                  </w:r>
                  <w:r>
                    <w:rPr>
                      <w:color w:val="auto"/>
                      <w:kern w:val="2"/>
                      <w:sz w:val="21"/>
                      <w:szCs w:val="21"/>
                      <w:lang w:val="en-US" w:eastAsia="zh-CN"/>
                    </w:rPr>
                    <w:t>m</w:t>
                  </w:r>
                  <w:r>
                    <w:rPr>
                      <w:color w:val="auto"/>
                      <w:kern w:val="2"/>
                      <w:sz w:val="21"/>
                      <w:szCs w:val="21"/>
                      <w:vertAlign w:val="superscript"/>
                      <w:lang w:val="en-US" w:eastAsia="zh-CN"/>
                    </w:rPr>
                    <w:t>3</w:t>
                  </w:r>
                  <w:r>
                    <w:rPr>
                      <w:color w:val="auto"/>
                      <w:kern w:val="2"/>
                      <w:sz w:val="21"/>
                      <w:szCs w:val="21"/>
                      <w:lang w:val="en-US" w:eastAsia="zh-CN"/>
                    </w:rPr>
                    <w:t>/a，用电量为</w:t>
                  </w:r>
                  <w:r>
                    <w:rPr>
                      <w:rFonts w:hint="eastAsia"/>
                      <w:color w:val="auto"/>
                      <w:kern w:val="2"/>
                      <w:sz w:val="21"/>
                      <w:szCs w:val="21"/>
                      <w:lang w:val="en-US" w:eastAsia="zh-CN"/>
                    </w:rPr>
                    <w:t>1</w:t>
                  </w:r>
                  <w:r>
                    <w:rPr>
                      <w:color w:val="auto"/>
                      <w:kern w:val="2"/>
                      <w:sz w:val="21"/>
                      <w:szCs w:val="21"/>
                      <w:lang w:val="en-US" w:eastAsia="zh-CN"/>
                    </w:rPr>
                    <w:t>万kw</w:t>
                  </w:r>
                  <w:r>
                    <w:rPr>
                      <w:rFonts w:hint="eastAsia" w:ascii="微软雅黑" w:hAnsi="微软雅黑" w:eastAsia="微软雅黑" w:cs="微软雅黑"/>
                      <w:color w:val="auto"/>
                      <w:kern w:val="2"/>
                      <w:sz w:val="21"/>
                      <w:szCs w:val="21"/>
                      <w:lang w:val="en-US" w:eastAsia="zh-CN"/>
                    </w:rPr>
                    <w:t>·</w:t>
                  </w:r>
                  <w:r>
                    <w:rPr>
                      <w:color w:val="auto"/>
                      <w:kern w:val="2"/>
                      <w:sz w:val="21"/>
                      <w:szCs w:val="21"/>
                      <w:lang w:val="en-US" w:eastAsia="zh-CN"/>
                    </w:rPr>
                    <w:t>h/年，项目所在地不属于资源、能源紧缺区域。企业生产过程中采取有效的节水、节电措施，降低能耗；同时选用高效、先进的设备，自动化程度较高，节约了能源，故本项目建成后不会突破资源利用上</w:t>
                  </w:r>
                  <w:r>
                    <w:rPr>
                      <w:rFonts w:hint="eastAsia"/>
                      <w:color w:val="auto"/>
                      <w:kern w:val="2"/>
                      <w:sz w:val="21"/>
                      <w:szCs w:val="21"/>
                      <w:lang w:val="en-US" w:eastAsia="zh-CN"/>
                    </w:rPr>
                    <w:t>限</w:t>
                  </w:r>
                  <w:r>
                    <w:rPr>
                      <w:color w:val="auto"/>
                      <w:kern w:val="2"/>
                      <w:sz w:val="21"/>
                      <w:szCs w:val="21"/>
                      <w:lang w:val="en-US" w:eastAsia="zh-CN"/>
                    </w:rPr>
                    <w:t>。</w:t>
                  </w:r>
                </w:p>
              </w:tc>
              <w:tc>
                <w:tcPr>
                  <w:tcW w:w="404" w:type="pct"/>
                  <w:noWrap w:val="0"/>
                  <w:vAlign w:val="center"/>
                </w:tcPr>
                <w:p w14:paraId="789EA79B">
                  <w:pPr>
                    <w:keepNext w:val="0"/>
                    <w:keepLines w:val="0"/>
                    <w:pageBreakBefore w:val="0"/>
                    <w:kinsoku/>
                    <w:wordWrap/>
                    <w:overflowPunct/>
                    <w:topLinePunct w:val="0"/>
                    <w:autoSpaceDE/>
                    <w:autoSpaceDN/>
                    <w:bidi w:val="0"/>
                    <w:adjustRightInd/>
                    <w:spacing w:line="320" w:lineRule="exact"/>
                    <w:ind w:left="0" w:right="0" w:firstLine="0" w:firstLineChars="0"/>
                    <w:jc w:val="center"/>
                    <w:textAlignment w:val="auto"/>
                    <w:rPr>
                      <w:color w:val="auto"/>
                      <w:sz w:val="21"/>
                      <w:szCs w:val="21"/>
                    </w:rPr>
                  </w:pPr>
                  <w:r>
                    <w:rPr>
                      <w:color w:val="auto"/>
                      <w:sz w:val="21"/>
                      <w:szCs w:val="21"/>
                    </w:rPr>
                    <w:t>是</w:t>
                  </w:r>
                </w:p>
              </w:tc>
            </w:tr>
            <w:tr w14:paraId="3DF966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358326ED">
                  <w:pPr>
                    <w:keepNext w:val="0"/>
                    <w:keepLines w:val="0"/>
                    <w:pageBreakBefore w:val="0"/>
                    <w:widowControl/>
                    <w:kinsoku/>
                    <w:wordWrap/>
                    <w:overflowPunct/>
                    <w:topLinePunct w:val="0"/>
                    <w:autoSpaceDE/>
                    <w:autoSpaceDN/>
                    <w:bidi w:val="0"/>
                    <w:adjustRightInd/>
                    <w:spacing w:line="320" w:lineRule="exact"/>
                    <w:ind w:left="0" w:right="0" w:firstLine="0" w:firstLineChars="0"/>
                    <w:jc w:val="center"/>
                    <w:textAlignment w:val="auto"/>
                    <w:rPr>
                      <w:color w:val="auto"/>
                      <w:kern w:val="0"/>
                      <w:sz w:val="21"/>
                      <w:szCs w:val="21"/>
                    </w:rPr>
                  </w:pPr>
                  <w:r>
                    <w:rPr>
                      <w:color w:val="auto"/>
                      <w:kern w:val="0"/>
                      <w:sz w:val="21"/>
                      <w:szCs w:val="21"/>
                    </w:rPr>
                    <w:t>环境准入负面清单</w:t>
                  </w:r>
                </w:p>
              </w:tc>
              <w:tc>
                <w:tcPr>
                  <w:tcW w:w="3979" w:type="pct"/>
                  <w:noWrap w:val="0"/>
                  <w:vAlign w:val="center"/>
                </w:tcPr>
                <w:p w14:paraId="15F83E69">
                  <w:pPr>
                    <w:pStyle w:val="66"/>
                    <w:keepNext w:val="0"/>
                    <w:keepLines w:val="0"/>
                    <w:pageBreakBefore w:val="0"/>
                    <w:kinsoku/>
                    <w:wordWrap/>
                    <w:overflowPunct/>
                    <w:topLinePunct w:val="0"/>
                    <w:autoSpaceDE/>
                    <w:autoSpaceDN/>
                    <w:bidi w:val="0"/>
                    <w:adjustRightInd/>
                    <w:spacing w:line="240" w:lineRule="auto"/>
                    <w:ind w:left="0" w:right="0" w:firstLine="0" w:firstLineChars="0"/>
                    <w:jc w:val="center"/>
                    <w:textAlignment w:val="auto"/>
                    <w:rPr>
                      <w:rFonts w:hint="eastAsia" w:ascii="Times New Roman" w:eastAsia="宋体"/>
                      <w:color w:val="auto"/>
                      <w:sz w:val="21"/>
                      <w:szCs w:val="21"/>
                      <w:lang w:eastAsia="zh-CN"/>
                    </w:rPr>
                  </w:pPr>
                  <w:r>
                    <w:rPr>
                      <w:rFonts w:ascii="Times New Roman" w:eastAsia="宋体"/>
                      <w:color w:val="auto"/>
                      <w:sz w:val="21"/>
                      <w:szCs w:val="21"/>
                    </w:rPr>
                    <w:t>本项目符合现行国家产业、行业政策。经查《长江经济带发展负面清单指南》（试行，2022年版）、《关于印发&lt;长江经济带发展负面清单指南&gt;（试行，2022年版）江苏省实施细则》的通知（苏长江办发〔2022〕55号）、《市场准入负面清单》（2022年版）、《环境保护综合名录》（2021年版）以及《省发展改革委省工业和信息化厅关于坚决遏制“两高”项目盲目发展的通知》（苏发改资环发[2021]837号），本项目不在其禁止准入类和限制准入类中，因此本项目符合环境准入负面清单相关要求</w:t>
                  </w:r>
                  <w:r>
                    <w:rPr>
                      <w:rFonts w:hint="eastAsia" w:ascii="Times New Roman" w:eastAsia="宋体"/>
                      <w:color w:val="auto"/>
                      <w:sz w:val="21"/>
                      <w:szCs w:val="21"/>
                      <w:lang w:eastAsia="zh-CN"/>
                    </w:rPr>
                    <w:t>。</w:t>
                  </w:r>
                </w:p>
              </w:tc>
              <w:tc>
                <w:tcPr>
                  <w:tcW w:w="404" w:type="pct"/>
                  <w:noWrap w:val="0"/>
                  <w:vAlign w:val="center"/>
                </w:tcPr>
                <w:p w14:paraId="2967A189">
                  <w:pPr>
                    <w:keepNext w:val="0"/>
                    <w:keepLines w:val="0"/>
                    <w:pageBreakBefore w:val="0"/>
                    <w:widowControl/>
                    <w:kinsoku/>
                    <w:wordWrap/>
                    <w:overflowPunct/>
                    <w:topLinePunct w:val="0"/>
                    <w:autoSpaceDE/>
                    <w:autoSpaceDN/>
                    <w:bidi w:val="0"/>
                    <w:adjustRightInd/>
                    <w:spacing w:line="320" w:lineRule="exact"/>
                    <w:ind w:left="0" w:right="0" w:firstLine="0" w:firstLineChars="0"/>
                    <w:jc w:val="center"/>
                    <w:textAlignment w:val="auto"/>
                    <w:rPr>
                      <w:color w:val="auto"/>
                      <w:sz w:val="21"/>
                      <w:szCs w:val="21"/>
                    </w:rPr>
                  </w:pPr>
                  <w:r>
                    <w:rPr>
                      <w:color w:val="auto"/>
                      <w:sz w:val="21"/>
                      <w:szCs w:val="21"/>
                    </w:rPr>
                    <w:t>是</w:t>
                  </w:r>
                </w:p>
              </w:tc>
            </w:tr>
          </w:tbl>
          <w:p w14:paraId="22C8B1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由上表可知，本项目符合“三线一单”（即生态保护红线、环境质量底线、资源利用上线、生态环境准入清单）管理机制的要求。</w:t>
            </w:r>
          </w:p>
          <w:p w14:paraId="0DDE20E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对照《</w:t>
            </w:r>
            <w:r>
              <w:rPr>
                <w:rFonts w:hint="default" w:ascii="Times New Roman" w:hAnsi="Times New Roman" w:cs="Times New Roman"/>
                <w:color w:val="auto"/>
                <w:sz w:val="24"/>
                <w:szCs w:val="24"/>
                <w:lang w:val="en-US" w:eastAsia="zh-CN"/>
              </w:rPr>
              <w:t>江苏省2023年度生态环境分区管控动态更新成果</w:t>
            </w:r>
            <w:r>
              <w:rPr>
                <w:rFonts w:hint="eastAsia" w:ascii="Times New Roman" w:hAnsi="Times New Roman" w:cs="Times New Roman"/>
                <w:color w:val="auto"/>
                <w:sz w:val="24"/>
                <w:szCs w:val="24"/>
                <w:lang w:val="en-US" w:eastAsia="zh-CN"/>
              </w:rPr>
              <w:t>》,分析如下：</w:t>
            </w:r>
          </w:p>
          <w:p w14:paraId="12E36464">
            <w:pPr>
              <w:snapToGrid w:val="0"/>
              <w:spacing w:line="360" w:lineRule="exact"/>
              <w:ind w:firstLine="422"/>
              <w:jc w:val="center"/>
              <w:rPr>
                <w:b/>
                <w:bCs/>
                <w:color w:val="auto"/>
                <w:sz w:val="21"/>
                <w:szCs w:val="21"/>
              </w:rPr>
            </w:pPr>
            <w:r>
              <w:rPr>
                <w:rFonts w:hint="eastAsia"/>
                <w:b/>
                <w:bCs/>
                <w:color w:val="auto"/>
                <w:sz w:val="21"/>
                <w:szCs w:val="21"/>
              </w:rPr>
              <w:t>表1-</w:t>
            </w:r>
            <w:r>
              <w:rPr>
                <w:rFonts w:hint="eastAsia"/>
                <w:b/>
                <w:bCs/>
                <w:color w:val="auto"/>
                <w:sz w:val="21"/>
                <w:szCs w:val="21"/>
                <w:lang w:val="en-US" w:eastAsia="zh-CN"/>
              </w:rPr>
              <w:t xml:space="preserve">4 </w:t>
            </w:r>
            <w:r>
              <w:rPr>
                <w:rFonts w:hint="eastAsia"/>
                <w:b/>
                <w:bCs/>
                <w:color w:val="auto"/>
                <w:sz w:val="21"/>
                <w:szCs w:val="21"/>
              </w:rPr>
              <w:t>与</w:t>
            </w:r>
            <w:r>
              <w:rPr>
                <w:rFonts w:hint="eastAsia"/>
                <w:b/>
                <w:bCs/>
                <w:color w:val="auto"/>
                <w:sz w:val="21"/>
                <w:szCs w:val="21"/>
                <w:lang w:val="en-US" w:eastAsia="zh-CN"/>
              </w:rPr>
              <w:t>江苏省</w:t>
            </w:r>
            <w:r>
              <w:rPr>
                <w:rFonts w:hint="eastAsia"/>
                <w:b/>
                <w:bCs/>
                <w:color w:val="auto"/>
                <w:sz w:val="21"/>
                <w:szCs w:val="21"/>
              </w:rPr>
              <w:t>生态分区管控动态更新成果对照分析</w:t>
            </w:r>
          </w:p>
          <w:tbl>
            <w:tblPr>
              <w:tblStyle w:val="22"/>
              <w:tblW w:w="497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3996"/>
              <w:gridCol w:w="2790"/>
              <w:gridCol w:w="813"/>
            </w:tblGrid>
            <w:tr w14:paraId="27E4E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4D37623A">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w:t>
                  </w:r>
                </w:p>
                <w:p w14:paraId="33CBDA67">
                  <w:pPr>
                    <w:spacing w:line="240" w:lineRule="auto"/>
                    <w:jc w:val="center"/>
                    <w:rPr>
                      <w:b/>
                      <w:color w:val="FF0000"/>
                      <w:sz w:val="21"/>
                      <w:szCs w:val="21"/>
                    </w:rPr>
                  </w:pPr>
                  <w:r>
                    <w:rPr>
                      <w:b/>
                      <w:color w:val="000000" w:themeColor="text1"/>
                      <w:sz w:val="21"/>
                      <w:szCs w:val="21"/>
                      <w14:textFill>
                        <w14:solidFill>
                          <w14:schemeClr w14:val="tx1"/>
                        </w14:solidFill>
                      </w14:textFill>
                    </w:rPr>
                    <w:t>类别</w:t>
                  </w:r>
                </w:p>
              </w:tc>
              <w:tc>
                <w:tcPr>
                  <w:tcW w:w="2419" w:type="pct"/>
                  <w:noWrap w:val="0"/>
                  <w:vAlign w:val="center"/>
                </w:tcPr>
                <w:p w14:paraId="2216B73E">
                  <w:pPr>
                    <w:spacing w:line="240" w:lineRule="auto"/>
                    <w:jc w:val="center"/>
                    <w:rPr>
                      <w:b/>
                      <w:color w:val="FF0000"/>
                      <w:sz w:val="21"/>
                      <w:szCs w:val="21"/>
                    </w:rPr>
                  </w:pPr>
                  <w:r>
                    <w:rPr>
                      <w:b/>
                      <w:color w:val="000000" w:themeColor="text1"/>
                      <w:sz w:val="21"/>
                      <w:szCs w:val="21"/>
                      <w14:textFill>
                        <w14:solidFill>
                          <w14:schemeClr w14:val="tx1"/>
                        </w14:solidFill>
                      </w14:textFill>
                    </w:rPr>
                    <w:t>重点管控要求</w:t>
                  </w:r>
                </w:p>
              </w:tc>
              <w:tc>
                <w:tcPr>
                  <w:tcW w:w="1689" w:type="pct"/>
                  <w:noWrap w:val="0"/>
                  <w:vAlign w:val="center"/>
                </w:tcPr>
                <w:p w14:paraId="33E6FFC0">
                  <w:pPr>
                    <w:spacing w:line="240" w:lineRule="auto"/>
                    <w:jc w:val="center"/>
                    <w:rPr>
                      <w:b/>
                      <w:color w:val="FF0000"/>
                      <w:sz w:val="21"/>
                      <w:szCs w:val="21"/>
                    </w:rPr>
                  </w:pPr>
                  <w:r>
                    <w:rPr>
                      <w:b/>
                      <w:color w:val="000000" w:themeColor="text1"/>
                      <w:sz w:val="21"/>
                      <w:szCs w:val="21"/>
                      <w14:textFill>
                        <w14:solidFill>
                          <w14:schemeClr w14:val="tx1"/>
                        </w14:solidFill>
                      </w14:textFill>
                    </w:rPr>
                    <w:t>对照分析</w:t>
                  </w:r>
                </w:p>
              </w:tc>
              <w:tc>
                <w:tcPr>
                  <w:tcW w:w="492" w:type="pct"/>
                  <w:noWrap w:val="0"/>
                  <w:vAlign w:val="center"/>
                </w:tcPr>
                <w:p w14:paraId="54FD7752">
                  <w:pPr>
                    <w:spacing w:line="240" w:lineRule="auto"/>
                    <w:jc w:val="center"/>
                    <w:rPr>
                      <w:b/>
                      <w:color w:val="FF0000"/>
                      <w:sz w:val="21"/>
                      <w:szCs w:val="21"/>
                    </w:rPr>
                  </w:pPr>
                  <w:r>
                    <w:rPr>
                      <w:b/>
                      <w:color w:val="000000" w:themeColor="text1"/>
                      <w:sz w:val="21"/>
                      <w:szCs w:val="21"/>
                      <w14:textFill>
                        <w14:solidFill>
                          <w14:schemeClr w14:val="tx1"/>
                        </w14:solidFill>
                      </w14:textFill>
                    </w:rPr>
                    <w:t>是否满足要求</w:t>
                  </w:r>
                </w:p>
              </w:tc>
            </w:tr>
            <w:tr w14:paraId="1F25E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noWrap w:val="0"/>
                  <w:vAlign w:val="center"/>
                </w:tcPr>
                <w:p w14:paraId="065B4129">
                  <w:pPr>
                    <w:spacing w:line="240" w:lineRule="auto"/>
                    <w:jc w:val="center"/>
                    <w:rPr>
                      <w:color w:val="FF0000"/>
                      <w:sz w:val="21"/>
                      <w:szCs w:val="21"/>
                    </w:rPr>
                  </w:pPr>
                  <w:r>
                    <w:rPr>
                      <w:color w:val="000000" w:themeColor="text1"/>
                      <w:sz w:val="21"/>
                      <w:szCs w:val="21"/>
                      <w14:textFill>
                        <w14:solidFill>
                          <w14:schemeClr w14:val="tx1"/>
                        </w14:solidFill>
                      </w14:textFill>
                    </w:rPr>
                    <w:t>空间布局约束</w:t>
                  </w:r>
                </w:p>
              </w:tc>
              <w:tc>
                <w:tcPr>
                  <w:tcW w:w="2419" w:type="pct"/>
                  <w:noWrap w:val="0"/>
                  <w:vAlign w:val="center"/>
                </w:tcPr>
                <w:p w14:paraId="4A0CACD2">
                  <w:pPr>
                    <w:numPr>
                      <w:ilvl w:val="0"/>
                      <w:numId w:val="3"/>
                    </w:numPr>
                    <w:spacing w:line="240" w:lineRule="auto"/>
                    <w:jc w:val="left"/>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按照《省政府关于印发江苏省生态空间管控区域规划的通知》（苏政发〔2020〕1号）、《省政府关于印发江苏省国家级生态保护红线规划的通知》（苏政发〔2018〕74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32B42002">
                  <w:pPr>
                    <w:numPr>
                      <w:ilvl w:val="0"/>
                      <w:numId w:val="0"/>
                    </w:num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（2）牢牢把握推动</w:t>
                  </w:r>
                  <w:bookmarkStart w:id="12" w:name="OLE_LINK56"/>
                  <w:r>
                    <w:rPr>
                      <w:rFonts w:hint="eastAsia"/>
                      <w:color w:val="000000" w:themeColor="text1"/>
                      <w:sz w:val="21"/>
                      <w:szCs w:val="21"/>
                      <w14:textFill>
                        <w14:solidFill>
                          <w14:schemeClr w14:val="tx1"/>
                        </w14:solidFill>
                      </w14:textFill>
                    </w:rPr>
                    <w:t>长江经济带</w:t>
                  </w:r>
                  <w:bookmarkEnd w:id="12"/>
                  <w:r>
                    <w:rPr>
                      <w:rFonts w:hint="eastAsia"/>
                      <w:color w:val="000000" w:themeColor="text1"/>
                      <w:sz w:val="21"/>
                      <w:szCs w:val="21"/>
                      <w14:textFill>
                        <w14:solidFill>
                          <w14:schemeClr w14:val="tx1"/>
                        </w14:solidFill>
                      </w14:textFill>
                    </w:rPr>
                    <w:t>发展“共抓大保护，不搞大开发”战略导向，对省域范围内需要重点保护的岸线、河段和区域实行严格管控，管住控好排放量大、耗能高、产能过剩的产业，推动长江经济带高质量发展</w:t>
                  </w:r>
                  <w:r>
                    <w:rPr>
                      <w:rFonts w:hint="eastAsia"/>
                      <w:color w:val="000000" w:themeColor="text1"/>
                      <w:sz w:val="21"/>
                      <w:szCs w:val="21"/>
                      <w:lang w:eastAsia="zh-CN"/>
                      <w14:textFill>
                        <w14:solidFill>
                          <w14:schemeClr w14:val="tx1"/>
                        </w14:solidFill>
                      </w14:textFill>
                    </w:rPr>
                    <w:t>；</w:t>
                  </w:r>
                </w:p>
                <w:p w14:paraId="7CA6538F">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3）大幅压减沿长江干支流两侧1公里范围内、环境敏感区域、城镇人口密集区、化工园区外和规模以下化工生产企业，着力破解“重化围江”突出问题，高起点同步推进沿江地区战略性转型和沿海地区战略性布局</w:t>
                  </w:r>
                  <w:r>
                    <w:rPr>
                      <w:rFonts w:hint="eastAsia"/>
                      <w:color w:val="000000" w:themeColor="text1"/>
                      <w:sz w:val="21"/>
                      <w:szCs w:val="21"/>
                      <w:lang w:eastAsia="zh-CN"/>
                      <w14:textFill>
                        <w14:solidFill>
                          <w14:schemeClr w14:val="tx1"/>
                        </w14:solidFill>
                      </w14:textFill>
                    </w:rPr>
                    <w:t>；</w:t>
                  </w:r>
                </w:p>
                <w:p w14:paraId="565D4AB5">
                  <w:pPr>
                    <w:spacing w:line="240" w:lineRule="auto"/>
                    <w:jc w:val="left"/>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r>
                    <w:rPr>
                      <w:rFonts w:hint="eastAsia"/>
                      <w:color w:val="000000" w:themeColor="text1"/>
                      <w:sz w:val="21"/>
                      <w:szCs w:val="21"/>
                      <w:lang w:eastAsia="zh-CN"/>
                      <w14:textFill>
                        <w14:solidFill>
                          <w14:schemeClr w14:val="tx1"/>
                        </w14:solidFill>
                      </w14:textFill>
                    </w:rPr>
                    <w:t>；</w:t>
                  </w:r>
                </w:p>
                <w:p w14:paraId="013ED531">
                  <w:pPr>
                    <w:pStyle w:val="7"/>
                    <w:rPr>
                      <w:rFonts w:hint="eastAsia"/>
                      <w:color w:val="FF0000"/>
                      <w:lang w:eastAsia="zh-CN"/>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lang w:eastAsia="zh-CN"/>
                      <w14:textFill>
                        <w14:solidFill>
                          <w14:schemeClr w14:val="tx1"/>
                        </w14:solidFill>
                      </w14:textFill>
                    </w:rPr>
                    <w:t>）对列入国家和省规划，涉及</w:t>
                  </w:r>
                  <w:bookmarkStart w:id="13" w:name="OLE_LINK57"/>
                  <w:r>
                    <w:rPr>
                      <w:rFonts w:hint="eastAsia"/>
                      <w:color w:val="000000" w:themeColor="text1"/>
                      <w:sz w:val="21"/>
                      <w:szCs w:val="21"/>
                      <w:lang w:eastAsia="zh-CN"/>
                      <w14:textFill>
                        <w14:solidFill>
                          <w14:schemeClr w14:val="tx1"/>
                        </w14:solidFill>
                      </w14:textFill>
                    </w:rPr>
                    <w:t>生态保护红线和相关法定保护区的重大民生项目、重大基础设施项目（交通基础设施项目等）</w:t>
                  </w:r>
                  <w:bookmarkEnd w:id="13"/>
                  <w:r>
                    <w:rPr>
                      <w:rFonts w:hint="eastAsia"/>
                      <w:color w:val="000000" w:themeColor="text1"/>
                      <w:sz w:val="21"/>
                      <w:szCs w:val="21"/>
                      <w:lang w:eastAsia="zh-CN"/>
                      <w14:textFill>
                        <w14:solidFill>
                          <w14:schemeClr w14:val="tx1"/>
                        </w14:solidFill>
                      </w14:textFill>
                    </w:rPr>
                    <w:t>，应优化空间布局（选线）、主动避让；确实无法避让的，应采取无害化方式（如无害化穿、跨越方式等），依法依规履行行政审批手续，强化减缓生态环境影响和生态补偿措施。</w:t>
                  </w:r>
                </w:p>
              </w:tc>
              <w:tc>
                <w:tcPr>
                  <w:tcW w:w="1689" w:type="pct"/>
                  <w:noWrap w:val="0"/>
                  <w:vAlign w:val="center"/>
                </w:tcPr>
                <w:p w14:paraId="2ADCD045">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对照《省政府关于印发江苏省生态空间管控区域规划的通知》（苏政发〔2020〕1号）以及《省政府关于印发江苏省国家级生态保护红线规</w:t>
                  </w:r>
                  <w:r>
                    <w:rPr>
                      <w:rFonts w:hint="eastAsia"/>
                      <w:color w:val="000000" w:themeColor="text1"/>
                      <w:sz w:val="21"/>
                      <w:szCs w:val="21"/>
                      <w14:textFill>
                        <w14:solidFill>
                          <w14:schemeClr w14:val="tx1"/>
                        </w14:solidFill>
                      </w14:textFill>
                    </w:rPr>
                    <w:t>划的通知》（苏政发〔2018〕74号），本项目位</w:t>
                  </w:r>
                  <w:r>
                    <w:rPr>
                      <w:rFonts w:hint="eastAsia"/>
                      <w:color w:val="000000" w:themeColor="text1"/>
                      <w:spacing w:val="-6"/>
                      <w:sz w:val="21"/>
                      <w:szCs w:val="21"/>
                      <w14:textFill>
                        <w14:solidFill>
                          <w14:schemeClr w14:val="tx1"/>
                        </w14:solidFill>
                      </w14:textFill>
                    </w:rPr>
                    <w:t>于</w:t>
                  </w:r>
                  <w:r>
                    <w:rPr>
                      <w:color w:val="000000" w:themeColor="text1"/>
                      <w:spacing w:val="-6"/>
                      <w:sz w:val="21"/>
                      <w:szCs w:val="21"/>
                      <w14:textFill>
                        <w14:solidFill>
                          <w14:schemeClr w14:val="tx1"/>
                        </w14:solidFill>
                      </w14:textFill>
                    </w:rPr>
                    <w:t>常州市金坛区</w:t>
                  </w:r>
                  <w:r>
                    <w:rPr>
                      <w:rFonts w:hint="eastAsia"/>
                      <w:color w:val="000000" w:themeColor="text1"/>
                      <w:spacing w:val="-6"/>
                      <w:sz w:val="21"/>
                      <w:szCs w:val="21"/>
                      <w:lang w:eastAsia="zh-CN"/>
                      <w14:textFill>
                        <w14:solidFill>
                          <w14:schemeClr w14:val="tx1"/>
                        </w14:solidFill>
                      </w14:textFill>
                    </w:rPr>
                    <w:t>西城路118号</w:t>
                  </w:r>
                  <w:r>
                    <w:rPr>
                      <w:rFonts w:hint="eastAsia"/>
                      <w:color w:val="000000" w:themeColor="text1"/>
                      <w:sz w:val="21"/>
                      <w:szCs w:val="21"/>
                      <w14:textFill>
                        <w14:solidFill>
                          <w14:schemeClr w14:val="tx1"/>
                        </w14:solidFill>
                      </w14:textFill>
                    </w:rPr>
                    <w:t>，最近的生态空间管控区为</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km处的丹金溧漕河洪水调蓄区，符合《江苏省生态空间管控区域规划》中“空间布局约束”要求</w:t>
                  </w:r>
                  <w:r>
                    <w:rPr>
                      <w:rFonts w:hint="eastAsia"/>
                      <w:color w:val="000000" w:themeColor="text1"/>
                      <w:sz w:val="21"/>
                      <w:szCs w:val="21"/>
                      <w:lang w:eastAsia="zh-CN"/>
                      <w14:textFill>
                        <w14:solidFill>
                          <w14:schemeClr w14:val="tx1"/>
                        </w14:solidFill>
                      </w14:textFill>
                    </w:rPr>
                    <w:t>；</w:t>
                  </w:r>
                </w:p>
                <w:p w14:paraId="1E4D15CE">
                  <w:pPr>
                    <w:spacing w:line="240" w:lineRule="auto"/>
                    <w:jc w:val="left"/>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本项目为</w:t>
                  </w:r>
                  <w:r>
                    <w:rPr>
                      <w:rFonts w:hint="eastAsia"/>
                      <w:color w:val="000000" w:themeColor="text1"/>
                      <w:sz w:val="21"/>
                      <w:szCs w:val="21"/>
                      <w:lang w:eastAsia="zh-CN"/>
                      <w14:textFill>
                        <w14:solidFill>
                          <w14:schemeClr w14:val="tx1"/>
                        </w14:solidFill>
                      </w14:textFill>
                    </w:rPr>
                    <w:t>实验室建设项目，</w:t>
                  </w:r>
                  <w:r>
                    <w:rPr>
                      <w:rFonts w:hint="eastAsia"/>
                      <w:color w:val="000000" w:themeColor="text1"/>
                      <w:sz w:val="21"/>
                      <w:szCs w:val="21"/>
                      <w:lang w:val="en-US" w:eastAsia="zh-CN"/>
                      <w14:textFill>
                        <w14:solidFill>
                          <w14:schemeClr w14:val="tx1"/>
                        </w14:solidFill>
                      </w14:textFill>
                    </w:rPr>
                    <w:t>不属于排放量大、耗能高、产能过剩项目；</w:t>
                  </w:r>
                </w:p>
                <w:p w14:paraId="62378DF7">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位于</w:t>
                  </w:r>
                  <w:r>
                    <w:rPr>
                      <w:rFonts w:hint="eastAsia"/>
                      <w:color w:val="000000" w:themeColor="text1"/>
                      <w:sz w:val="24"/>
                      <w:szCs w:val="24"/>
                      <w14:textFill>
                        <w14:solidFill>
                          <w14:schemeClr w14:val="tx1"/>
                        </w14:solidFill>
                      </w14:textFill>
                    </w:rPr>
                    <w:t>江苏省金坛</w:t>
                  </w:r>
                  <w:r>
                    <w:rPr>
                      <w:rFonts w:hint="eastAsia"/>
                      <w:color w:val="000000" w:themeColor="text1"/>
                      <w:sz w:val="24"/>
                      <w:szCs w:val="24"/>
                      <w:lang w:eastAsia="zh-CN"/>
                      <w14:textFill>
                        <w14:solidFill>
                          <w14:schemeClr w14:val="tx1"/>
                        </w14:solidFill>
                      </w14:textFill>
                    </w:rPr>
                    <w:t>西城路118号</w:t>
                  </w:r>
                  <w:r>
                    <w:rPr>
                      <w:rFonts w:hint="eastAsia"/>
                      <w:color w:val="000000" w:themeColor="text1"/>
                      <w:sz w:val="24"/>
                      <w:szCs w:val="24"/>
                      <w:lang w:val="en-US" w:eastAsia="zh-CN"/>
                      <w14:textFill>
                        <w14:solidFill>
                          <w14:schemeClr w14:val="tx1"/>
                        </w14:solidFill>
                      </w14:textFill>
                    </w:rPr>
                    <w:t>距离长江约44.7km；</w:t>
                  </w:r>
                </w:p>
                <w:p w14:paraId="789B5AD3">
                  <w:pPr>
                    <w:numPr>
                      <w:ilvl w:val="0"/>
                      <w:numId w:val="4"/>
                    </w:numPr>
                    <w:spacing w:line="240" w:lineRule="auto"/>
                    <w:jc w:val="left"/>
                    <w:rPr>
                      <w:rFonts w:hint="eastAsia"/>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实验室建设项目</w:t>
                  </w:r>
                  <w:r>
                    <w:rPr>
                      <w:rFonts w:hint="eastAsia" w:ascii="Times New Roman" w:hAnsi="Times New Roman" w:eastAsia="宋体" w:cs="Times New Roman"/>
                      <w:color w:val="000000" w:themeColor="text1"/>
                      <w:sz w:val="21"/>
                      <w:szCs w:val="21"/>
                      <w14:textFill>
                        <w14:solidFill>
                          <w14:schemeClr w14:val="tx1"/>
                        </w14:solidFill>
                      </w14:textFill>
                    </w:rPr>
                    <w:t>，不属于</w:t>
                  </w:r>
                  <w:r>
                    <w:rPr>
                      <w:rFonts w:hint="eastAsia"/>
                      <w:color w:val="000000" w:themeColor="text1"/>
                      <w:sz w:val="21"/>
                      <w:szCs w:val="21"/>
                      <w14:textFill>
                        <w14:solidFill>
                          <w14:schemeClr w14:val="tx1"/>
                        </w14:solidFill>
                      </w14:textFill>
                    </w:rPr>
                    <w:t>钢铁行业</w:t>
                  </w:r>
                  <w:r>
                    <w:rPr>
                      <w:rFonts w:hint="eastAsia"/>
                      <w:color w:val="000000" w:themeColor="text1"/>
                      <w:sz w:val="21"/>
                      <w:szCs w:val="21"/>
                      <w:lang w:eastAsia="zh-CN"/>
                      <w14:textFill>
                        <w14:solidFill>
                          <w14:schemeClr w14:val="tx1"/>
                        </w14:solidFill>
                      </w14:textFill>
                    </w:rPr>
                    <w:t>；</w:t>
                  </w:r>
                </w:p>
                <w:p w14:paraId="605311A1">
                  <w:pPr>
                    <w:pStyle w:val="7"/>
                    <w:numPr>
                      <w:ilvl w:val="0"/>
                      <w:numId w:val="0"/>
                    </w:numPr>
                    <w:ind w:right="113" w:rightChars="0"/>
                    <w:rPr>
                      <w:rFonts w:hint="default"/>
                      <w:lang w:val="en-US" w:eastAsia="zh-CN"/>
                    </w:rPr>
                  </w:pPr>
                  <w:r>
                    <w:rPr>
                      <w:rFonts w:hint="eastAsia"/>
                      <w:color w:val="000000" w:themeColor="text1"/>
                      <w:sz w:val="21"/>
                      <w:szCs w:val="21"/>
                      <w:lang w:val="en-US" w:eastAsia="zh-CN"/>
                      <w14:textFill>
                        <w14:solidFill>
                          <w14:schemeClr w14:val="tx1"/>
                        </w14:solidFill>
                      </w14:textFill>
                    </w:rPr>
                    <w:t>（5）本项目为</w:t>
                  </w:r>
                  <w:r>
                    <w:rPr>
                      <w:rFonts w:hint="eastAsia"/>
                      <w:color w:val="000000" w:themeColor="text1"/>
                      <w:sz w:val="21"/>
                      <w:szCs w:val="21"/>
                      <w:lang w:eastAsia="zh-CN"/>
                      <w14:textFill>
                        <w14:solidFill>
                          <w14:schemeClr w14:val="tx1"/>
                        </w14:solidFill>
                      </w14:textFill>
                    </w:rPr>
                    <w:t>实验室建设项目，</w:t>
                  </w:r>
                  <w:r>
                    <w:rPr>
                      <w:rFonts w:hint="eastAsia"/>
                      <w:color w:val="000000" w:themeColor="text1"/>
                      <w:sz w:val="21"/>
                      <w:szCs w:val="21"/>
                      <w:lang w:val="en-US" w:eastAsia="zh-CN"/>
                      <w14:textFill>
                        <w14:solidFill>
                          <w14:schemeClr w14:val="tx1"/>
                        </w14:solidFill>
                      </w14:textFill>
                    </w:rPr>
                    <w:t>不涉及</w:t>
                  </w:r>
                  <w:r>
                    <w:rPr>
                      <w:rFonts w:hint="eastAsia"/>
                      <w:color w:val="000000" w:themeColor="text1"/>
                      <w:sz w:val="21"/>
                      <w:szCs w:val="21"/>
                      <w:lang w:eastAsia="zh-CN"/>
                      <w14:textFill>
                        <w14:solidFill>
                          <w14:schemeClr w14:val="tx1"/>
                        </w14:solidFill>
                      </w14:textFill>
                    </w:rPr>
                    <w:t>生态保护红线和相关法定保护区的重大民生项目、重设施项目等）。</w:t>
                  </w:r>
                </w:p>
              </w:tc>
              <w:tc>
                <w:tcPr>
                  <w:tcW w:w="492" w:type="pct"/>
                  <w:noWrap w:val="0"/>
                  <w:vAlign w:val="center"/>
                </w:tcPr>
                <w:p w14:paraId="269676FD">
                  <w:pPr>
                    <w:spacing w:line="240" w:lineRule="auto"/>
                    <w:jc w:val="center"/>
                    <w:rPr>
                      <w:color w:val="FF0000"/>
                      <w:sz w:val="21"/>
                      <w:szCs w:val="21"/>
                    </w:rPr>
                  </w:pPr>
                  <w:r>
                    <w:rPr>
                      <w:color w:val="000000" w:themeColor="text1"/>
                      <w:sz w:val="21"/>
                      <w:szCs w:val="21"/>
                      <w14:textFill>
                        <w14:solidFill>
                          <w14:schemeClr w14:val="tx1"/>
                        </w14:solidFill>
                      </w14:textFill>
                    </w:rPr>
                    <w:t>相符</w:t>
                  </w:r>
                </w:p>
              </w:tc>
            </w:tr>
            <w:tr w14:paraId="3A7F0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398" w:type="pct"/>
                  <w:noWrap w:val="0"/>
                  <w:vAlign w:val="center"/>
                </w:tcPr>
                <w:p w14:paraId="6779D17F">
                  <w:pPr>
                    <w:spacing w:line="240" w:lineRule="auto"/>
                    <w:jc w:val="center"/>
                    <w:rPr>
                      <w:color w:val="FF0000"/>
                      <w:sz w:val="21"/>
                      <w:szCs w:val="21"/>
                    </w:rPr>
                  </w:pPr>
                  <w:r>
                    <w:rPr>
                      <w:color w:val="000000" w:themeColor="text1"/>
                      <w:sz w:val="21"/>
                      <w:szCs w:val="21"/>
                      <w14:textFill>
                        <w14:solidFill>
                          <w14:schemeClr w14:val="tx1"/>
                        </w14:solidFill>
                      </w14:textFill>
                    </w:rPr>
                    <w:t>污染物排放管控</w:t>
                  </w:r>
                </w:p>
              </w:tc>
              <w:tc>
                <w:tcPr>
                  <w:tcW w:w="2419" w:type="pct"/>
                  <w:noWrap w:val="0"/>
                  <w:vAlign w:val="center"/>
                </w:tcPr>
                <w:p w14:paraId="72D6F02F">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（1）坚持生态环境质量只能更好、不能变坏，实施污染物总量控制，以环境容量定产业、定项目、定规模，确保开发建设行为不突破生态环境承载力</w:t>
                  </w:r>
                  <w:r>
                    <w:rPr>
                      <w:rFonts w:hint="eastAsia"/>
                      <w:color w:val="000000" w:themeColor="text1"/>
                      <w:sz w:val="21"/>
                      <w:szCs w:val="21"/>
                      <w:lang w:eastAsia="zh-CN"/>
                      <w14:textFill>
                        <w14:solidFill>
                          <w14:schemeClr w14:val="tx1"/>
                        </w14:solidFill>
                      </w14:textFill>
                    </w:rPr>
                    <w:t>；</w:t>
                  </w:r>
                </w:p>
                <w:p w14:paraId="52BDCB76">
                  <w:pPr>
                    <w:spacing w:line="240" w:lineRule="auto"/>
                    <w:jc w:val="left"/>
                    <w:rPr>
                      <w:color w:val="FF0000"/>
                      <w:sz w:val="21"/>
                      <w:szCs w:val="21"/>
                    </w:rPr>
                  </w:pPr>
                  <w:r>
                    <w:rPr>
                      <w:rFonts w:hint="eastAsia"/>
                      <w:color w:val="000000" w:themeColor="text1"/>
                      <w:sz w:val="21"/>
                      <w:szCs w:val="21"/>
                      <w14:textFill>
                        <w14:solidFill>
                          <w14:schemeClr w14:val="tx1"/>
                        </w14:solidFill>
                      </w14:textFill>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689" w:type="pct"/>
                  <w:noWrap w:val="0"/>
                  <w:vAlign w:val="center"/>
                </w:tcPr>
                <w:p w14:paraId="47FC9966">
                  <w:pPr>
                    <w:spacing w:line="240" w:lineRule="auto"/>
                    <w:jc w:val="center"/>
                    <w:rPr>
                      <w:color w:val="FF0000"/>
                      <w:sz w:val="21"/>
                      <w:szCs w:val="21"/>
                    </w:rPr>
                  </w:pPr>
                  <w:r>
                    <w:rPr>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产生的废气在区域内平衡</w:t>
                  </w:r>
                  <w:r>
                    <w:rPr>
                      <w:rFonts w:hint="eastAsia"/>
                      <w:color w:val="000000" w:themeColor="text1"/>
                      <w:sz w:val="21"/>
                      <w:szCs w:val="21"/>
                      <w14:textFill>
                        <w14:solidFill>
                          <w14:schemeClr w14:val="tx1"/>
                        </w14:solidFill>
                      </w14:textFill>
                    </w:rPr>
                    <w:t>。</w:t>
                  </w:r>
                </w:p>
              </w:tc>
              <w:tc>
                <w:tcPr>
                  <w:tcW w:w="492" w:type="pct"/>
                  <w:noWrap w:val="0"/>
                  <w:vAlign w:val="center"/>
                </w:tcPr>
                <w:p w14:paraId="31E684F5">
                  <w:pPr>
                    <w:spacing w:line="240" w:lineRule="auto"/>
                    <w:jc w:val="center"/>
                    <w:rPr>
                      <w:color w:val="FF0000"/>
                      <w:sz w:val="21"/>
                      <w:szCs w:val="21"/>
                    </w:rPr>
                  </w:pPr>
                  <w:r>
                    <w:rPr>
                      <w:color w:val="000000" w:themeColor="text1"/>
                      <w:sz w:val="21"/>
                      <w:szCs w:val="21"/>
                      <w14:textFill>
                        <w14:solidFill>
                          <w14:schemeClr w14:val="tx1"/>
                        </w14:solidFill>
                      </w14:textFill>
                    </w:rPr>
                    <w:t>相符</w:t>
                  </w:r>
                </w:p>
              </w:tc>
            </w:tr>
            <w:tr w14:paraId="5E018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2" w:hRule="atLeast"/>
              </w:trPr>
              <w:tc>
                <w:tcPr>
                  <w:tcW w:w="398" w:type="pct"/>
                  <w:noWrap w:val="0"/>
                  <w:vAlign w:val="center"/>
                </w:tcPr>
                <w:p w14:paraId="33D966B9">
                  <w:pPr>
                    <w:spacing w:line="240" w:lineRule="auto"/>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环境风险防控</w:t>
                  </w:r>
                </w:p>
              </w:tc>
              <w:tc>
                <w:tcPr>
                  <w:tcW w:w="2419" w:type="pct"/>
                  <w:noWrap w:val="0"/>
                  <w:vAlign w:val="center"/>
                </w:tcPr>
                <w:p w14:paraId="46488FA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（1）强化饮用水水源环境风险管控。县级以上城市全部建成应急水源或双源供水</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p w14:paraId="0D2EE71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4A6419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）强化环境事故应急管理。深化跨部门、跨区域环境应急协调联动，分区域建立环境应急物资储备库。各级工业园区（集聚区）和企业的环境应急装备和储备物资应纳入储备体系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p>
                <w:p w14:paraId="43DBD41D">
                  <w:pPr>
                    <w:pStyle w:val="7"/>
                    <w:rPr>
                      <w:rFonts w:hint="default" w:ascii="Times New Roman" w:hAnsi="Times New Roman" w:cs="Times New Roman" w:eastAsiaTheme="minorEastAsia"/>
                      <w:color w:val="FF0000"/>
                      <w:sz w:val="21"/>
                      <w:szCs w:val="21"/>
                      <w:lang w:eastAsia="zh-CN"/>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689" w:type="pct"/>
                  <w:noWrap w:val="0"/>
                  <w:vAlign w:val="center"/>
                </w:tcPr>
                <w:p w14:paraId="3229E4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生活用水由长荡湖水厂供水，纯水为外购用水；</w:t>
                  </w:r>
                </w:p>
                <w:p w14:paraId="481F78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（2）本项目不属于化工项目。</w:t>
                  </w:r>
                </w:p>
                <w:p w14:paraId="4890F38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（3）本项目位于金坛金城科技产业园，已基本形成成“园区-企业”二级环境应急预案体系。</w:t>
                  </w:r>
                </w:p>
                <w:p w14:paraId="0379585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（4）本项目位于金坛金城科技产业园，已基本形成成“园区-企业”二级环境应急预案体系。</w:t>
                  </w:r>
                </w:p>
                <w:p w14:paraId="0C4BD72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lang w:val="en-US" w:eastAsia="zh-CN"/>
                    </w:rPr>
                  </w:pPr>
                </w:p>
              </w:tc>
              <w:tc>
                <w:tcPr>
                  <w:tcW w:w="492" w:type="pct"/>
                  <w:noWrap w:val="0"/>
                  <w:vAlign w:val="center"/>
                </w:tcPr>
                <w:p w14:paraId="663DBD48">
                  <w:pPr>
                    <w:spacing w:line="240" w:lineRule="auto"/>
                    <w:jc w:val="center"/>
                    <w:rPr>
                      <w:color w:val="FF0000"/>
                      <w:sz w:val="21"/>
                      <w:szCs w:val="21"/>
                    </w:rPr>
                  </w:pPr>
                  <w:r>
                    <w:rPr>
                      <w:color w:val="000000" w:themeColor="text1"/>
                      <w:sz w:val="21"/>
                      <w:szCs w:val="21"/>
                      <w14:textFill>
                        <w14:solidFill>
                          <w14:schemeClr w14:val="tx1"/>
                        </w14:solidFill>
                      </w14:textFill>
                    </w:rPr>
                    <w:t>相符</w:t>
                  </w:r>
                </w:p>
              </w:tc>
            </w:tr>
            <w:tr w14:paraId="7282D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31B4E10D">
                  <w:pPr>
                    <w:spacing w:line="240" w:lineRule="auto"/>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资源资源利用效率</w:t>
                  </w:r>
                </w:p>
              </w:tc>
              <w:tc>
                <w:tcPr>
                  <w:tcW w:w="2419" w:type="pct"/>
                  <w:noWrap w:val="0"/>
                  <w:vAlign w:val="center"/>
                </w:tcPr>
                <w:p w14:paraId="66585428">
                  <w:pPr>
                    <w:keepNext w:val="0"/>
                    <w:keepLines w:val="0"/>
                    <w:pageBreakBefore w:val="0"/>
                    <w:widowControl w:val="0"/>
                    <w:numPr>
                      <w:ilvl w:val="0"/>
                      <w:numId w:val="5"/>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水资</w:t>
                  </w: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源利用总量及效率要求：到2025年，全省用水总量控制在525.9亿立方米以内，万元地区生产总值用水量、万元工业增加值用水量下降完成国家下达目标，农田灌溉水有效利用系数提高到0.625；</w:t>
                  </w:r>
                </w:p>
                <w:p w14:paraId="7C85BD16">
                  <w:pPr>
                    <w:pStyle w:val="7"/>
                    <w:numPr>
                      <w:ilvl w:val="0"/>
                      <w:numId w:val="5"/>
                    </w:numPr>
                    <w:ind w:left="0" w:leftChars="0" w:right="113" w:rightChars="0" w:firstLine="0" w:firstLineChars="0"/>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土地资源总量要求：到2025年，江苏省耕地保有量不低于5977万亩，其中永久基本农田保护面积不低于5344万亩</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w:t>
                  </w:r>
                </w:p>
                <w:p w14:paraId="266B70F7">
                  <w:pPr>
                    <w:pStyle w:val="7"/>
                    <w:numPr>
                      <w:ilvl w:val="0"/>
                      <w:numId w:val="0"/>
                    </w:numPr>
                    <w:ind w:leftChars="0" w:right="113" w:rightChars="0"/>
                    <w:rPr>
                      <w:rFonts w:hint="default" w:ascii="Times New Roman" w:hAnsi="Times New Roman" w:cs="Times New Roman" w:eastAsiaTheme="minorEastAsia"/>
                      <w:color w:val="FF0000"/>
                      <w:sz w:val="21"/>
                      <w:szCs w:val="21"/>
                      <w:lang w:eastAsia="zh-CN"/>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）禁燃区要求：在禁燃区内，禁止销售、燃用高污染燃料；禁止新建、扩建燃用高污染燃料的设施，已建成的，应当在城市人民政府规定的期限内改用天然气、页岩气、液化石油气、电或者其他清洁能源。</w:t>
                  </w:r>
                </w:p>
              </w:tc>
              <w:tc>
                <w:tcPr>
                  <w:tcW w:w="1689" w:type="pct"/>
                  <w:noWrap w:val="0"/>
                  <w:vAlign w:val="center"/>
                </w:tcPr>
                <w:p w14:paraId="7C36F6B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（1）已基本形成成“园区-企业”二级环境应急预案体系；</w:t>
                  </w:r>
                </w:p>
                <w:p w14:paraId="25432D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（2）本项目所在地为工业用地；</w:t>
                  </w:r>
                </w:p>
                <w:p w14:paraId="426EC5C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（3）本项目不使用燃料。</w:t>
                  </w:r>
                </w:p>
                <w:p w14:paraId="6024C240">
                  <w:pPr>
                    <w:spacing w:line="240" w:lineRule="auto"/>
                    <w:jc w:val="center"/>
                    <w:rPr>
                      <w:rFonts w:hint="default" w:eastAsia="宋体"/>
                      <w:color w:val="FF0000"/>
                      <w:sz w:val="21"/>
                      <w:szCs w:val="21"/>
                      <w:lang w:val="en-US" w:eastAsia="zh-CN"/>
                    </w:rPr>
                  </w:pPr>
                </w:p>
              </w:tc>
              <w:tc>
                <w:tcPr>
                  <w:tcW w:w="492" w:type="pct"/>
                  <w:noWrap w:val="0"/>
                  <w:vAlign w:val="center"/>
                </w:tcPr>
                <w:p w14:paraId="11EE867F">
                  <w:pPr>
                    <w:spacing w:line="240" w:lineRule="auto"/>
                    <w:jc w:val="center"/>
                    <w:rPr>
                      <w:color w:val="FF0000"/>
                      <w:sz w:val="21"/>
                      <w:szCs w:val="21"/>
                    </w:rPr>
                  </w:pPr>
                  <w:r>
                    <w:rPr>
                      <w:color w:val="000000" w:themeColor="text1"/>
                      <w:sz w:val="21"/>
                      <w:szCs w:val="21"/>
                      <w14:textFill>
                        <w14:solidFill>
                          <w14:schemeClr w14:val="tx1"/>
                        </w14:solidFill>
                      </w14:textFill>
                    </w:rPr>
                    <w:t>相符</w:t>
                  </w:r>
                </w:p>
              </w:tc>
            </w:tr>
          </w:tbl>
          <w:p w14:paraId="371A4CC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对照《常州市生态环境分区管控动态更新成果（2023年版）》，分析如下：</w:t>
            </w:r>
          </w:p>
          <w:p w14:paraId="06646D30">
            <w:pPr>
              <w:snapToGrid w:val="0"/>
              <w:spacing w:line="360" w:lineRule="exact"/>
              <w:ind w:firstLine="422"/>
              <w:jc w:val="center"/>
              <w:rPr>
                <w:b/>
                <w:bCs/>
                <w:color w:val="FF0000"/>
                <w:sz w:val="21"/>
                <w:szCs w:val="21"/>
              </w:rPr>
            </w:pPr>
            <w:bookmarkStart w:id="14" w:name="OLE_LINK55"/>
            <w:r>
              <w:rPr>
                <w:rFonts w:hint="eastAsia"/>
                <w:b/>
                <w:bCs/>
                <w:color w:val="000000" w:themeColor="text1"/>
                <w:sz w:val="21"/>
                <w:szCs w:val="21"/>
                <w14:textFill>
                  <w14:solidFill>
                    <w14:schemeClr w14:val="tx1"/>
                  </w14:solidFill>
                </w14:textFill>
              </w:rPr>
              <w:t>表1-</w:t>
            </w:r>
            <w:r>
              <w:rPr>
                <w:rFonts w:hint="eastAsia"/>
                <w:b/>
                <w:bCs/>
                <w:color w:val="000000" w:themeColor="text1"/>
                <w:sz w:val="21"/>
                <w:szCs w:val="21"/>
                <w:lang w:val="en-US" w:eastAsia="zh-CN"/>
                <w14:textFill>
                  <w14:solidFill>
                    <w14:schemeClr w14:val="tx1"/>
                  </w14:solidFill>
                </w14:textFill>
              </w:rPr>
              <w:t>5</w:t>
            </w:r>
            <w:r>
              <w:rPr>
                <w:rFonts w:hint="eastAsia"/>
                <w:b/>
                <w:bCs/>
                <w:color w:val="000000" w:themeColor="text1"/>
                <w:sz w:val="21"/>
                <w:szCs w:val="21"/>
                <w14:textFill>
                  <w14:solidFill>
                    <w14:schemeClr w14:val="tx1"/>
                  </w14:solidFill>
                </w14:textFill>
              </w:rPr>
              <w:t xml:space="preserve"> 与常州市生态分区管控动态更新成果对照分析</w:t>
            </w:r>
          </w:p>
          <w:tbl>
            <w:tblPr>
              <w:tblStyle w:val="22"/>
              <w:tblW w:w="825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3996"/>
              <w:gridCol w:w="2790"/>
              <w:gridCol w:w="813"/>
            </w:tblGrid>
            <w:tr w14:paraId="79305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0685B5BF">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w:t>
                  </w:r>
                </w:p>
                <w:p w14:paraId="0846CE66">
                  <w:pPr>
                    <w:spacing w:line="240" w:lineRule="auto"/>
                    <w:jc w:val="center"/>
                    <w:rPr>
                      <w:b/>
                      <w:color w:val="FF0000"/>
                      <w:sz w:val="21"/>
                      <w:szCs w:val="21"/>
                    </w:rPr>
                  </w:pPr>
                  <w:r>
                    <w:rPr>
                      <w:b/>
                      <w:color w:val="000000" w:themeColor="text1"/>
                      <w:sz w:val="21"/>
                      <w:szCs w:val="21"/>
                      <w14:textFill>
                        <w14:solidFill>
                          <w14:schemeClr w14:val="tx1"/>
                        </w14:solidFill>
                      </w14:textFill>
                    </w:rPr>
                    <w:t>类别</w:t>
                  </w:r>
                </w:p>
              </w:tc>
              <w:tc>
                <w:tcPr>
                  <w:tcW w:w="2419" w:type="pct"/>
                  <w:noWrap w:val="0"/>
                  <w:vAlign w:val="center"/>
                </w:tcPr>
                <w:p w14:paraId="3FE1E31B">
                  <w:pPr>
                    <w:spacing w:line="240" w:lineRule="auto"/>
                    <w:jc w:val="center"/>
                    <w:rPr>
                      <w:b/>
                      <w:color w:val="FF0000"/>
                      <w:sz w:val="21"/>
                      <w:szCs w:val="21"/>
                    </w:rPr>
                  </w:pPr>
                  <w:r>
                    <w:rPr>
                      <w:b/>
                      <w:color w:val="000000" w:themeColor="text1"/>
                      <w:sz w:val="21"/>
                      <w:szCs w:val="21"/>
                      <w14:textFill>
                        <w14:solidFill>
                          <w14:schemeClr w14:val="tx1"/>
                        </w14:solidFill>
                      </w14:textFill>
                    </w:rPr>
                    <w:t>重点管控要求</w:t>
                  </w:r>
                </w:p>
              </w:tc>
              <w:tc>
                <w:tcPr>
                  <w:tcW w:w="1689" w:type="pct"/>
                  <w:noWrap w:val="0"/>
                  <w:vAlign w:val="center"/>
                </w:tcPr>
                <w:p w14:paraId="6649405B">
                  <w:pPr>
                    <w:spacing w:line="240" w:lineRule="auto"/>
                    <w:jc w:val="center"/>
                    <w:rPr>
                      <w:b/>
                      <w:color w:val="FF0000"/>
                      <w:sz w:val="21"/>
                      <w:szCs w:val="21"/>
                    </w:rPr>
                  </w:pPr>
                  <w:r>
                    <w:rPr>
                      <w:b/>
                      <w:color w:val="000000" w:themeColor="text1"/>
                      <w:sz w:val="21"/>
                      <w:szCs w:val="21"/>
                      <w14:textFill>
                        <w14:solidFill>
                          <w14:schemeClr w14:val="tx1"/>
                        </w14:solidFill>
                      </w14:textFill>
                    </w:rPr>
                    <w:t>对照分析</w:t>
                  </w:r>
                </w:p>
              </w:tc>
              <w:tc>
                <w:tcPr>
                  <w:tcW w:w="492" w:type="pct"/>
                  <w:noWrap w:val="0"/>
                  <w:vAlign w:val="center"/>
                </w:tcPr>
                <w:p w14:paraId="52A41F70">
                  <w:pPr>
                    <w:spacing w:line="240" w:lineRule="auto"/>
                    <w:jc w:val="center"/>
                    <w:rPr>
                      <w:b/>
                      <w:color w:val="FF0000"/>
                      <w:sz w:val="21"/>
                      <w:szCs w:val="21"/>
                    </w:rPr>
                  </w:pPr>
                  <w:r>
                    <w:rPr>
                      <w:b/>
                      <w:color w:val="000000" w:themeColor="text1"/>
                      <w:sz w:val="21"/>
                      <w:szCs w:val="21"/>
                      <w14:textFill>
                        <w14:solidFill>
                          <w14:schemeClr w14:val="tx1"/>
                        </w14:solidFill>
                      </w14:textFill>
                    </w:rPr>
                    <w:t>是否满足要求</w:t>
                  </w:r>
                </w:p>
              </w:tc>
            </w:tr>
            <w:tr w14:paraId="728D0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noWrap w:val="0"/>
                  <w:vAlign w:val="center"/>
                </w:tcPr>
                <w:p w14:paraId="71C5AECA">
                  <w:pPr>
                    <w:spacing w:line="240" w:lineRule="auto"/>
                    <w:jc w:val="center"/>
                    <w:rPr>
                      <w:color w:val="FF0000"/>
                      <w:sz w:val="21"/>
                      <w:szCs w:val="21"/>
                    </w:rPr>
                  </w:pPr>
                  <w:r>
                    <w:rPr>
                      <w:color w:val="000000" w:themeColor="text1"/>
                      <w:sz w:val="21"/>
                      <w:szCs w:val="21"/>
                      <w14:textFill>
                        <w14:solidFill>
                          <w14:schemeClr w14:val="tx1"/>
                        </w14:solidFill>
                      </w14:textFill>
                    </w:rPr>
                    <w:t>空间布局约束</w:t>
                  </w:r>
                </w:p>
              </w:tc>
              <w:tc>
                <w:tcPr>
                  <w:tcW w:w="2419" w:type="pct"/>
                  <w:noWrap w:val="0"/>
                  <w:vAlign w:val="center"/>
                </w:tcPr>
                <w:p w14:paraId="0260F3C2">
                  <w:pPr>
                    <w:numPr>
                      <w:ilvl w:val="0"/>
                      <w:numId w:val="3"/>
                    </w:numPr>
                    <w:spacing w:line="240" w:lineRule="auto"/>
                    <w:jc w:val="left"/>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严格执行《江苏省“三线一单”生态环境分区管控方案》（苏政发〔2020〕49号）附件3江苏省省域生态环境管控要求中“空间布局约束”的相关要求</w:t>
                  </w:r>
                  <w:r>
                    <w:rPr>
                      <w:rFonts w:hint="eastAsia"/>
                      <w:color w:val="000000" w:themeColor="text1"/>
                      <w:sz w:val="21"/>
                      <w:szCs w:val="21"/>
                      <w:lang w:eastAsia="zh-CN"/>
                      <w14:textFill>
                        <w14:solidFill>
                          <w14:schemeClr w14:val="tx1"/>
                        </w14:solidFill>
                      </w14:textFill>
                    </w:rPr>
                    <w:t>；</w:t>
                  </w:r>
                </w:p>
                <w:p w14:paraId="36481899">
                  <w:pPr>
                    <w:numPr>
                      <w:ilvl w:val="0"/>
                      <w:numId w:val="0"/>
                    </w:num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（2）严格执行《关于印发各设区市2023年深入打好污染防治攻坚战目标任务书的通知》（苏污防攻坚指办〔2023〕53号）《2023年常州市生态文明建设工作方案》（常政发〔2023〕23号）等文件要求</w:t>
                  </w:r>
                  <w:r>
                    <w:rPr>
                      <w:rFonts w:hint="eastAsia"/>
                      <w:color w:val="000000" w:themeColor="text1"/>
                      <w:sz w:val="21"/>
                      <w:szCs w:val="21"/>
                      <w:lang w:eastAsia="zh-CN"/>
                      <w14:textFill>
                        <w14:solidFill>
                          <w14:schemeClr w14:val="tx1"/>
                        </w14:solidFill>
                      </w14:textFill>
                    </w:rPr>
                    <w:t>；</w:t>
                  </w:r>
                </w:p>
                <w:p w14:paraId="7D925F66">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（3）禁止引进：列入《产业结构调整指导目录（2019年本）》</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《江苏省产业结构调整限制、淘汰和禁止目录》</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《江苏省工业和信息产业结构调整、限制、淘汰目录及能耗限额》淘汰类的产业；列入《外商投资产业指导目录》禁止类的产业</w:t>
                  </w:r>
                  <w:r>
                    <w:rPr>
                      <w:rFonts w:hint="eastAsia"/>
                      <w:color w:val="000000" w:themeColor="text1"/>
                      <w:sz w:val="21"/>
                      <w:szCs w:val="21"/>
                      <w:lang w:eastAsia="zh-CN"/>
                      <w14:textFill>
                        <w14:solidFill>
                          <w14:schemeClr w14:val="tx1"/>
                        </w14:solidFill>
                      </w14:textFill>
                    </w:rPr>
                    <w:t>；</w:t>
                  </w:r>
                </w:p>
                <w:p w14:paraId="0BD00055">
                  <w:pPr>
                    <w:spacing w:line="240" w:lineRule="auto"/>
                    <w:jc w:val="left"/>
                    <w:rPr>
                      <w:color w:val="FF0000"/>
                      <w:sz w:val="21"/>
                      <w:szCs w:val="21"/>
                    </w:rPr>
                  </w:pPr>
                  <w:r>
                    <w:rPr>
                      <w:rFonts w:hint="eastAsia"/>
                      <w:color w:val="000000" w:themeColor="text1"/>
                      <w:sz w:val="21"/>
                      <w:szCs w:val="21"/>
                      <w14:textFill>
                        <w14:solidFill>
                          <w14:schemeClr w14:val="tx1"/>
                        </w14:solidFill>
                      </w14:textFill>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689" w:type="pct"/>
                  <w:noWrap w:val="0"/>
                  <w:vAlign w:val="center"/>
                </w:tcPr>
                <w:p w14:paraId="43EA6C32">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对照《省政府关于印发江苏省生态空间管控区域规划的通知》（苏政发〔2020〕1号）以及《省政府关于印发江苏省国家级生态保护红线规</w:t>
                  </w:r>
                  <w:r>
                    <w:rPr>
                      <w:rFonts w:hint="eastAsia"/>
                      <w:color w:val="000000" w:themeColor="text1"/>
                      <w:sz w:val="21"/>
                      <w:szCs w:val="21"/>
                      <w14:textFill>
                        <w14:solidFill>
                          <w14:schemeClr w14:val="tx1"/>
                        </w14:solidFill>
                      </w14:textFill>
                    </w:rPr>
                    <w:t>划的通知》（苏政发〔2018〕74号），本项目位</w:t>
                  </w:r>
                  <w:r>
                    <w:rPr>
                      <w:rFonts w:hint="eastAsia"/>
                      <w:color w:val="000000" w:themeColor="text1"/>
                      <w:spacing w:val="-6"/>
                      <w:sz w:val="21"/>
                      <w:szCs w:val="21"/>
                      <w14:textFill>
                        <w14:solidFill>
                          <w14:schemeClr w14:val="tx1"/>
                        </w14:solidFill>
                      </w14:textFill>
                    </w:rPr>
                    <w:t>于</w:t>
                  </w:r>
                  <w:r>
                    <w:rPr>
                      <w:color w:val="000000" w:themeColor="text1"/>
                      <w:spacing w:val="-6"/>
                      <w:sz w:val="21"/>
                      <w:szCs w:val="21"/>
                      <w14:textFill>
                        <w14:solidFill>
                          <w14:schemeClr w14:val="tx1"/>
                        </w14:solidFill>
                      </w14:textFill>
                    </w:rPr>
                    <w:t>常州市金坛区</w:t>
                  </w:r>
                  <w:r>
                    <w:rPr>
                      <w:rFonts w:hint="eastAsia"/>
                      <w:color w:val="000000" w:themeColor="text1"/>
                      <w:spacing w:val="-6"/>
                      <w:sz w:val="21"/>
                      <w:szCs w:val="21"/>
                      <w:lang w:eastAsia="zh-CN"/>
                      <w14:textFill>
                        <w14:solidFill>
                          <w14:schemeClr w14:val="tx1"/>
                        </w14:solidFill>
                      </w14:textFill>
                    </w:rPr>
                    <w:t>西城路118号</w:t>
                  </w:r>
                  <w:r>
                    <w:rPr>
                      <w:rFonts w:hint="eastAsia"/>
                      <w:color w:val="000000" w:themeColor="text1"/>
                      <w:sz w:val="21"/>
                      <w:szCs w:val="21"/>
                      <w14:textFill>
                        <w14:solidFill>
                          <w14:schemeClr w14:val="tx1"/>
                        </w14:solidFill>
                      </w14:textFill>
                    </w:rPr>
                    <w:t>，最近的生态空间管控区为</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km处的丹金溧漕河洪水调蓄区，符合《江苏省生态空间管控区域规划》中“空间布局约束”要求</w:t>
                  </w:r>
                  <w:r>
                    <w:rPr>
                      <w:rFonts w:hint="eastAsia"/>
                      <w:color w:val="000000" w:themeColor="text1"/>
                      <w:sz w:val="21"/>
                      <w:szCs w:val="21"/>
                      <w:lang w:eastAsia="zh-CN"/>
                      <w14:textFill>
                        <w14:solidFill>
                          <w14:schemeClr w14:val="tx1"/>
                        </w14:solidFill>
                      </w14:textFill>
                    </w:rPr>
                    <w:t>；</w:t>
                  </w:r>
                </w:p>
                <w:p w14:paraId="0F9D8607">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（2）本项目建设严格执行《关于印发各设区市2023年深入打好污染防治攻坚战目标任务书的通知》（苏污防攻坚指办〔2023〕53号）《2023年常州市生态文明建设工作方案》（常政发〔2023〕23号）等文件要求</w:t>
                  </w:r>
                  <w:r>
                    <w:rPr>
                      <w:rFonts w:hint="eastAsia"/>
                      <w:color w:val="000000" w:themeColor="text1"/>
                      <w:sz w:val="21"/>
                      <w:szCs w:val="21"/>
                      <w:lang w:eastAsia="zh-CN"/>
                      <w14:textFill>
                        <w14:solidFill>
                          <w14:schemeClr w14:val="tx1"/>
                        </w14:solidFill>
                      </w14:textFill>
                    </w:rPr>
                    <w:t>；</w:t>
                  </w:r>
                </w:p>
                <w:p w14:paraId="0E0318F8">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为</w:t>
                  </w:r>
                  <w:r>
                    <w:rPr>
                      <w:rFonts w:hint="eastAsia"/>
                      <w:color w:val="000000" w:themeColor="text1"/>
                      <w:sz w:val="21"/>
                      <w:szCs w:val="21"/>
                      <w:lang w:eastAsia="zh-CN"/>
                      <w14:textFill>
                        <w14:solidFill>
                          <w14:schemeClr w14:val="tx1"/>
                        </w14:solidFill>
                      </w14:textFill>
                    </w:rPr>
                    <w:t>实验室建设项目</w:t>
                  </w:r>
                  <w:r>
                    <w:rPr>
                      <w:color w:val="000000" w:themeColor="text1"/>
                      <w:sz w:val="21"/>
                      <w:szCs w:val="21"/>
                      <w14:textFill>
                        <w14:solidFill>
                          <w14:schemeClr w14:val="tx1"/>
                        </w14:solidFill>
                      </w14:textFill>
                    </w:rPr>
                    <w:t>，不属于</w:t>
                  </w:r>
                  <w:r>
                    <w:rPr>
                      <w:rFonts w:hint="eastAsia"/>
                      <w:color w:val="000000" w:themeColor="text1"/>
                      <w:sz w:val="21"/>
                      <w:szCs w:val="21"/>
                      <w14:textFill>
                        <w14:solidFill>
                          <w14:schemeClr w14:val="tx1"/>
                        </w14:solidFill>
                      </w14:textFill>
                    </w:rPr>
                    <w:t>《产业结构调整指导目录（2024年本）》</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《江苏省产业结构调整限制、淘汰和禁止目录》</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《江苏省工业和信息产业结构调整、限制、淘汰目录及能耗限额》淘汰类的产业</w:t>
                  </w:r>
                  <w:r>
                    <w:rPr>
                      <w:rFonts w:hint="eastAsia"/>
                      <w:color w:val="000000" w:themeColor="text1"/>
                      <w:sz w:val="21"/>
                      <w:szCs w:val="21"/>
                      <w:lang w:eastAsia="zh-CN"/>
                      <w14:textFill>
                        <w14:solidFill>
                          <w14:schemeClr w14:val="tx1"/>
                        </w14:solidFill>
                      </w14:textFill>
                    </w:rPr>
                    <w:t>；</w:t>
                  </w:r>
                </w:p>
                <w:p w14:paraId="0A95EFC5">
                  <w:pPr>
                    <w:spacing w:line="240" w:lineRule="auto"/>
                    <w:jc w:val="left"/>
                    <w:rPr>
                      <w:color w:val="FF0000"/>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（4）本项目为</w:t>
                  </w:r>
                  <w:r>
                    <w:rPr>
                      <w:rFonts w:hint="eastAsia" w:cs="Times New Roman"/>
                      <w:color w:val="000000" w:themeColor="text1"/>
                      <w:sz w:val="21"/>
                      <w:szCs w:val="21"/>
                      <w:lang w:eastAsia="zh-CN"/>
                      <w14:textFill>
                        <w14:solidFill>
                          <w14:schemeClr w14:val="tx1"/>
                        </w14:solidFill>
                      </w14:textFill>
                    </w:rPr>
                    <w:t>实验室建设项目</w:t>
                  </w:r>
                  <w:r>
                    <w:rPr>
                      <w:rFonts w:hint="eastAsia" w:ascii="Times New Roman" w:hAnsi="Times New Roman" w:eastAsia="宋体" w:cs="Times New Roman"/>
                      <w:color w:val="000000" w:themeColor="text1"/>
                      <w:sz w:val="21"/>
                      <w:szCs w:val="21"/>
                      <w14:textFill>
                        <w14:solidFill>
                          <w14:schemeClr w14:val="tx1"/>
                        </w14:solidFill>
                      </w14:textFill>
                    </w:rPr>
                    <w:t>，不属于《长江经济带发展负面清单指南(试行，2022年版)》江苏省实施细则禁止类项目。</w:t>
                  </w:r>
                </w:p>
              </w:tc>
              <w:tc>
                <w:tcPr>
                  <w:tcW w:w="492" w:type="pct"/>
                  <w:noWrap w:val="0"/>
                  <w:vAlign w:val="center"/>
                </w:tcPr>
                <w:p w14:paraId="715FB7D0">
                  <w:pPr>
                    <w:spacing w:line="240" w:lineRule="auto"/>
                    <w:jc w:val="center"/>
                    <w:rPr>
                      <w:color w:val="FF0000"/>
                      <w:sz w:val="21"/>
                      <w:szCs w:val="21"/>
                    </w:rPr>
                  </w:pPr>
                  <w:r>
                    <w:rPr>
                      <w:color w:val="000000" w:themeColor="text1"/>
                      <w:sz w:val="21"/>
                      <w:szCs w:val="21"/>
                      <w14:textFill>
                        <w14:solidFill>
                          <w14:schemeClr w14:val="tx1"/>
                        </w14:solidFill>
                      </w14:textFill>
                    </w:rPr>
                    <w:t>相符</w:t>
                  </w:r>
                </w:p>
              </w:tc>
            </w:tr>
            <w:tr w14:paraId="58AFB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98" w:type="pct"/>
                  <w:noWrap w:val="0"/>
                  <w:vAlign w:val="center"/>
                </w:tcPr>
                <w:p w14:paraId="72F5FF68">
                  <w:pPr>
                    <w:spacing w:line="240" w:lineRule="auto"/>
                    <w:jc w:val="center"/>
                    <w:rPr>
                      <w:color w:val="FF0000"/>
                      <w:sz w:val="21"/>
                      <w:szCs w:val="21"/>
                    </w:rPr>
                  </w:pPr>
                  <w:r>
                    <w:rPr>
                      <w:color w:val="000000" w:themeColor="text1"/>
                      <w:sz w:val="21"/>
                      <w:szCs w:val="21"/>
                      <w14:textFill>
                        <w14:solidFill>
                          <w14:schemeClr w14:val="tx1"/>
                        </w14:solidFill>
                      </w14:textFill>
                    </w:rPr>
                    <w:t>污染物排放管控</w:t>
                  </w:r>
                </w:p>
              </w:tc>
              <w:tc>
                <w:tcPr>
                  <w:tcW w:w="2419" w:type="pct"/>
                  <w:noWrap w:val="0"/>
                  <w:vAlign w:val="center"/>
                </w:tcPr>
                <w:p w14:paraId="50CB052F">
                  <w:pPr>
                    <w:spacing w:line="24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（1）坚持生态环境质量只能更好、不能变坏，实施污染物总量控制，以环境容量定产业、定项目、定规模，确保开发建设行为不突破生态环境承载力</w:t>
                  </w:r>
                  <w:r>
                    <w:rPr>
                      <w:rFonts w:hint="eastAsia"/>
                      <w:color w:val="000000" w:themeColor="text1"/>
                      <w:sz w:val="21"/>
                      <w:szCs w:val="21"/>
                      <w:lang w:eastAsia="zh-CN"/>
                      <w14:textFill>
                        <w14:solidFill>
                          <w14:schemeClr w14:val="tx1"/>
                        </w14:solidFill>
                      </w14:textFill>
                    </w:rPr>
                    <w:t>；</w:t>
                  </w:r>
                </w:p>
                <w:p w14:paraId="4E6CF8CC">
                  <w:pPr>
                    <w:spacing w:line="240" w:lineRule="auto"/>
                    <w:jc w:val="left"/>
                    <w:rPr>
                      <w:color w:val="FF0000"/>
                      <w:sz w:val="21"/>
                      <w:szCs w:val="21"/>
                    </w:rPr>
                  </w:pPr>
                  <w:r>
                    <w:rPr>
                      <w:rFonts w:hint="eastAsia"/>
                      <w:color w:val="000000" w:themeColor="text1"/>
                      <w:sz w:val="21"/>
                      <w:szCs w:val="21"/>
                      <w14:textFill>
                        <w14:solidFill>
                          <w14:schemeClr w14:val="tx1"/>
                        </w14:solidFill>
                      </w14:textFill>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689" w:type="pct"/>
                  <w:noWrap w:val="0"/>
                  <w:vAlign w:val="center"/>
                </w:tcPr>
                <w:p w14:paraId="330E126D">
                  <w:pPr>
                    <w:spacing w:line="240" w:lineRule="auto"/>
                    <w:jc w:val="both"/>
                    <w:rPr>
                      <w:color w:val="FF0000"/>
                      <w:sz w:val="21"/>
                      <w:szCs w:val="21"/>
                    </w:rPr>
                  </w:pPr>
                  <w:r>
                    <w:rPr>
                      <w:color w:val="000000" w:themeColor="text1"/>
                      <w:sz w:val="21"/>
                      <w:szCs w:val="21"/>
                      <w14:textFill>
                        <w14:solidFill>
                          <w14:schemeClr w14:val="tx1"/>
                        </w14:solidFill>
                      </w14:textFill>
                    </w:rPr>
                    <w:t>本项目类型及其选址、布局、规模等符合环境保护法律法规和相关法</w:t>
                  </w:r>
                  <w:r>
                    <w:rPr>
                      <w:rFonts w:hint="eastAsia"/>
                      <w:color w:val="000000" w:themeColor="text1"/>
                      <w:sz w:val="21"/>
                      <w:szCs w:val="21"/>
                      <w14:textFill>
                        <w14:solidFill>
                          <w14:schemeClr w14:val="tx1"/>
                        </w14:solidFill>
                      </w14:textFill>
                    </w:rPr>
                    <w:t>定规划，废水中各污染物总量在常州金坛区第二污水处理有限公司内平衡。</w:t>
                  </w:r>
                </w:p>
              </w:tc>
              <w:tc>
                <w:tcPr>
                  <w:tcW w:w="492" w:type="pct"/>
                  <w:noWrap w:val="0"/>
                  <w:vAlign w:val="center"/>
                </w:tcPr>
                <w:p w14:paraId="1DDE16D8">
                  <w:pPr>
                    <w:spacing w:line="240" w:lineRule="auto"/>
                    <w:jc w:val="center"/>
                    <w:rPr>
                      <w:color w:val="FF0000"/>
                      <w:sz w:val="21"/>
                      <w:szCs w:val="21"/>
                    </w:rPr>
                  </w:pPr>
                  <w:r>
                    <w:rPr>
                      <w:color w:val="000000" w:themeColor="text1"/>
                      <w:sz w:val="21"/>
                      <w:szCs w:val="21"/>
                      <w14:textFill>
                        <w14:solidFill>
                          <w14:schemeClr w14:val="tx1"/>
                        </w14:solidFill>
                      </w14:textFill>
                    </w:rPr>
                    <w:t>相符</w:t>
                  </w:r>
                </w:p>
              </w:tc>
            </w:tr>
            <w:tr w14:paraId="10728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103EFE17">
                  <w:pPr>
                    <w:spacing w:line="240" w:lineRule="auto"/>
                    <w:jc w:val="center"/>
                    <w:rPr>
                      <w:color w:val="FF0000"/>
                      <w:sz w:val="21"/>
                      <w:szCs w:val="21"/>
                    </w:rPr>
                  </w:pPr>
                  <w:r>
                    <w:rPr>
                      <w:color w:val="000000" w:themeColor="text1"/>
                      <w:sz w:val="21"/>
                      <w:szCs w:val="21"/>
                      <w14:textFill>
                        <w14:solidFill>
                          <w14:schemeClr w14:val="tx1"/>
                        </w14:solidFill>
                      </w14:textFill>
                    </w:rPr>
                    <w:t>环境风险防控</w:t>
                  </w:r>
                </w:p>
              </w:tc>
              <w:tc>
                <w:tcPr>
                  <w:tcW w:w="2419" w:type="pct"/>
                  <w:noWrap w:val="0"/>
                  <w:vAlign w:val="center"/>
                </w:tcPr>
                <w:p w14:paraId="346FD04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（1）严格执行《江苏省“三线一单”生态环境分区管控方案》（苏政发〔2020〕49号）附件3江苏省省域生态环境管控要求中“环境风险防控”的相关要求</w:t>
                  </w:r>
                  <w:r>
                    <w:rPr>
                      <w:rFonts w:hint="eastAsia"/>
                      <w:color w:val="000000" w:themeColor="text1"/>
                      <w:sz w:val="21"/>
                      <w:szCs w:val="21"/>
                      <w:lang w:eastAsia="zh-CN"/>
                      <w14:textFill>
                        <w14:solidFill>
                          <w14:schemeClr w14:val="tx1"/>
                        </w14:solidFill>
                      </w14:textFill>
                    </w:rPr>
                    <w:t>；</w:t>
                  </w:r>
                </w:p>
                <w:p w14:paraId="3181B2B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71BC90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（3）强化饮用水水源环境风险管控，建成应急水源工程</w:t>
                  </w:r>
                  <w:r>
                    <w:rPr>
                      <w:rFonts w:hint="eastAsia"/>
                      <w:color w:val="000000" w:themeColor="text1"/>
                      <w:sz w:val="21"/>
                      <w:szCs w:val="21"/>
                      <w:lang w:eastAsia="zh-CN"/>
                      <w14:textFill>
                        <w14:solidFill>
                          <w14:schemeClr w14:val="tx1"/>
                        </w14:solidFill>
                      </w14:textFill>
                    </w:rPr>
                    <w:t>；</w:t>
                  </w:r>
                </w:p>
                <w:p w14:paraId="11A75CD5">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FF0000"/>
                      <w:sz w:val="21"/>
                      <w:szCs w:val="21"/>
                    </w:rPr>
                  </w:pPr>
                  <w:r>
                    <w:rPr>
                      <w:rFonts w:hint="eastAsia"/>
                      <w:color w:val="000000" w:themeColor="text1"/>
                      <w:sz w:val="21"/>
                      <w:szCs w:val="21"/>
                      <w14:textFill>
                        <w14:solidFill>
                          <w14:schemeClr w14:val="tx1"/>
                        </w14:solidFill>
                      </w14:textFill>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689" w:type="pct"/>
                  <w:noWrap w:val="0"/>
                  <w:vAlign w:val="center"/>
                </w:tcPr>
                <w:p w14:paraId="3902CBDC">
                  <w:pPr>
                    <w:spacing w:line="240" w:lineRule="auto"/>
                    <w:jc w:val="center"/>
                    <w:rPr>
                      <w:color w:val="FF0000"/>
                      <w:sz w:val="21"/>
                      <w:szCs w:val="21"/>
                    </w:rPr>
                  </w:pPr>
                  <w:r>
                    <w:rPr>
                      <w:color w:val="000000" w:themeColor="text1"/>
                      <w:sz w:val="21"/>
                      <w:szCs w:val="21"/>
                      <w14:textFill>
                        <w14:solidFill>
                          <w14:schemeClr w14:val="tx1"/>
                        </w14:solidFill>
                      </w14:textFill>
                    </w:rPr>
                    <w:t>本项目将积极与区域应急体系联动。</w:t>
                  </w:r>
                </w:p>
              </w:tc>
              <w:tc>
                <w:tcPr>
                  <w:tcW w:w="492" w:type="pct"/>
                  <w:noWrap w:val="0"/>
                  <w:vAlign w:val="center"/>
                </w:tcPr>
                <w:p w14:paraId="5185B870">
                  <w:pPr>
                    <w:spacing w:line="240" w:lineRule="auto"/>
                    <w:jc w:val="center"/>
                    <w:rPr>
                      <w:color w:val="FF0000"/>
                      <w:sz w:val="21"/>
                      <w:szCs w:val="21"/>
                    </w:rPr>
                  </w:pPr>
                  <w:r>
                    <w:rPr>
                      <w:color w:val="000000" w:themeColor="text1"/>
                      <w:sz w:val="21"/>
                      <w:szCs w:val="21"/>
                      <w14:textFill>
                        <w14:solidFill>
                          <w14:schemeClr w14:val="tx1"/>
                        </w14:solidFill>
                      </w14:textFill>
                    </w:rPr>
                    <w:t>相符</w:t>
                  </w:r>
                </w:p>
              </w:tc>
            </w:tr>
            <w:tr w14:paraId="45C2F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717768A8">
                  <w:pPr>
                    <w:spacing w:line="240" w:lineRule="auto"/>
                    <w:jc w:val="center"/>
                    <w:rPr>
                      <w:color w:val="FF0000"/>
                      <w:sz w:val="21"/>
                      <w:szCs w:val="21"/>
                    </w:rPr>
                  </w:pPr>
                  <w:r>
                    <w:rPr>
                      <w:color w:val="000000" w:themeColor="text1"/>
                      <w:sz w:val="21"/>
                      <w:szCs w:val="21"/>
                      <w14:textFill>
                        <w14:solidFill>
                          <w14:schemeClr w14:val="tx1"/>
                        </w14:solidFill>
                      </w14:textFill>
                    </w:rPr>
                    <w:t>资源利用效率要求</w:t>
                  </w:r>
                </w:p>
              </w:tc>
              <w:tc>
                <w:tcPr>
                  <w:tcW w:w="2419" w:type="pct"/>
                  <w:noWrap w:val="0"/>
                  <w:vAlign w:val="center"/>
                </w:tcPr>
                <w:p w14:paraId="51F0CC4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r>
                    <w:rPr>
                      <w:rFonts w:hint="eastAsia"/>
                      <w:color w:val="000000" w:themeColor="text1"/>
                      <w:sz w:val="21"/>
                      <w:szCs w:val="21"/>
                      <w:lang w:eastAsia="zh-CN"/>
                      <w14:textFill>
                        <w14:solidFill>
                          <w14:schemeClr w14:val="tx1"/>
                        </w14:solidFill>
                      </w14:textFill>
                    </w:rPr>
                    <w:t>；</w:t>
                  </w:r>
                </w:p>
                <w:p w14:paraId="2CAA20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（2）根据《常州市国土空间总体规划（2021-2035年）（上报稿）》，永久基本农田实际划定是7.53万公顷，2035年任务量为7.66万公顷</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7487ED32">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FF0000"/>
                      <w:sz w:val="21"/>
                      <w:szCs w:val="21"/>
                    </w:rPr>
                  </w:pP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689" w:type="pct"/>
                  <w:noWrap w:val="0"/>
                  <w:vAlign w:val="center"/>
                </w:tcPr>
                <w:p w14:paraId="2B3D0EF8">
                  <w:pPr>
                    <w:spacing w:line="240" w:lineRule="auto"/>
                    <w:jc w:val="center"/>
                    <w:rPr>
                      <w:rFonts w:hint="eastAsia" w:eastAsia="宋体"/>
                      <w:color w:val="FF0000"/>
                      <w:sz w:val="21"/>
                      <w:szCs w:val="21"/>
                      <w:lang w:eastAsia="zh-CN"/>
                    </w:rPr>
                  </w:pPr>
                  <w:r>
                    <w:rPr>
                      <w:color w:val="000000" w:themeColor="text1"/>
                      <w:sz w:val="21"/>
                      <w:szCs w:val="21"/>
                      <w14:textFill>
                        <w14:solidFill>
                          <w14:schemeClr w14:val="tx1"/>
                        </w14:solidFill>
                      </w14:textFill>
                    </w:rPr>
                    <w:t>本项目使用电能</w:t>
                  </w:r>
                  <w:r>
                    <w:rPr>
                      <w:rFonts w:hint="eastAsia"/>
                      <w:color w:val="000000" w:themeColor="text1"/>
                      <w:sz w:val="21"/>
                      <w:szCs w:val="21"/>
                      <w14:textFill>
                        <w14:solidFill>
                          <w14:schemeClr w14:val="tx1"/>
                        </w14:solidFill>
                      </w14:textFill>
                    </w:rPr>
                    <w:t>为</w:t>
                  </w:r>
                  <w:r>
                    <w:rPr>
                      <w:color w:val="000000" w:themeColor="text1"/>
                      <w:sz w:val="21"/>
                      <w:szCs w:val="21"/>
                      <w14:textFill>
                        <w14:solidFill>
                          <w14:schemeClr w14:val="tx1"/>
                        </w14:solidFill>
                      </w14:textFill>
                    </w:rPr>
                    <w:t>清洁能源</w:t>
                  </w:r>
                  <w:r>
                    <w:rPr>
                      <w:rFonts w:hint="eastAsia"/>
                      <w:color w:val="000000" w:themeColor="text1"/>
                      <w:sz w:val="21"/>
                      <w:szCs w:val="21"/>
                      <w:lang w:eastAsia="zh-CN"/>
                      <w14:textFill>
                        <w14:solidFill>
                          <w14:schemeClr w14:val="tx1"/>
                        </w14:solidFill>
                      </w14:textFill>
                    </w:rPr>
                    <w:t>。</w:t>
                  </w:r>
                </w:p>
              </w:tc>
              <w:tc>
                <w:tcPr>
                  <w:tcW w:w="492" w:type="pct"/>
                  <w:noWrap w:val="0"/>
                  <w:vAlign w:val="center"/>
                </w:tcPr>
                <w:p w14:paraId="0841BBB3">
                  <w:pPr>
                    <w:spacing w:line="240" w:lineRule="auto"/>
                    <w:jc w:val="center"/>
                    <w:rPr>
                      <w:color w:val="FF0000"/>
                      <w:sz w:val="21"/>
                      <w:szCs w:val="21"/>
                    </w:rPr>
                  </w:pPr>
                  <w:r>
                    <w:rPr>
                      <w:color w:val="000000" w:themeColor="text1"/>
                      <w:sz w:val="21"/>
                      <w:szCs w:val="21"/>
                      <w14:textFill>
                        <w14:solidFill>
                          <w14:schemeClr w14:val="tx1"/>
                        </w14:solidFill>
                      </w14:textFill>
                    </w:rPr>
                    <w:t>相符</w:t>
                  </w:r>
                </w:p>
              </w:tc>
            </w:tr>
            <w:bookmarkEnd w:id="14"/>
          </w:tbl>
          <w:p w14:paraId="44CBFBD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本项目位于</w:t>
            </w:r>
            <w:r>
              <w:rPr>
                <w:color w:val="auto"/>
                <w:spacing w:val="-2"/>
                <w:sz w:val="24"/>
                <w:szCs w:val="24"/>
              </w:rPr>
              <w:t>常州市金坛区</w:t>
            </w:r>
            <w:r>
              <w:rPr>
                <w:rFonts w:hint="eastAsia"/>
                <w:color w:val="auto"/>
                <w:spacing w:val="-2"/>
                <w:sz w:val="24"/>
                <w:szCs w:val="24"/>
                <w:lang w:eastAsia="zh-CN"/>
              </w:rPr>
              <w:t>西城路118号</w:t>
            </w:r>
            <w:r>
              <w:rPr>
                <w:color w:val="auto"/>
                <w:sz w:val="24"/>
                <w:szCs w:val="24"/>
              </w:rPr>
              <w:t>，对照</w:t>
            </w:r>
            <w:r>
              <w:rPr>
                <w:rFonts w:hint="eastAsia"/>
                <w:color w:val="auto"/>
                <w:sz w:val="24"/>
                <w:szCs w:val="24"/>
              </w:rPr>
              <w:t>《常州市生态环境分区管控动态更新成果（2023年版）》</w:t>
            </w:r>
            <w:r>
              <w:rPr>
                <w:color w:val="auto"/>
                <w:sz w:val="24"/>
                <w:szCs w:val="24"/>
              </w:rPr>
              <w:t>，属于</w:t>
            </w:r>
            <w:r>
              <w:rPr>
                <w:rFonts w:hint="eastAsia"/>
                <w:color w:val="auto"/>
                <w:sz w:val="24"/>
                <w:szCs w:val="24"/>
              </w:rPr>
              <w:t>江苏金坛</w:t>
            </w:r>
            <w:r>
              <w:rPr>
                <w:rFonts w:hint="eastAsia"/>
                <w:color w:val="auto"/>
                <w:sz w:val="24"/>
                <w:szCs w:val="24"/>
                <w:lang w:eastAsia="zh-CN"/>
              </w:rPr>
              <w:t>金城科技产业园</w:t>
            </w:r>
            <w:r>
              <w:rPr>
                <w:color w:val="auto"/>
                <w:sz w:val="24"/>
                <w:szCs w:val="24"/>
              </w:rPr>
              <w:t>，为重点管控单元，</w:t>
            </w:r>
            <w:r>
              <w:rPr>
                <w:rFonts w:hint="eastAsia"/>
                <w:color w:val="auto"/>
                <w:sz w:val="24"/>
                <w:szCs w:val="24"/>
              </w:rPr>
              <w:t>江苏金坛</w:t>
            </w:r>
            <w:r>
              <w:rPr>
                <w:rFonts w:hint="eastAsia"/>
                <w:color w:val="auto"/>
                <w:sz w:val="24"/>
                <w:szCs w:val="24"/>
                <w:lang w:eastAsia="zh-CN"/>
              </w:rPr>
              <w:t>金城科技产业园</w:t>
            </w:r>
            <w:r>
              <w:rPr>
                <w:color w:val="auto"/>
                <w:sz w:val="24"/>
                <w:szCs w:val="24"/>
              </w:rPr>
              <w:t>环境管控单元准入清单相符性分析如下：</w:t>
            </w:r>
          </w:p>
          <w:p w14:paraId="5827C73C">
            <w:pPr>
              <w:snapToGrid w:val="0"/>
              <w:spacing w:line="360" w:lineRule="exact"/>
              <w:ind w:firstLine="422"/>
              <w:jc w:val="center"/>
              <w:rPr>
                <w:rFonts w:hint="eastAsia"/>
                <w:b/>
                <w:bCs/>
                <w:color w:val="auto"/>
                <w:sz w:val="21"/>
                <w:szCs w:val="21"/>
              </w:rPr>
            </w:pPr>
            <w:r>
              <w:rPr>
                <w:rFonts w:hint="eastAsia"/>
                <w:b/>
                <w:bCs/>
                <w:color w:val="auto"/>
                <w:sz w:val="21"/>
                <w:szCs w:val="21"/>
              </w:rPr>
              <w:t>表1-</w:t>
            </w:r>
            <w:r>
              <w:rPr>
                <w:rFonts w:hint="eastAsia"/>
                <w:b/>
                <w:bCs/>
                <w:color w:val="auto"/>
                <w:sz w:val="21"/>
                <w:szCs w:val="21"/>
                <w:lang w:val="en-US" w:eastAsia="zh-CN"/>
              </w:rPr>
              <w:t>5</w:t>
            </w:r>
            <w:r>
              <w:rPr>
                <w:rFonts w:hint="eastAsia"/>
                <w:b/>
                <w:bCs/>
                <w:color w:val="auto"/>
                <w:sz w:val="21"/>
                <w:szCs w:val="21"/>
              </w:rPr>
              <w:t xml:space="preserve"> 与江苏金坛</w:t>
            </w:r>
            <w:r>
              <w:rPr>
                <w:rFonts w:hint="eastAsia"/>
                <w:b/>
                <w:bCs/>
                <w:color w:val="auto"/>
                <w:sz w:val="21"/>
                <w:szCs w:val="21"/>
                <w:lang w:eastAsia="zh-CN"/>
              </w:rPr>
              <w:t>金城科技产业园</w:t>
            </w:r>
            <w:r>
              <w:rPr>
                <w:rFonts w:hint="eastAsia"/>
                <w:b/>
                <w:bCs/>
                <w:color w:val="auto"/>
                <w:sz w:val="21"/>
                <w:szCs w:val="21"/>
              </w:rPr>
              <w:t>环境管控单元准入清单相符性分析</w:t>
            </w:r>
          </w:p>
          <w:tbl>
            <w:tblPr>
              <w:tblStyle w:val="22"/>
              <w:tblW w:w="825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4013"/>
              <w:gridCol w:w="2656"/>
              <w:gridCol w:w="932"/>
            </w:tblGrid>
            <w:tr w14:paraId="4C1EB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noWrap w:val="0"/>
                  <w:vAlign w:val="center"/>
                </w:tcPr>
                <w:p w14:paraId="567FCB11">
                  <w:pPr>
                    <w:spacing w:line="240" w:lineRule="auto"/>
                    <w:jc w:val="center"/>
                    <w:rPr>
                      <w:b/>
                      <w:color w:val="auto"/>
                      <w:sz w:val="21"/>
                      <w:szCs w:val="21"/>
                    </w:rPr>
                  </w:pPr>
                  <w:r>
                    <w:rPr>
                      <w:b/>
                      <w:color w:val="auto"/>
                      <w:sz w:val="21"/>
                      <w:szCs w:val="21"/>
                    </w:rPr>
                    <w:t>管控</w:t>
                  </w:r>
                </w:p>
                <w:p w14:paraId="35A8762F">
                  <w:pPr>
                    <w:spacing w:line="240" w:lineRule="auto"/>
                    <w:jc w:val="center"/>
                    <w:rPr>
                      <w:b/>
                      <w:color w:val="auto"/>
                      <w:sz w:val="21"/>
                      <w:szCs w:val="21"/>
                    </w:rPr>
                  </w:pPr>
                  <w:r>
                    <w:rPr>
                      <w:b/>
                      <w:color w:val="auto"/>
                      <w:sz w:val="21"/>
                      <w:szCs w:val="21"/>
                    </w:rPr>
                    <w:t>类别</w:t>
                  </w:r>
                </w:p>
              </w:tc>
              <w:tc>
                <w:tcPr>
                  <w:tcW w:w="2429" w:type="pct"/>
                  <w:noWrap w:val="0"/>
                  <w:vAlign w:val="center"/>
                </w:tcPr>
                <w:p w14:paraId="105841FF">
                  <w:pPr>
                    <w:spacing w:line="240" w:lineRule="auto"/>
                    <w:jc w:val="center"/>
                    <w:rPr>
                      <w:b/>
                      <w:color w:val="auto"/>
                      <w:sz w:val="21"/>
                      <w:szCs w:val="21"/>
                    </w:rPr>
                  </w:pPr>
                  <w:r>
                    <w:rPr>
                      <w:b/>
                      <w:color w:val="auto"/>
                      <w:sz w:val="21"/>
                      <w:szCs w:val="21"/>
                    </w:rPr>
                    <w:t>生态环境准入清单</w:t>
                  </w:r>
                </w:p>
              </w:tc>
              <w:tc>
                <w:tcPr>
                  <w:tcW w:w="1608" w:type="pct"/>
                  <w:noWrap w:val="0"/>
                  <w:vAlign w:val="center"/>
                </w:tcPr>
                <w:p w14:paraId="6F2C6FF3">
                  <w:pPr>
                    <w:spacing w:line="240" w:lineRule="auto"/>
                    <w:jc w:val="center"/>
                    <w:rPr>
                      <w:b/>
                      <w:color w:val="auto"/>
                      <w:sz w:val="21"/>
                      <w:szCs w:val="21"/>
                    </w:rPr>
                  </w:pPr>
                  <w:r>
                    <w:rPr>
                      <w:b/>
                      <w:color w:val="auto"/>
                      <w:sz w:val="21"/>
                      <w:szCs w:val="21"/>
                    </w:rPr>
                    <w:t>对照分析</w:t>
                  </w:r>
                </w:p>
              </w:tc>
              <w:tc>
                <w:tcPr>
                  <w:tcW w:w="564" w:type="pct"/>
                  <w:noWrap w:val="0"/>
                  <w:vAlign w:val="center"/>
                </w:tcPr>
                <w:p w14:paraId="4C6B47A4">
                  <w:pPr>
                    <w:spacing w:line="240" w:lineRule="auto"/>
                    <w:jc w:val="center"/>
                    <w:rPr>
                      <w:b/>
                      <w:color w:val="auto"/>
                      <w:sz w:val="21"/>
                      <w:szCs w:val="21"/>
                    </w:rPr>
                  </w:pPr>
                  <w:r>
                    <w:rPr>
                      <w:b/>
                      <w:color w:val="auto"/>
                      <w:sz w:val="21"/>
                      <w:szCs w:val="21"/>
                    </w:rPr>
                    <w:t>是否满足要求</w:t>
                  </w:r>
                </w:p>
              </w:tc>
            </w:tr>
            <w:tr w14:paraId="269EC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0"/>
                  <w:vAlign w:val="center"/>
                </w:tcPr>
                <w:p w14:paraId="78EAFF07">
                  <w:pPr>
                    <w:spacing w:line="240" w:lineRule="auto"/>
                    <w:jc w:val="center"/>
                    <w:rPr>
                      <w:color w:val="auto"/>
                      <w:sz w:val="21"/>
                      <w:szCs w:val="21"/>
                    </w:rPr>
                  </w:pPr>
                  <w:r>
                    <w:rPr>
                      <w:color w:val="auto"/>
                      <w:sz w:val="21"/>
                      <w:szCs w:val="21"/>
                    </w:rPr>
                    <w:t>空间布局约束</w:t>
                  </w:r>
                </w:p>
              </w:tc>
              <w:tc>
                <w:tcPr>
                  <w:tcW w:w="2429" w:type="pct"/>
                  <w:noWrap w:val="0"/>
                  <w:vAlign w:val="center"/>
                </w:tcPr>
                <w:p w14:paraId="63AC220E">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1</w:t>
                  </w:r>
                  <w:r>
                    <w:rPr>
                      <w:color w:val="auto"/>
                      <w:sz w:val="21"/>
                      <w:szCs w:val="21"/>
                      <w:lang w:val="en-US" w:eastAsia="zh-CN"/>
                    </w:rPr>
                    <w:t>）由于园区现状大气因子</w:t>
                  </w:r>
                  <w:r>
                    <w:rPr>
                      <w:rFonts w:hint="default"/>
                      <w:color w:val="auto"/>
                      <w:sz w:val="21"/>
                      <w:szCs w:val="21"/>
                      <w:lang w:val="en-US" w:eastAsia="zh-CN"/>
                    </w:rPr>
                    <w:t>HCl</w:t>
                  </w:r>
                  <w:r>
                    <w:rPr>
                      <w:color w:val="auto"/>
                      <w:sz w:val="21"/>
                      <w:szCs w:val="21"/>
                      <w:lang w:val="en-US" w:eastAsia="zh-CN"/>
                    </w:rPr>
                    <w:t>超标</w:t>
                  </w:r>
                  <w:r>
                    <w:rPr>
                      <w:rFonts w:hint="eastAsia"/>
                      <w:color w:val="auto"/>
                      <w:sz w:val="21"/>
                      <w:szCs w:val="21"/>
                      <w:lang w:val="en-US" w:eastAsia="zh-CN"/>
                    </w:rPr>
                    <w:t>，</w:t>
                  </w:r>
                  <w:r>
                    <w:rPr>
                      <w:color w:val="auto"/>
                      <w:sz w:val="21"/>
                      <w:szCs w:val="21"/>
                      <w:lang w:val="en-US" w:eastAsia="zh-CN"/>
                    </w:rPr>
                    <w:t>故在</w:t>
                  </w:r>
                  <w:r>
                    <w:rPr>
                      <w:rFonts w:hint="default"/>
                      <w:color w:val="auto"/>
                      <w:sz w:val="21"/>
                      <w:szCs w:val="21"/>
                      <w:lang w:val="en-US" w:eastAsia="zh-CN"/>
                    </w:rPr>
                    <w:t>HCl</w:t>
                  </w:r>
                  <w:r>
                    <w:rPr>
                      <w:color w:val="auto"/>
                      <w:sz w:val="21"/>
                      <w:szCs w:val="21"/>
                      <w:lang w:val="en-US" w:eastAsia="zh-CN"/>
                    </w:rPr>
                    <w:t>监测结果达到相应环境空气质量</w:t>
                  </w:r>
                </w:p>
                <w:p w14:paraId="2D31264C">
                  <w:pPr>
                    <w:spacing w:line="240" w:lineRule="auto"/>
                    <w:jc w:val="left"/>
                    <w:rPr>
                      <w:color w:val="auto"/>
                      <w:sz w:val="21"/>
                      <w:szCs w:val="21"/>
                    </w:rPr>
                  </w:pPr>
                  <w:r>
                    <w:rPr>
                      <w:color w:val="auto"/>
                      <w:sz w:val="21"/>
                      <w:szCs w:val="21"/>
                      <w:lang w:val="en-US" w:eastAsia="zh-CN"/>
                    </w:rPr>
                    <w:t>限制值之前禁止引进排放</w:t>
                  </w:r>
                  <w:r>
                    <w:rPr>
                      <w:rFonts w:hint="default"/>
                      <w:color w:val="auto"/>
                      <w:sz w:val="21"/>
                      <w:szCs w:val="21"/>
                      <w:lang w:val="en-US" w:eastAsia="zh-CN"/>
                    </w:rPr>
                    <w:t>HCl</w:t>
                  </w:r>
                  <w:r>
                    <w:rPr>
                      <w:color w:val="auto"/>
                      <w:sz w:val="21"/>
                      <w:szCs w:val="21"/>
                      <w:lang w:val="en-US" w:eastAsia="zh-CN"/>
                    </w:rPr>
                    <w:t>大气污染物</w:t>
                  </w:r>
                </w:p>
                <w:p w14:paraId="42A7BCEC">
                  <w:pPr>
                    <w:spacing w:line="240" w:lineRule="auto"/>
                    <w:jc w:val="left"/>
                    <w:rPr>
                      <w:color w:val="auto"/>
                      <w:sz w:val="21"/>
                      <w:szCs w:val="21"/>
                    </w:rPr>
                  </w:pPr>
                  <w:r>
                    <w:rPr>
                      <w:color w:val="auto"/>
                      <w:sz w:val="21"/>
                      <w:szCs w:val="21"/>
                      <w:lang w:val="en-US" w:eastAsia="zh-CN"/>
                    </w:rPr>
                    <w:t>的企业项目</w:t>
                  </w:r>
                  <w:r>
                    <w:rPr>
                      <w:rFonts w:hint="eastAsia"/>
                      <w:color w:val="auto"/>
                      <w:sz w:val="21"/>
                      <w:szCs w:val="21"/>
                      <w:lang w:val="en-US" w:eastAsia="zh-CN"/>
                    </w:rPr>
                    <w:t>；</w:t>
                  </w:r>
                </w:p>
                <w:p w14:paraId="570DD5DA">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2</w:t>
                  </w:r>
                  <w:r>
                    <w:rPr>
                      <w:color w:val="auto"/>
                      <w:sz w:val="21"/>
                      <w:szCs w:val="21"/>
                      <w:lang w:val="en-US" w:eastAsia="zh-CN"/>
                    </w:rPr>
                    <w:t>）禁止引进其他属于国家和地方产业政策淘汰类或禁止类的建设项目和工艺</w:t>
                  </w:r>
                  <w:r>
                    <w:rPr>
                      <w:rFonts w:hint="eastAsia"/>
                      <w:color w:val="auto"/>
                      <w:sz w:val="21"/>
                      <w:szCs w:val="21"/>
                      <w:lang w:val="en-US" w:eastAsia="zh-CN"/>
                    </w:rPr>
                    <w:t>；</w:t>
                  </w:r>
                </w:p>
                <w:p w14:paraId="77E45B6D">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3</w:t>
                  </w:r>
                  <w:r>
                    <w:rPr>
                      <w:color w:val="auto"/>
                      <w:sz w:val="21"/>
                      <w:szCs w:val="21"/>
                      <w:lang w:val="en-US" w:eastAsia="zh-CN"/>
                    </w:rPr>
                    <w:t>）未开展环境影响评价、未经环境保护</w:t>
                  </w:r>
                </w:p>
                <w:p w14:paraId="208143D3">
                  <w:pPr>
                    <w:spacing w:line="240" w:lineRule="auto"/>
                    <w:jc w:val="left"/>
                    <w:rPr>
                      <w:color w:val="auto"/>
                      <w:sz w:val="21"/>
                      <w:szCs w:val="21"/>
                    </w:rPr>
                  </w:pPr>
                  <w:r>
                    <w:rPr>
                      <w:color w:val="auto"/>
                      <w:sz w:val="21"/>
                      <w:szCs w:val="21"/>
                      <w:lang w:val="en-US" w:eastAsia="zh-CN"/>
                    </w:rPr>
                    <w:t>行政主管部门批准的企业项目禁止建设</w:t>
                  </w:r>
                  <w:r>
                    <w:rPr>
                      <w:rFonts w:hint="eastAsia"/>
                      <w:color w:val="auto"/>
                      <w:sz w:val="21"/>
                      <w:szCs w:val="21"/>
                      <w:lang w:val="en-US" w:eastAsia="zh-CN"/>
                    </w:rPr>
                    <w:t>；</w:t>
                  </w:r>
                </w:p>
                <w:p w14:paraId="14DE4983">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4</w:t>
                  </w:r>
                  <w:r>
                    <w:rPr>
                      <w:color w:val="auto"/>
                      <w:sz w:val="21"/>
                      <w:szCs w:val="21"/>
                      <w:lang w:val="en-US" w:eastAsia="zh-CN"/>
                    </w:rPr>
                    <w:t>）不符合《太湖流域管理条例》（中华</w:t>
                  </w:r>
                </w:p>
                <w:p w14:paraId="1B3B9687">
                  <w:pPr>
                    <w:spacing w:line="240" w:lineRule="auto"/>
                    <w:jc w:val="left"/>
                    <w:rPr>
                      <w:color w:val="auto"/>
                      <w:sz w:val="21"/>
                      <w:szCs w:val="21"/>
                    </w:rPr>
                  </w:pPr>
                  <w:r>
                    <w:rPr>
                      <w:color w:val="auto"/>
                      <w:sz w:val="21"/>
                      <w:szCs w:val="21"/>
                      <w:lang w:val="en-US" w:eastAsia="zh-CN"/>
                    </w:rPr>
                    <w:t>人民共和国</w:t>
                  </w:r>
                  <w:bookmarkStart w:id="82" w:name="_GoBack"/>
                  <w:bookmarkEnd w:id="82"/>
                  <w:r>
                    <w:rPr>
                      <w:color w:val="auto"/>
                      <w:sz w:val="21"/>
                      <w:szCs w:val="21"/>
                      <w:lang w:val="en-US" w:eastAsia="zh-CN"/>
                    </w:rPr>
                    <w:t>国务院令第</w:t>
                  </w:r>
                  <w:r>
                    <w:rPr>
                      <w:rFonts w:hint="default"/>
                      <w:color w:val="auto"/>
                      <w:sz w:val="21"/>
                      <w:szCs w:val="21"/>
                      <w:lang w:val="en-US" w:eastAsia="zh-CN"/>
                    </w:rPr>
                    <w:t>604</w:t>
                  </w:r>
                  <w:r>
                    <w:rPr>
                      <w:color w:val="auto"/>
                      <w:sz w:val="21"/>
                      <w:szCs w:val="21"/>
                      <w:lang w:val="en-US" w:eastAsia="zh-CN"/>
                    </w:rPr>
                    <w:t>号）、《江苏省太湖水污染防治条例》等相关太湖流域管理规定的项目禁止建设。园区内禁止含</w:t>
                  </w:r>
                </w:p>
                <w:p w14:paraId="66D9F7AD">
                  <w:pPr>
                    <w:spacing w:line="240" w:lineRule="auto"/>
                    <w:jc w:val="left"/>
                    <w:rPr>
                      <w:color w:val="auto"/>
                      <w:sz w:val="21"/>
                      <w:szCs w:val="21"/>
                    </w:rPr>
                  </w:pPr>
                  <w:r>
                    <w:rPr>
                      <w:color w:val="auto"/>
                      <w:sz w:val="21"/>
                      <w:szCs w:val="21"/>
                      <w:lang w:val="en-US" w:eastAsia="zh-CN"/>
                    </w:rPr>
                    <w:t>氮、磷废水排放的企业入区</w:t>
                  </w:r>
                  <w:r>
                    <w:rPr>
                      <w:rFonts w:hint="eastAsia"/>
                      <w:color w:val="auto"/>
                      <w:sz w:val="21"/>
                      <w:szCs w:val="21"/>
                      <w:lang w:val="en-US" w:eastAsia="zh-CN"/>
                    </w:rPr>
                    <w:t>；</w:t>
                  </w:r>
                </w:p>
                <w:p w14:paraId="4E0EFE89">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5</w:t>
                  </w:r>
                  <w:r>
                    <w:rPr>
                      <w:color w:val="auto"/>
                      <w:sz w:val="21"/>
                      <w:szCs w:val="21"/>
                      <w:lang w:val="en-US" w:eastAsia="zh-CN"/>
                    </w:rPr>
                    <w:t>）改建、扩建和技术改造项目属于下列</w:t>
                  </w:r>
                </w:p>
                <w:p w14:paraId="260449E6">
                  <w:pPr>
                    <w:spacing w:line="240" w:lineRule="auto"/>
                    <w:jc w:val="left"/>
                    <w:rPr>
                      <w:color w:val="auto"/>
                      <w:sz w:val="21"/>
                      <w:szCs w:val="21"/>
                    </w:rPr>
                  </w:pPr>
                  <w:r>
                    <w:rPr>
                      <w:color w:val="auto"/>
                      <w:sz w:val="21"/>
                      <w:szCs w:val="21"/>
                      <w:lang w:val="en-US" w:eastAsia="zh-CN"/>
                    </w:rPr>
                    <w:t>情况之一的禁止建设：①无法通过采取</w:t>
                  </w:r>
                  <w:r>
                    <w:rPr>
                      <w:rFonts w:hint="default"/>
                      <w:color w:val="auto"/>
                      <w:sz w:val="21"/>
                      <w:szCs w:val="21"/>
                      <w:lang w:val="en-US" w:eastAsia="zh-CN"/>
                    </w:rPr>
                    <w:t>“</w:t>
                  </w:r>
                  <w:r>
                    <w:rPr>
                      <w:color w:val="auto"/>
                      <w:sz w:val="21"/>
                      <w:szCs w:val="21"/>
                      <w:lang w:val="en-US" w:eastAsia="zh-CN"/>
                    </w:rPr>
                    <w:t>以</w:t>
                  </w:r>
                </w:p>
                <w:p w14:paraId="044C9E0B">
                  <w:pPr>
                    <w:spacing w:line="240" w:lineRule="auto"/>
                    <w:jc w:val="left"/>
                    <w:rPr>
                      <w:color w:val="auto"/>
                      <w:sz w:val="21"/>
                      <w:szCs w:val="21"/>
                    </w:rPr>
                  </w:pPr>
                  <w:r>
                    <w:rPr>
                      <w:color w:val="auto"/>
                      <w:sz w:val="21"/>
                      <w:szCs w:val="21"/>
                      <w:lang w:val="en-US" w:eastAsia="zh-CN"/>
                    </w:rPr>
                    <w:t>新带老</w:t>
                  </w:r>
                  <w:r>
                    <w:rPr>
                      <w:rFonts w:hint="default"/>
                      <w:color w:val="auto"/>
                      <w:sz w:val="21"/>
                      <w:szCs w:val="21"/>
                      <w:lang w:val="en-US" w:eastAsia="zh-CN"/>
                    </w:rPr>
                    <w:t>”</w:t>
                  </w:r>
                  <w:r>
                    <w:rPr>
                      <w:color w:val="auto"/>
                      <w:sz w:val="21"/>
                      <w:szCs w:val="21"/>
                      <w:lang w:val="en-US" w:eastAsia="zh-CN"/>
                    </w:rPr>
                    <w:t>措施，实现增产不增污、削减污染</w:t>
                  </w:r>
                </w:p>
                <w:p w14:paraId="1CD9B64F">
                  <w:pPr>
                    <w:spacing w:line="240" w:lineRule="auto"/>
                    <w:jc w:val="left"/>
                    <w:rPr>
                      <w:color w:val="auto"/>
                      <w:sz w:val="21"/>
                      <w:szCs w:val="21"/>
                    </w:rPr>
                  </w:pPr>
                  <w:r>
                    <w:rPr>
                      <w:color w:val="auto"/>
                      <w:sz w:val="21"/>
                      <w:szCs w:val="21"/>
                      <w:lang w:val="en-US" w:eastAsia="zh-CN"/>
                    </w:rPr>
                    <w:t>负荷的建设项目；②不履行环保</w:t>
                  </w:r>
                  <w:r>
                    <w:rPr>
                      <w:rFonts w:hint="default"/>
                      <w:color w:val="auto"/>
                      <w:sz w:val="21"/>
                      <w:szCs w:val="21"/>
                      <w:lang w:val="en-US" w:eastAsia="zh-CN"/>
                    </w:rPr>
                    <w:t>“</w:t>
                  </w:r>
                  <w:r>
                    <w:rPr>
                      <w:color w:val="auto"/>
                      <w:sz w:val="21"/>
                      <w:szCs w:val="21"/>
                      <w:lang w:val="en-US" w:eastAsia="zh-CN"/>
                    </w:rPr>
                    <w:t>三同时</w:t>
                  </w:r>
                  <w:r>
                    <w:rPr>
                      <w:rFonts w:hint="default"/>
                      <w:color w:val="auto"/>
                      <w:sz w:val="21"/>
                      <w:szCs w:val="21"/>
                      <w:lang w:val="en-US" w:eastAsia="zh-CN"/>
                    </w:rPr>
                    <w:t>”</w:t>
                  </w:r>
                </w:p>
                <w:p w14:paraId="53364D39">
                  <w:pPr>
                    <w:spacing w:line="240" w:lineRule="auto"/>
                    <w:jc w:val="left"/>
                    <w:rPr>
                      <w:color w:val="auto"/>
                      <w:sz w:val="21"/>
                      <w:szCs w:val="21"/>
                    </w:rPr>
                  </w:pPr>
                  <w:r>
                    <w:rPr>
                      <w:color w:val="auto"/>
                      <w:sz w:val="21"/>
                      <w:szCs w:val="21"/>
                      <w:lang w:val="en-US" w:eastAsia="zh-CN"/>
                    </w:rPr>
                    <w:t>的建设项目；③建设单位目前污染物排放</w:t>
                  </w:r>
                </w:p>
                <w:p w14:paraId="2148A77C">
                  <w:pPr>
                    <w:spacing w:line="240" w:lineRule="auto"/>
                    <w:jc w:val="left"/>
                    <w:rPr>
                      <w:color w:val="auto"/>
                      <w:sz w:val="21"/>
                      <w:szCs w:val="21"/>
                    </w:rPr>
                  </w:pPr>
                  <w:r>
                    <w:rPr>
                      <w:color w:val="auto"/>
                      <w:sz w:val="21"/>
                      <w:szCs w:val="21"/>
                      <w:lang w:val="en-US" w:eastAsia="zh-CN"/>
                    </w:rPr>
                    <w:t>超过标准或总量控制指标，需要配套的污</w:t>
                  </w:r>
                </w:p>
                <w:p w14:paraId="6041C4D4">
                  <w:pPr>
                    <w:spacing w:line="240" w:lineRule="auto"/>
                    <w:jc w:val="left"/>
                    <w:rPr>
                      <w:color w:val="auto"/>
                      <w:sz w:val="21"/>
                      <w:szCs w:val="21"/>
                    </w:rPr>
                  </w:pPr>
                  <w:r>
                    <w:rPr>
                      <w:color w:val="auto"/>
                      <w:sz w:val="21"/>
                      <w:szCs w:val="21"/>
                      <w:lang w:val="en-US" w:eastAsia="zh-CN"/>
                    </w:rPr>
                    <w:t>染防治设施和生态保护措施未落实的建</w:t>
                  </w:r>
                </w:p>
                <w:p w14:paraId="48C5296B">
                  <w:pPr>
                    <w:spacing w:line="240" w:lineRule="auto"/>
                    <w:jc w:val="left"/>
                    <w:rPr>
                      <w:color w:val="auto"/>
                      <w:sz w:val="21"/>
                      <w:szCs w:val="21"/>
                    </w:rPr>
                  </w:pPr>
                  <w:r>
                    <w:rPr>
                      <w:color w:val="auto"/>
                      <w:sz w:val="21"/>
                      <w:szCs w:val="21"/>
                      <w:lang w:val="en-US" w:eastAsia="zh-CN"/>
                    </w:rPr>
                    <w:t>设项目</w:t>
                  </w:r>
                  <w:r>
                    <w:rPr>
                      <w:rFonts w:hint="eastAsia"/>
                      <w:color w:val="auto"/>
                      <w:sz w:val="21"/>
                      <w:szCs w:val="21"/>
                      <w:lang w:val="en-US" w:eastAsia="zh-CN"/>
                    </w:rPr>
                    <w:t>。</w:t>
                  </w:r>
                </w:p>
              </w:tc>
              <w:tc>
                <w:tcPr>
                  <w:tcW w:w="1608" w:type="pct"/>
                  <w:noWrap w:val="0"/>
                  <w:vAlign w:val="center"/>
                </w:tcPr>
                <w:p w14:paraId="51CC0D17">
                  <w:pPr>
                    <w:numPr>
                      <w:ilvl w:val="0"/>
                      <w:numId w:val="6"/>
                    </w:numPr>
                    <w:spacing w:line="240" w:lineRule="auto"/>
                    <w:jc w:val="left"/>
                    <w:rPr>
                      <w:rFonts w:hint="eastAsia"/>
                      <w:color w:val="auto"/>
                      <w:sz w:val="21"/>
                      <w:szCs w:val="21"/>
                      <w:lang w:val="en-US" w:eastAsia="zh-CN"/>
                    </w:rPr>
                  </w:pPr>
                  <w:r>
                    <w:rPr>
                      <w:rFonts w:hint="eastAsia"/>
                      <w:color w:val="auto"/>
                      <w:sz w:val="21"/>
                      <w:szCs w:val="21"/>
                      <w:lang w:val="en-US" w:eastAsia="zh-CN"/>
                    </w:rPr>
                    <w:t>本项目排放废气为非甲烷总烃、颗粒物、氨和臭气；</w:t>
                  </w:r>
                </w:p>
                <w:p w14:paraId="11855DA4">
                  <w:pPr>
                    <w:numPr>
                      <w:ilvl w:val="0"/>
                      <w:numId w:val="6"/>
                    </w:numPr>
                    <w:spacing w:line="240" w:lineRule="auto"/>
                    <w:jc w:val="left"/>
                    <w:rPr>
                      <w:rFonts w:hint="default"/>
                      <w:color w:val="auto"/>
                      <w:sz w:val="21"/>
                      <w:szCs w:val="21"/>
                      <w:lang w:val="en-US" w:eastAsia="zh-CN"/>
                    </w:rPr>
                  </w:pPr>
                  <w:r>
                    <w:rPr>
                      <w:rFonts w:hint="eastAsia"/>
                      <w:color w:val="auto"/>
                      <w:sz w:val="21"/>
                      <w:szCs w:val="21"/>
                      <w:lang w:val="en-US" w:eastAsia="zh-CN"/>
                    </w:rPr>
                    <w:t>本项目</w:t>
                  </w:r>
                  <w:r>
                    <w:rPr>
                      <w:rFonts w:hint="eastAsia" w:ascii="Times New Roman" w:hAnsi="Times New Roman" w:eastAsia="宋体" w:cs="Times New Roman"/>
                      <w:color w:val="auto"/>
                      <w:kern w:val="2"/>
                      <w:sz w:val="21"/>
                      <w:szCs w:val="21"/>
                      <w:lang w:val="en-US" w:eastAsia="zh-CN" w:bidi="ar-SA"/>
                    </w:rPr>
                    <w:t>为实验室建设项目，以代谢工程和合成生物学技术改造基因工程菌实验为主，不属于</w:t>
                  </w:r>
                  <w:r>
                    <w:rPr>
                      <w:color w:val="auto"/>
                      <w:sz w:val="21"/>
                      <w:szCs w:val="21"/>
                      <w:lang w:val="en-US" w:eastAsia="zh-CN"/>
                    </w:rPr>
                    <w:t>国家和地方产业政策淘汰类或禁止类的建设项目和工艺</w:t>
                  </w:r>
                  <w:r>
                    <w:rPr>
                      <w:rFonts w:hint="eastAsia"/>
                      <w:color w:val="auto"/>
                      <w:sz w:val="21"/>
                      <w:szCs w:val="21"/>
                      <w:lang w:val="en-US" w:eastAsia="zh-CN"/>
                    </w:rPr>
                    <w:t>；</w:t>
                  </w:r>
                </w:p>
                <w:p w14:paraId="2292943F">
                  <w:pPr>
                    <w:numPr>
                      <w:ilvl w:val="0"/>
                      <w:numId w:val="6"/>
                    </w:numPr>
                    <w:spacing w:line="240" w:lineRule="auto"/>
                    <w:jc w:val="left"/>
                    <w:rPr>
                      <w:color w:val="auto"/>
                      <w:sz w:val="21"/>
                      <w:szCs w:val="21"/>
                    </w:rPr>
                  </w:pPr>
                  <w:r>
                    <w:rPr>
                      <w:rFonts w:hint="eastAsia"/>
                      <w:color w:val="auto"/>
                      <w:sz w:val="21"/>
                      <w:szCs w:val="21"/>
                      <w:lang w:val="en-US" w:eastAsia="zh-CN"/>
                    </w:rPr>
                    <w:t>本项目正在开展</w:t>
                  </w:r>
                  <w:r>
                    <w:rPr>
                      <w:color w:val="auto"/>
                      <w:sz w:val="21"/>
                      <w:szCs w:val="21"/>
                      <w:lang w:val="en-US" w:eastAsia="zh-CN"/>
                    </w:rPr>
                    <w:t>环境影响评价</w:t>
                  </w:r>
                  <w:r>
                    <w:rPr>
                      <w:rFonts w:hint="eastAsia"/>
                      <w:color w:val="auto"/>
                      <w:sz w:val="21"/>
                      <w:szCs w:val="21"/>
                      <w:lang w:val="en-US" w:eastAsia="zh-CN"/>
                    </w:rPr>
                    <w:t>；</w:t>
                  </w:r>
                </w:p>
                <w:p w14:paraId="427A8381">
                  <w:pPr>
                    <w:numPr>
                      <w:ilvl w:val="0"/>
                      <w:numId w:val="6"/>
                    </w:numPr>
                    <w:spacing w:line="240" w:lineRule="auto"/>
                    <w:jc w:val="left"/>
                    <w:rPr>
                      <w:rFonts w:hint="default"/>
                      <w:color w:val="auto"/>
                      <w:sz w:val="21"/>
                      <w:szCs w:val="21"/>
                      <w:lang w:val="en-US" w:eastAsia="zh-CN"/>
                    </w:rPr>
                  </w:pPr>
                  <w:r>
                    <w:rPr>
                      <w:rFonts w:hint="eastAsia"/>
                      <w:color w:val="auto"/>
                      <w:sz w:val="21"/>
                      <w:szCs w:val="21"/>
                      <w:lang w:val="en-US" w:eastAsia="zh-CN"/>
                    </w:rPr>
                    <w:t>本项目</w:t>
                  </w:r>
                  <w:r>
                    <w:rPr>
                      <w:rFonts w:hint="eastAsia" w:ascii="Times New Roman" w:hAnsi="Times New Roman" w:eastAsia="宋体" w:cs="Times New Roman"/>
                      <w:color w:val="auto"/>
                      <w:kern w:val="2"/>
                      <w:sz w:val="21"/>
                      <w:szCs w:val="21"/>
                      <w:lang w:val="en-US" w:eastAsia="zh-CN" w:bidi="ar-SA"/>
                    </w:rPr>
                    <w:t>为实验室建设项目，不属于</w:t>
                  </w:r>
                  <w:r>
                    <w:rPr>
                      <w:color w:val="auto"/>
                      <w:sz w:val="21"/>
                      <w:szCs w:val="21"/>
                      <w:lang w:val="en-US" w:eastAsia="zh-CN"/>
                    </w:rPr>
                    <w:t>《太湖流域管理条例》（中华人民共和国国务院令第</w:t>
                  </w:r>
                  <w:r>
                    <w:rPr>
                      <w:rFonts w:hint="default"/>
                      <w:color w:val="auto"/>
                      <w:sz w:val="21"/>
                      <w:szCs w:val="21"/>
                      <w:lang w:val="en-US" w:eastAsia="zh-CN"/>
                    </w:rPr>
                    <w:t>604</w:t>
                  </w:r>
                  <w:r>
                    <w:rPr>
                      <w:color w:val="auto"/>
                      <w:sz w:val="21"/>
                      <w:szCs w:val="21"/>
                      <w:lang w:val="en-US" w:eastAsia="zh-CN"/>
                    </w:rPr>
                    <w:t>号）、《江苏省太湖水污染防治条例》等相关太湖流域管理规定的</w:t>
                  </w:r>
                  <w:r>
                    <w:rPr>
                      <w:rFonts w:hint="eastAsia"/>
                      <w:color w:val="auto"/>
                      <w:sz w:val="21"/>
                      <w:szCs w:val="21"/>
                      <w:lang w:val="en-US" w:eastAsia="zh-CN"/>
                    </w:rPr>
                    <w:t>禁止建设的</w:t>
                  </w:r>
                  <w:r>
                    <w:rPr>
                      <w:color w:val="auto"/>
                      <w:sz w:val="21"/>
                      <w:szCs w:val="21"/>
                      <w:lang w:val="en-US" w:eastAsia="zh-CN"/>
                    </w:rPr>
                    <w:t xml:space="preserve">项目中华人民共和国国务院令第 </w:t>
                  </w:r>
                  <w:r>
                    <w:rPr>
                      <w:rFonts w:hint="default"/>
                      <w:color w:val="auto"/>
                      <w:sz w:val="21"/>
                      <w:szCs w:val="21"/>
                      <w:lang w:val="en-US" w:eastAsia="zh-CN"/>
                    </w:rPr>
                    <w:t xml:space="preserve">604 </w:t>
                  </w:r>
                  <w:r>
                    <w:rPr>
                      <w:color w:val="auto"/>
                      <w:sz w:val="21"/>
                      <w:szCs w:val="21"/>
                      <w:lang w:val="en-US" w:eastAsia="zh-CN"/>
                    </w:rPr>
                    <w:t>号）、《江苏省太湖水污染防治条例》等相关太湖流域管理规定的项</w:t>
                  </w:r>
                  <w:r>
                    <w:rPr>
                      <w:rFonts w:hint="eastAsia"/>
                      <w:color w:val="auto"/>
                      <w:sz w:val="21"/>
                      <w:szCs w:val="21"/>
                      <w:lang w:val="en-US" w:eastAsia="zh-CN"/>
                    </w:rPr>
                    <w:t>禁止建设项</w:t>
                  </w:r>
                  <w:r>
                    <w:rPr>
                      <w:color w:val="auto"/>
                      <w:sz w:val="21"/>
                      <w:szCs w:val="21"/>
                      <w:lang w:val="en-US" w:eastAsia="zh-CN"/>
                    </w:rPr>
                    <w:t>目</w:t>
                  </w:r>
                  <w:r>
                    <w:rPr>
                      <w:rFonts w:hint="eastAsia"/>
                      <w:color w:val="auto"/>
                      <w:sz w:val="21"/>
                      <w:szCs w:val="21"/>
                      <w:lang w:val="en-US" w:eastAsia="zh-CN"/>
                    </w:rPr>
                    <w:t>。本项目排放的污水为生活污水；</w:t>
                  </w:r>
                </w:p>
                <w:p w14:paraId="75BBF327">
                  <w:pPr>
                    <w:numPr>
                      <w:ilvl w:val="0"/>
                      <w:numId w:val="6"/>
                    </w:numPr>
                    <w:spacing w:line="240" w:lineRule="auto"/>
                    <w:jc w:val="left"/>
                    <w:rPr>
                      <w:rFonts w:hint="default"/>
                      <w:color w:val="auto"/>
                      <w:sz w:val="21"/>
                      <w:szCs w:val="21"/>
                      <w:lang w:val="en-US" w:eastAsia="zh-CN"/>
                    </w:rPr>
                  </w:pPr>
                  <w:r>
                    <w:rPr>
                      <w:rFonts w:hint="eastAsia"/>
                      <w:color w:val="auto"/>
                      <w:sz w:val="21"/>
                      <w:szCs w:val="21"/>
                      <w:lang w:val="en-US" w:eastAsia="zh-CN"/>
                    </w:rPr>
                    <w:t>本项目为新建项目。</w:t>
                  </w:r>
                </w:p>
              </w:tc>
              <w:tc>
                <w:tcPr>
                  <w:tcW w:w="564" w:type="pct"/>
                  <w:noWrap w:val="0"/>
                  <w:vAlign w:val="center"/>
                </w:tcPr>
                <w:p w14:paraId="277E06CC">
                  <w:pPr>
                    <w:spacing w:line="240" w:lineRule="auto"/>
                    <w:jc w:val="center"/>
                    <w:rPr>
                      <w:color w:val="auto"/>
                      <w:sz w:val="21"/>
                      <w:szCs w:val="21"/>
                    </w:rPr>
                  </w:pPr>
                  <w:r>
                    <w:rPr>
                      <w:color w:val="auto"/>
                      <w:sz w:val="21"/>
                      <w:szCs w:val="21"/>
                    </w:rPr>
                    <w:t>相符</w:t>
                  </w:r>
                </w:p>
              </w:tc>
            </w:tr>
            <w:tr w14:paraId="11546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0"/>
                  <w:vAlign w:val="center"/>
                </w:tcPr>
                <w:p w14:paraId="37D79E74">
                  <w:pPr>
                    <w:spacing w:line="240" w:lineRule="auto"/>
                    <w:jc w:val="center"/>
                    <w:rPr>
                      <w:color w:val="auto"/>
                      <w:sz w:val="21"/>
                      <w:szCs w:val="21"/>
                    </w:rPr>
                  </w:pPr>
                  <w:r>
                    <w:rPr>
                      <w:color w:val="auto"/>
                      <w:sz w:val="21"/>
                      <w:szCs w:val="21"/>
                    </w:rPr>
                    <w:t>污染物排放管控</w:t>
                  </w:r>
                </w:p>
              </w:tc>
              <w:tc>
                <w:tcPr>
                  <w:tcW w:w="2429" w:type="pct"/>
                  <w:noWrap w:val="0"/>
                  <w:vAlign w:val="center"/>
                </w:tcPr>
                <w:p w14:paraId="65B53539">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1</w:t>
                  </w:r>
                  <w:r>
                    <w:rPr>
                      <w:color w:val="auto"/>
                      <w:sz w:val="21"/>
                      <w:szCs w:val="21"/>
                      <w:lang w:val="en-US" w:eastAsia="zh-CN"/>
                    </w:rPr>
                    <w:t>）严格实施污染物总量控制制度，根据区域环境质量改善目标，采取有效措施减少主要污染物排放总量，确保区域环境质量持续改善</w:t>
                  </w:r>
                  <w:r>
                    <w:rPr>
                      <w:rFonts w:hint="eastAsia"/>
                      <w:color w:val="auto"/>
                      <w:sz w:val="21"/>
                      <w:szCs w:val="21"/>
                      <w:lang w:val="en-US" w:eastAsia="zh-CN"/>
                    </w:rPr>
                    <w:t>；</w:t>
                  </w:r>
                </w:p>
                <w:p w14:paraId="32BD3A63">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2</w:t>
                  </w:r>
                  <w:r>
                    <w:rPr>
                      <w:color w:val="auto"/>
                      <w:sz w:val="21"/>
                      <w:szCs w:val="21"/>
                      <w:lang w:val="en-US" w:eastAsia="zh-CN"/>
                    </w:rPr>
                    <w:t>）园区污染物排放总量不得突破环评报告及批复的总量。</w:t>
                  </w:r>
                </w:p>
              </w:tc>
              <w:tc>
                <w:tcPr>
                  <w:tcW w:w="1608" w:type="pct"/>
                  <w:noWrap w:val="0"/>
                  <w:vAlign w:val="center"/>
                </w:tcPr>
                <w:p w14:paraId="115FDE88">
                  <w:pPr>
                    <w:spacing w:line="240" w:lineRule="auto"/>
                    <w:jc w:val="left"/>
                    <w:rPr>
                      <w:rFonts w:hint="default"/>
                      <w:color w:val="auto"/>
                      <w:sz w:val="21"/>
                      <w:szCs w:val="21"/>
                      <w:lang w:val="en-US" w:eastAsia="zh-CN"/>
                    </w:rPr>
                  </w:pPr>
                  <w:r>
                    <w:rPr>
                      <w:rFonts w:hint="eastAsia"/>
                      <w:color w:val="auto"/>
                      <w:sz w:val="21"/>
                      <w:szCs w:val="21"/>
                      <w:lang w:val="en-US" w:eastAsia="zh-CN"/>
                    </w:rPr>
                    <w:t>本项目产生废气为非甲烷总烃、氨、臭气和颗粒物，非甲烷总烃、氨和臭气内置活性炭吸附装置无管道通风橱处置后，车间无组织排放，颗粒物产生量较小，只做定性分析，无组织排放</w:t>
                  </w:r>
                </w:p>
              </w:tc>
              <w:tc>
                <w:tcPr>
                  <w:tcW w:w="564" w:type="pct"/>
                  <w:noWrap w:val="0"/>
                  <w:vAlign w:val="center"/>
                </w:tcPr>
                <w:p w14:paraId="099BEA94">
                  <w:pPr>
                    <w:spacing w:line="240" w:lineRule="auto"/>
                    <w:jc w:val="center"/>
                    <w:rPr>
                      <w:color w:val="auto"/>
                      <w:sz w:val="21"/>
                      <w:szCs w:val="21"/>
                    </w:rPr>
                  </w:pPr>
                  <w:r>
                    <w:rPr>
                      <w:color w:val="auto"/>
                      <w:sz w:val="21"/>
                      <w:szCs w:val="21"/>
                    </w:rPr>
                    <w:t>相符</w:t>
                  </w:r>
                </w:p>
              </w:tc>
            </w:tr>
            <w:tr w14:paraId="0740B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0"/>
                  <w:vAlign w:val="center"/>
                </w:tcPr>
                <w:p w14:paraId="5298A8DC">
                  <w:pPr>
                    <w:spacing w:line="240" w:lineRule="auto"/>
                    <w:jc w:val="center"/>
                    <w:rPr>
                      <w:color w:val="auto"/>
                      <w:sz w:val="21"/>
                      <w:szCs w:val="21"/>
                    </w:rPr>
                  </w:pPr>
                  <w:r>
                    <w:rPr>
                      <w:color w:val="auto"/>
                      <w:sz w:val="21"/>
                      <w:szCs w:val="21"/>
                    </w:rPr>
                    <w:t>环境风险防控</w:t>
                  </w:r>
                </w:p>
              </w:tc>
              <w:tc>
                <w:tcPr>
                  <w:tcW w:w="2429" w:type="pct"/>
                  <w:noWrap w:val="0"/>
                  <w:vAlign w:val="center"/>
                </w:tcPr>
                <w:p w14:paraId="1F430EBA">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1</w:t>
                  </w:r>
                  <w:r>
                    <w:rPr>
                      <w:color w:val="auto"/>
                      <w:sz w:val="21"/>
                      <w:szCs w:val="21"/>
                      <w:lang w:val="en-US" w:eastAsia="zh-CN"/>
                    </w:rPr>
                    <w:t>）园区建立环境应急体系，完善事故应急救援体系，加强应急物资装备储备，编制突发环境事件应急预案，定期开展演练</w:t>
                  </w:r>
                  <w:r>
                    <w:rPr>
                      <w:rFonts w:hint="eastAsia"/>
                      <w:color w:val="auto"/>
                      <w:sz w:val="21"/>
                      <w:szCs w:val="21"/>
                      <w:lang w:val="en-US" w:eastAsia="zh-CN"/>
                    </w:rPr>
                    <w:t>；</w:t>
                  </w:r>
                  <w:r>
                    <w:rPr>
                      <w:color w:val="auto"/>
                      <w:sz w:val="21"/>
                      <w:szCs w:val="21"/>
                      <w:lang w:val="en-US" w:eastAsia="zh-CN"/>
                    </w:rPr>
                    <w:t xml:space="preserve"> </w:t>
                  </w:r>
                </w:p>
                <w:p w14:paraId="5B1D741C">
                  <w:pPr>
                    <w:spacing w:line="240" w:lineRule="auto"/>
                    <w:jc w:val="left"/>
                    <w:rPr>
                      <w:color w:val="auto"/>
                      <w:sz w:val="21"/>
                      <w:szCs w:val="21"/>
                      <w:lang w:val="en-US" w:eastAsia="zh-CN"/>
                    </w:rPr>
                  </w:pPr>
                  <w:r>
                    <w:rPr>
                      <w:color w:val="auto"/>
                      <w:sz w:val="21"/>
                      <w:szCs w:val="21"/>
                      <w:lang w:val="en-US" w:eastAsia="zh-CN"/>
                    </w:rPr>
                    <w:t>（</w:t>
                  </w:r>
                  <w:r>
                    <w:rPr>
                      <w:rFonts w:hint="default"/>
                      <w:color w:val="auto"/>
                      <w:sz w:val="21"/>
                      <w:szCs w:val="21"/>
                      <w:lang w:val="en-US" w:eastAsia="zh-CN"/>
                    </w:rPr>
                    <w:t>2</w:t>
                  </w:r>
                  <w:r>
                    <w:rPr>
                      <w:color w:val="auto"/>
                      <w:sz w:val="21"/>
                      <w:szCs w:val="21"/>
                      <w:lang w:val="en-US" w:eastAsia="zh-CN"/>
                    </w:rPr>
                    <w:t>）生产、使用、储存危险化学品或其他存在环境风险的企事业单位，应当制定风险防范措施，编制完善突发环境事件应急预案，防止发生环境污染事故</w:t>
                  </w:r>
                  <w:r>
                    <w:rPr>
                      <w:rFonts w:hint="eastAsia"/>
                      <w:color w:val="auto"/>
                      <w:sz w:val="21"/>
                      <w:szCs w:val="21"/>
                      <w:lang w:val="en-US" w:eastAsia="zh-CN"/>
                    </w:rPr>
                    <w:t>；</w:t>
                  </w:r>
                  <w:r>
                    <w:rPr>
                      <w:color w:val="auto"/>
                      <w:sz w:val="21"/>
                      <w:szCs w:val="21"/>
                      <w:lang w:val="en-US" w:eastAsia="zh-CN"/>
                    </w:rPr>
                    <w:t xml:space="preserve"> </w:t>
                  </w:r>
                </w:p>
                <w:p w14:paraId="445208D1">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3</w:t>
                  </w:r>
                  <w:r>
                    <w:rPr>
                      <w:color w:val="auto"/>
                      <w:sz w:val="21"/>
                      <w:szCs w:val="21"/>
                      <w:lang w:val="en-US" w:eastAsia="zh-CN"/>
                    </w:rPr>
                    <w:t>）加强环境影响跟踪监测，建立健全各环境要素监控体系，完善并落实园区日常环境监测与污染源监控计划。</w:t>
                  </w:r>
                </w:p>
              </w:tc>
              <w:tc>
                <w:tcPr>
                  <w:tcW w:w="1608" w:type="pct"/>
                  <w:noWrap w:val="0"/>
                  <w:vAlign w:val="center"/>
                </w:tcPr>
                <w:p w14:paraId="1AA038DD">
                  <w:pPr>
                    <w:spacing w:line="240" w:lineRule="auto"/>
                    <w:jc w:val="both"/>
                    <w:rPr>
                      <w:rFonts w:hint="eastAsia"/>
                      <w:color w:val="auto"/>
                      <w:sz w:val="21"/>
                      <w:szCs w:val="21"/>
                      <w:vertAlign w:val="baseline"/>
                      <w:lang w:val="en-US" w:eastAsia="zh-CN"/>
                    </w:rPr>
                  </w:pPr>
                  <w:r>
                    <w:rPr>
                      <w:rFonts w:hint="eastAsia"/>
                      <w:color w:val="auto"/>
                      <w:sz w:val="21"/>
                      <w:szCs w:val="21"/>
                      <w:lang w:eastAsia="zh-CN"/>
                    </w:rPr>
                    <w:t>（</w:t>
                  </w:r>
                  <w:r>
                    <w:rPr>
                      <w:rFonts w:hint="eastAsia"/>
                      <w:color w:val="auto"/>
                      <w:sz w:val="21"/>
                      <w:szCs w:val="21"/>
                      <w:lang w:val="en-US" w:eastAsia="zh-CN"/>
                    </w:rPr>
                    <w:t>1</w:t>
                  </w:r>
                  <w:r>
                    <w:rPr>
                      <w:rFonts w:hint="eastAsia"/>
                      <w:color w:val="auto"/>
                      <w:sz w:val="21"/>
                      <w:szCs w:val="21"/>
                      <w:lang w:eastAsia="zh-CN"/>
                    </w:rPr>
                    <w:t>）</w:t>
                  </w:r>
                  <w:r>
                    <w:rPr>
                      <w:rFonts w:hint="eastAsia"/>
                      <w:color w:val="auto"/>
                      <w:sz w:val="21"/>
                      <w:szCs w:val="21"/>
                      <w:lang w:val="en-US" w:eastAsia="zh-CN"/>
                    </w:rPr>
                    <w:t>园区已建设事故应急池1832.2m</w:t>
                  </w:r>
                  <w:r>
                    <w:rPr>
                      <w:rFonts w:hint="eastAsia"/>
                      <w:color w:val="auto"/>
                      <w:sz w:val="21"/>
                      <w:szCs w:val="21"/>
                      <w:vertAlign w:val="superscript"/>
                      <w:lang w:val="en-US" w:eastAsia="zh-CN"/>
                    </w:rPr>
                    <w:t>3</w:t>
                  </w:r>
                  <w:r>
                    <w:rPr>
                      <w:rFonts w:hint="eastAsia"/>
                      <w:color w:val="auto"/>
                      <w:sz w:val="21"/>
                      <w:szCs w:val="21"/>
                      <w:vertAlign w:val="baseline"/>
                      <w:lang w:val="en-US" w:eastAsia="zh-CN"/>
                    </w:rPr>
                    <w:t>，建立完善的应急救援体系，配备完善的应急物资，定期开展演练；</w:t>
                  </w:r>
                </w:p>
                <w:p w14:paraId="30F2A9D1">
                  <w:pPr>
                    <w:spacing w:line="240" w:lineRule="auto"/>
                    <w:jc w:val="left"/>
                    <w:rPr>
                      <w:color w:val="auto"/>
                      <w:sz w:val="21"/>
                      <w:szCs w:val="21"/>
                      <w:lang w:val="en-US" w:eastAsia="zh-CN"/>
                    </w:rPr>
                  </w:pPr>
                  <w:r>
                    <w:rPr>
                      <w:rFonts w:hint="eastAsia"/>
                      <w:color w:val="auto"/>
                      <w:sz w:val="21"/>
                      <w:szCs w:val="21"/>
                      <w:vertAlign w:val="baseline"/>
                      <w:lang w:val="en-US" w:eastAsia="zh-CN"/>
                    </w:rPr>
                    <w:t>（2）</w:t>
                  </w:r>
                  <w:r>
                    <w:rPr>
                      <w:color w:val="auto"/>
                      <w:sz w:val="21"/>
                      <w:szCs w:val="21"/>
                      <w:lang w:val="en-US" w:eastAsia="zh-CN"/>
                    </w:rPr>
                    <w:t>制定风险防范措施，编制完善突发环境事件应急预案，防止发生环境污染事故</w:t>
                  </w:r>
                  <w:r>
                    <w:rPr>
                      <w:rFonts w:hint="eastAsia"/>
                      <w:color w:val="auto"/>
                      <w:sz w:val="21"/>
                      <w:szCs w:val="21"/>
                      <w:lang w:val="en-US" w:eastAsia="zh-CN"/>
                    </w:rPr>
                    <w:t>；</w:t>
                  </w:r>
                </w:p>
                <w:p w14:paraId="2B4A7647">
                  <w:pPr>
                    <w:spacing w:line="240" w:lineRule="auto"/>
                    <w:jc w:val="both"/>
                    <w:rPr>
                      <w:rFonts w:hint="default"/>
                      <w:color w:val="auto"/>
                      <w:sz w:val="21"/>
                      <w:szCs w:val="21"/>
                      <w:vertAlign w:val="baseline"/>
                      <w:lang w:val="en-US" w:eastAsia="zh-CN"/>
                    </w:rPr>
                  </w:pPr>
                  <w:r>
                    <w:rPr>
                      <w:rFonts w:hint="eastAsia"/>
                      <w:color w:val="auto"/>
                      <w:sz w:val="21"/>
                      <w:szCs w:val="21"/>
                      <w:vertAlign w:val="baseline"/>
                      <w:lang w:val="en-US" w:eastAsia="zh-CN"/>
                    </w:rPr>
                    <w:t>（3）</w:t>
                  </w:r>
                  <w:r>
                    <w:rPr>
                      <w:color w:val="auto"/>
                      <w:sz w:val="21"/>
                      <w:szCs w:val="21"/>
                      <w:lang w:val="en-US" w:eastAsia="zh-CN"/>
                    </w:rPr>
                    <w:t>园区日常环境监测与污染源监控计划</w:t>
                  </w:r>
                  <w:r>
                    <w:rPr>
                      <w:rFonts w:hint="eastAsia"/>
                      <w:color w:val="auto"/>
                      <w:sz w:val="21"/>
                      <w:szCs w:val="21"/>
                      <w:lang w:val="en-US" w:eastAsia="zh-CN"/>
                    </w:rPr>
                    <w:t>。</w:t>
                  </w:r>
                </w:p>
              </w:tc>
              <w:tc>
                <w:tcPr>
                  <w:tcW w:w="564" w:type="pct"/>
                  <w:noWrap w:val="0"/>
                  <w:vAlign w:val="center"/>
                </w:tcPr>
                <w:p w14:paraId="68737315">
                  <w:pPr>
                    <w:spacing w:line="240" w:lineRule="auto"/>
                    <w:jc w:val="center"/>
                    <w:rPr>
                      <w:color w:val="auto"/>
                      <w:sz w:val="21"/>
                      <w:szCs w:val="21"/>
                    </w:rPr>
                  </w:pPr>
                  <w:r>
                    <w:rPr>
                      <w:color w:val="auto"/>
                      <w:sz w:val="21"/>
                      <w:szCs w:val="21"/>
                    </w:rPr>
                    <w:t>相符</w:t>
                  </w:r>
                </w:p>
              </w:tc>
            </w:tr>
            <w:tr w14:paraId="71E32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noWrap w:val="0"/>
                  <w:vAlign w:val="center"/>
                </w:tcPr>
                <w:p w14:paraId="2C3D0E6E">
                  <w:pPr>
                    <w:spacing w:line="240" w:lineRule="auto"/>
                    <w:jc w:val="center"/>
                    <w:rPr>
                      <w:color w:val="auto"/>
                      <w:sz w:val="21"/>
                      <w:szCs w:val="21"/>
                    </w:rPr>
                  </w:pPr>
                  <w:r>
                    <w:rPr>
                      <w:color w:val="auto"/>
                      <w:sz w:val="21"/>
                      <w:szCs w:val="21"/>
                    </w:rPr>
                    <w:t>资源开发效率要求</w:t>
                  </w:r>
                </w:p>
              </w:tc>
              <w:tc>
                <w:tcPr>
                  <w:tcW w:w="2429" w:type="pct"/>
                  <w:noWrap w:val="0"/>
                  <w:vAlign w:val="center"/>
                </w:tcPr>
                <w:p w14:paraId="1C8B1B23">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1</w:t>
                  </w:r>
                  <w:r>
                    <w:rPr>
                      <w:color w:val="auto"/>
                      <w:sz w:val="21"/>
                      <w:szCs w:val="21"/>
                      <w:lang w:val="en-US" w:eastAsia="zh-CN"/>
                    </w:rPr>
                    <w:t>）大力倡导使用清洁能源</w:t>
                  </w:r>
                  <w:r>
                    <w:rPr>
                      <w:rFonts w:hint="eastAsia"/>
                      <w:color w:val="auto"/>
                      <w:sz w:val="21"/>
                      <w:szCs w:val="21"/>
                      <w:lang w:val="en-US" w:eastAsia="zh-CN"/>
                    </w:rPr>
                    <w:t>；</w:t>
                  </w:r>
                </w:p>
                <w:p w14:paraId="1A992E1A">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2</w:t>
                  </w:r>
                  <w:r>
                    <w:rPr>
                      <w:color w:val="auto"/>
                      <w:sz w:val="21"/>
                      <w:szCs w:val="21"/>
                      <w:lang w:val="en-US" w:eastAsia="zh-CN"/>
                    </w:rPr>
                    <w:t>）提升废水资源化技术，提高水资源回用率</w:t>
                  </w:r>
                  <w:r>
                    <w:rPr>
                      <w:rFonts w:hint="eastAsia"/>
                      <w:color w:val="auto"/>
                      <w:sz w:val="21"/>
                      <w:szCs w:val="21"/>
                      <w:lang w:val="en-US" w:eastAsia="zh-CN"/>
                    </w:rPr>
                    <w:t>；</w:t>
                  </w:r>
                </w:p>
                <w:p w14:paraId="50774D1E">
                  <w:pPr>
                    <w:spacing w:line="240" w:lineRule="auto"/>
                    <w:jc w:val="left"/>
                    <w:rPr>
                      <w:color w:val="auto"/>
                      <w:sz w:val="21"/>
                      <w:szCs w:val="21"/>
                    </w:rPr>
                  </w:pPr>
                  <w:r>
                    <w:rPr>
                      <w:color w:val="auto"/>
                      <w:sz w:val="21"/>
                      <w:szCs w:val="21"/>
                      <w:lang w:val="en-US" w:eastAsia="zh-CN"/>
                    </w:rPr>
                    <w:t>（</w:t>
                  </w:r>
                  <w:r>
                    <w:rPr>
                      <w:rFonts w:hint="default"/>
                      <w:color w:val="auto"/>
                      <w:sz w:val="21"/>
                      <w:szCs w:val="21"/>
                      <w:lang w:val="en-US" w:eastAsia="zh-CN"/>
                    </w:rPr>
                    <w:t>3</w:t>
                  </w:r>
                  <w:r>
                    <w:rPr>
                      <w:color w:val="auto"/>
                      <w:sz w:val="21"/>
                      <w:szCs w:val="21"/>
                      <w:lang w:val="en-US" w:eastAsia="zh-CN"/>
                    </w:rPr>
                    <w:t>）严禁自建燃煤设施。</w:t>
                  </w:r>
                </w:p>
              </w:tc>
              <w:tc>
                <w:tcPr>
                  <w:tcW w:w="1608" w:type="pct"/>
                  <w:noWrap w:val="0"/>
                  <w:vAlign w:val="center"/>
                </w:tcPr>
                <w:p w14:paraId="4C8B2866">
                  <w:pPr>
                    <w:spacing w:line="240" w:lineRule="auto"/>
                    <w:jc w:val="both"/>
                    <w:rPr>
                      <w:rFonts w:hint="default"/>
                      <w:color w:val="auto"/>
                      <w:spacing w:val="-4"/>
                      <w:sz w:val="21"/>
                      <w:szCs w:val="21"/>
                      <w:lang w:val="en-US" w:eastAsia="zh-CN"/>
                    </w:rPr>
                  </w:pPr>
                  <w:r>
                    <w:rPr>
                      <w:rFonts w:hint="eastAsia"/>
                      <w:color w:val="auto"/>
                      <w:spacing w:val="-4"/>
                      <w:sz w:val="21"/>
                      <w:szCs w:val="21"/>
                      <w:lang w:val="en-US" w:eastAsia="zh-CN"/>
                    </w:rPr>
                    <w:t>（1）本项使用能源是电能；（2）本项目产生的废水主要是生活污水；</w:t>
                  </w:r>
                </w:p>
                <w:p w14:paraId="2B28D520">
                  <w:pPr>
                    <w:spacing w:line="240" w:lineRule="auto"/>
                    <w:jc w:val="both"/>
                    <w:rPr>
                      <w:rFonts w:hint="default"/>
                      <w:color w:val="auto"/>
                      <w:spacing w:val="-4"/>
                      <w:sz w:val="21"/>
                      <w:szCs w:val="21"/>
                      <w:lang w:val="en-US" w:eastAsia="zh-CN"/>
                    </w:rPr>
                  </w:pPr>
                  <w:r>
                    <w:rPr>
                      <w:rFonts w:hint="eastAsia"/>
                      <w:color w:val="auto"/>
                      <w:spacing w:val="-4"/>
                      <w:sz w:val="21"/>
                      <w:szCs w:val="21"/>
                      <w:lang w:val="en-US" w:eastAsia="zh-CN"/>
                    </w:rPr>
                    <w:t>（3）本项目不使用燃料。</w:t>
                  </w:r>
                </w:p>
              </w:tc>
              <w:tc>
                <w:tcPr>
                  <w:tcW w:w="564" w:type="pct"/>
                  <w:noWrap w:val="0"/>
                  <w:vAlign w:val="center"/>
                </w:tcPr>
                <w:p w14:paraId="7D4D9F4D">
                  <w:pPr>
                    <w:spacing w:line="240" w:lineRule="auto"/>
                    <w:jc w:val="center"/>
                    <w:rPr>
                      <w:color w:val="auto"/>
                      <w:sz w:val="21"/>
                      <w:szCs w:val="21"/>
                    </w:rPr>
                  </w:pPr>
                  <w:r>
                    <w:rPr>
                      <w:color w:val="auto"/>
                      <w:sz w:val="21"/>
                      <w:szCs w:val="21"/>
                    </w:rPr>
                    <w:t>相符</w:t>
                  </w:r>
                </w:p>
              </w:tc>
            </w:tr>
          </w:tbl>
          <w:p w14:paraId="44EC0D82">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auto"/>
                <w:kern w:val="0"/>
                <w:sz w:val="24"/>
                <w:szCs w:val="24"/>
              </w:rPr>
            </w:pPr>
            <w:r>
              <w:rPr>
                <w:b/>
                <w:bCs/>
                <w:color w:val="auto"/>
                <w:kern w:val="0"/>
                <w:sz w:val="24"/>
                <w:szCs w:val="24"/>
              </w:rPr>
              <w:t>与</w:t>
            </w:r>
            <w:r>
              <w:rPr>
                <w:rFonts w:hint="eastAsia"/>
                <w:b/>
                <w:bCs/>
                <w:color w:val="auto"/>
                <w:kern w:val="0"/>
                <w:sz w:val="24"/>
                <w:szCs w:val="24"/>
              </w:rPr>
              <w:t>《江苏省国土空间规划（2021~2035年）》</w:t>
            </w:r>
            <w:r>
              <w:rPr>
                <w:b/>
                <w:bCs/>
                <w:color w:val="auto"/>
                <w:kern w:val="0"/>
                <w:sz w:val="24"/>
                <w:szCs w:val="24"/>
              </w:rPr>
              <w:t xml:space="preserve">的相符性分析 </w:t>
            </w:r>
          </w:p>
          <w:p w14:paraId="302C34A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color w:val="auto"/>
                <w:kern w:val="0"/>
                <w:sz w:val="24"/>
                <w:szCs w:val="24"/>
              </w:rPr>
            </w:pPr>
            <w:r>
              <w:rPr>
                <w:rFonts w:hint="eastAsia"/>
                <w:color w:val="auto"/>
                <w:kern w:val="0"/>
                <w:sz w:val="24"/>
                <w:szCs w:val="24"/>
              </w:rPr>
              <w:t>根据</w:t>
            </w:r>
            <w:bookmarkStart w:id="15" w:name="OLE_LINK14"/>
            <w:r>
              <w:rPr>
                <w:rFonts w:hint="eastAsia"/>
                <w:color w:val="auto"/>
                <w:kern w:val="0"/>
                <w:sz w:val="24"/>
                <w:szCs w:val="24"/>
              </w:rPr>
              <w:t>《江苏省国土空间规划（2021—2035年）》及批复（国函[2023]69号）</w:t>
            </w:r>
            <w:bookmarkEnd w:id="15"/>
            <w:r>
              <w:rPr>
                <w:rFonts w:hint="eastAsia"/>
                <w:color w:val="auto"/>
                <w:kern w:val="0"/>
                <w:sz w:val="24"/>
                <w:szCs w:val="24"/>
              </w:rPr>
              <w:t>，本项目相符性分析如下：</w:t>
            </w:r>
          </w:p>
          <w:p w14:paraId="753164E9">
            <w:pPr>
              <w:snapToGrid w:val="0"/>
              <w:spacing w:before="72" w:beforeLines="30" w:line="360" w:lineRule="exact"/>
              <w:jc w:val="center"/>
              <w:rPr>
                <w:b/>
                <w:bCs/>
                <w:color w:val="auto"/>
                <w:sz w:val="21"/>
                <w:szCs w:val="21"/>
              </w:rPr>
            </w:pPr>
            <w:r>
              <w:rPr>
                <w:b/>
                <w:bCs/>
                <w:color w:val="auto"/>
                <w:sz w:val="21"/>
                <w:szCs w:val="21"/>
              </w:rPr>
              <w:t>表1-</w:t>
            </w:r>
            <w:r>
              <w:rPr>
                <w:rFonts w:hint="eastAsia"/>
                <w:b/>
                <w:bCs/>
                <w:color w:val="auto"/>
                <w:sz w:val="21"/>
                <w:szCs w:val="21"/>
                <w:lang w:val="en-US" w:eastAsia="zh-CN"/>
              </w:rPr>
              <w:t>6</w:t>
            </w:r>
            <w:r>
              <w:rPr>
                <w:b/>
                <w:bCs/>
                <w:color w:val="auto"/>
                <w:sz w:val="21"/>
                <w:szCs w:val="21"/>
              </w:rPr>
              <w:t xml:space="preserve">  本项目</w:t>
            </w:r>
            <w:r>
              <w:rPr>
                <w:rFonts w:hint="eastAsia"/>
                <w:b/>
                <w:bCs/>
                <w:color w:val="auto"/>
                <w:sz w:val="21"/>
                <w:szCs w:val="21"/>
              </w:rPr>
              <w:t>与《江苏省国土空间规划（2021—2035年）》及批复的</w:t>
            </w:r>
            <w:r>
              <w:rPr>
                <w:b/>
                <w:bCs/>
                <w:color w:val="auto"/>
                <w:sz w:val="21"/>
                <w:szCs w:val="21"/>
              </w:rPr>
              <w:t>相符性分析</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26"/>
              <w:gridCol w:w="4907"/>
              <w:gridCol w:w="1904"/>
              <w:gridCol w:w="764"/>
            </w:tblGrid>
            <w:tr w14:paraId="3DE5D4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1" w:hRule="atLeast"/>
              </w:trPr>
              <w:tc>
                <w:tcPr>
                  <w:tcW w:w="3392" w:type="pct"/>
                  <w:gridSpan w:val="2"/>
                  <w:noWrap w:val="0"/>
                  <w:vAlign w:val="center"/>
                </w:tcPr>
                <w:p w14:paraId="45615B28">
                  <w:pPr>
                    <w:snapToGrid w:val="0"/>
                    <w:spacing w:line="240" w:lineRule="auto"/>
                    <w:jc w:val="center"/>
                    <w:rPr>
                      <w:b/>
                      <w:color w:val="auto"/>
                      <w:sz w:val="21"/>
                      <w:szCs w:val="21"/>
                    </w:rPr>
                  </w:pPr>
                  <w:bookmarkStart w:id="16" w:name="OLE_LINK13" w:colFirst="0" w:colLast="2"/>
                  <w:r>
                    <w:rPr>
                      <w:rFonts w:hint="eastAsia"/>
                      <w:b/>
                      <w:color w:val="auto"/>
                      <w:sz w:val="21"/>
                      <w:szCs w:val="21"/>
                    </w:rPr>
                    <w:t>文件</w:t>
                  </w:r>
                  <w:r>
                    <w:rPr>
                      <w:b/>
                      <w:color w:val="auto"/>
                      <w:sz w:val="21"/>
                      <w:szCs w:val="21"/>
                    </w:rPr>
                    <w:t>要求</w:t>
                  </w:r>
                </w:p>
              </w:tc>
              <w:tc>
                <w:tcPr>
                  <w:tcW w:w="1146" w:type="pct"/>
                  <w:noWrap w:val="0"/>
                  <w:vAlign w:val="center"/>
                </w:tcPr>
                <w:p w14:paraId="6B25E3AF">
                  <w:pPr>
                    <w:snapToGrid w:val="0"/>
                    <w:spacing w:line="240" w:lineRule="auto"/>
                    <w:jc w:val="center"/>
                    <w:rPr>
                      <w:b/>
                      <w:color w:val="auto"/>
                      <w:sz w:val="21"/>
                      <w:szCs w:val="21"/>
                    </w:rPr>
                  </w:pPr>
                  <w:r>
                    <w:rPr>
                      <w:b/>
                      <w:color w:val="auto"/>
                      <w:sz w:val="21"/>
                      <w:szCs w:val="21"/>
                    </w:rPr>
                    <w:t>本项目情况</w:t>
                  </w:r>
                </w:p>
              </w:tc>
              <w:tc>
                <w:tcPr>
                  <w:tcW w:w="460" w:type="pct"/>
                  <w:noWrap w:val="0"/>
                  <w:vAlign w:val="center"/>
                </w:tcPr>
                <w:p w14:paraId="0860C0EF">
                  <w:pPr>
                    <w:snapToGrid w:val="0"/>
                    <w:spacing w:line="240" w:lineRule="auto"/>
                    <w:jc w:val="center"/>
                    <w:rPr>
                      <w:b/>
                      <w:color w:val="auto"/>
                      <w:sz w:val="21"/>
                      <w:szCs w:val="21"/>
                    </w:rPr>
                  </w:pPr>
                  <w:r>
                    <w:rPr>
                      <w:b/>
                      <w:color w:val="auto"/>
                      <w:sz w:val="21"/>
                      <w:szCs w:val="21"/>
                    </w:rPr>
                    <w:t>相符性</w:t>
                  </w:r>
                </w:p>
              </w:tc>
            </w:tr>
            <w:bookmarkEnd w:id="16"/>
            <w:tr w14:paraId="472F52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58" w:hRule="atLeast"/>
              </w:trPr>
              <w:tc>
                <w:tcPr>
                  <w:tcW w:w="437" w:type="pct"/>
                  <w:vMerge w:val="restart"/>
                  <w:tcBorders>
                    <w:right w:val="single" w:color="auto" w:sz="4" w:space="0"/>
                  </w:tcBorders>
                  <w:noWrap w:val="0"/>
                  <w:vAlign w:val="center"/>
                </w:tcPr>
                <w:p w14:paraId="581D5C09">
                  <w:pPr>
                    <w:snapToGrid w:val="0"/>
                    <w:spacing w:line="240" w:lineRule="auto"/>
                    <w:jc w:val="center"/>
                    <w:rPr>
                      <w:color w:val="auto"/>
                      <w:sz w:val="21"/>
                      <w:szCs w:val="21"/>
                    </w:rPr>
                  </w:pPr>
                  <w:r>
                    <w:rPr>
                      <w:rFonts w:hint="eastAsia"/>
                      <w:color w:val="auto"/>
                      <w:sz w:val="21"/>
                      <w:szCs w:val="21"/>
                    </w:rPr>
                    <w:t>基本原则</w:t>
                  </w:r>
                </w:p>
              </w:tc>
              <w:tc>
                <w:tcPr>
                  <w:tcW w:w="2955" w:type="pct"/>
                  <w:tcBorders>
                    <w:left w:val="single" w:color="auto" w:sz="4" w:space="0"/>
                  </w:tcBorders>
                  <w:noWrap w:val="0"/>
                  <w:vAlign w:val="center"/>
                </w:tcPr>
                <w:p w14:paraId="6B7D3C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r>
                    <w:rPr>
                      <w:rFonts w:hint="eastAsia"/>
                      <w:b/>
                      <w:bCs/>
                      <w:color w:val="auto"/>
                      <w:sz w:val="21"/>
                      <w:szCs w:val="21"/>
                    </w:rPr>
                    <w:t>加强底线管控。</w:t>
                  </w:r>
                  <w:r>
                    <w:rPr>
                      <w:rFonts w:hint="eastAsia"/>
                      <w:color w:val="auto"/>
                      <w:sz w:val="21"/>
                      <w:szCs w:val="21"/>
                    </w:rPr>
                    <w:t>树立底线思维，坚持耕地保护优先，守住自然生态安全边界，筑牢国土空间安全底线。推进国土空间综合整治与生态修复，优化重大基础设施、重大生产力和公共资源布局，提升区域资源环境综合承载能力，强化灾害源头管控，增强空间韧性。</w:t>
                  </w:r>
                </w:p>
              </w:tc>
              <w:tc>
                <w:tcPr>
                  <w:tcW w:w="1146" w:type="pct"/>
                  <w:vMerge w:val="restart"/>
                  <w:noWrap w:val="0"/>
                  <w:vAlign w:val="center"/>
                </w:tcPr>
                <w:p w14:paraId="2146824F">
                  <w:pPr>
                    <w:snapToGrid w:val="0"/>
                    <w:spacing w:line="240" w:lineRule="auto"/>
                    <w:jc w:val="center"/>
                    <w:rPr>
                      <w:color w:val="auto"/>
                      <w:sz w:val="21"/>
                      <w:szCs w:val="21"/>
                    </w:rPr>
                  </w:pPr>
                  <w:r>
                    <w:rPr>
                      <w:rFonts w:hint="eastAsia"/>
                      <w:color w:val="auto"/>
                      <w:sz w:val="21"/>
                      <w:szCs w:val="21"/>
                    </w:rPr>
                    <w:t>本项目位</w:t>
                  </w:r>
                  <w:r>
                    <w:rPr>
                      <w:rFonts w:hint="eastAsia"/>
                      <w:color w:val="auto"/>
                      <w:spacing w:val="-6"/>
                      <w:sz w:val="21"/>
                      <w:szCs w:val="21"/>
                    </w:rPr>
                    <w:t>于</w:t>
                  </w:r>
                  <w:r>
                    <w:rPr>
                      <w:color w:val="auto"/>
                      <w:sz w:val="21"/>
                      <w:szCs w:val="21"/>
                    </w:rPr>
                    <w:t>常州市金坛区</w:t>
                  </w:r>
                  <w:r>
                    <w:rPr>
                      <w:rFonts w:hint="eastAsia"/>
                      <w:color w:val="auto"/>
                      <w:sz w:val="21"/>
                      <w:szCs w:val="21"/>
                      <w:lang w:eastAsia="zh-CN"/>
                    </w:rPr>
                    <w:t>西城路118号</w:t>
                  </w:r>
                  <w:r>
                    <w:rPr>
                      <w:rFonts w:hint="eastAsia"/>
                      <w:color w:val="auto"/>
                      <w:sz w:val="21"/>
                      <w:szCs w:val="21"/>
                    </w:rPr>
                    <w:t>，最近的生态空间管控区为</w:t>
                  </w:r>
                  <w:r>
                    <w:rPr>
                      <w:rFonts w:hint="eastAsia"/>
                      <w:color w:val="auto"/>
                      <w:sz w:val="21"/>
                      <w:szCs w:val="21"/>
                      <w:lang w:val="en-US" w:eastAsia="zh-CN"/>
                    </w:rPr>
                    <w:t>3</w:t>
                  </w:r>
                  <w:r>
                    <w:rPr>
                      <w:rFonts w:hint="eastAsia"/>
                      <w:color w:val="auto"/>
                      <w:sz w:val="21"/>
                      <w:szCs w:val="21"/>
                    </w:rPr>
                    <w:t>km处的丹金溧漕河洪水调蓄区；对照《</w:t>
                  </w:r>
                  <w:r>
                    <w:rPr>
                      <w:rFonts w:hint="eastAsia"/>
                      <w:color w:val="auto"/>
                      <w:sz w:val="21"/>
                      <w:szCs w:val="21"/>
                      <w:lang w:val="en-US" w:eastAsia="zh-CN"/>
                    </w:rPr>
                    <w:t>金坛金城科技产业园发展规划环境影响报告书</w:t>
                  </w:r>
                  <w:r>
                    <w:rPr>
                      <w:rFonts w:hint="eastAsia"/>
                      <w:color w:val="auto"/>
                      <w:sz w:val="21"/>
                      <w:szCs w:val="21"/>
                    </w:rPr>
                    <w:t>》，用地性质为工业用地。</w:t>
                  </w:r>
                </w:p>
              </w:tc>
              <w:tc>
                <w:tcPr>
                  <w:tcW w:w="460" w:type="pct"/>
                  <w:vMerge w:val="restart"/>
                  <w:noWrap w:val="0"/>
                  <w:vAlign w:val="center"/>
                </w:tcPr>
                <w:p w14:paraId="19FA455E">
                  <w:pPr>
                    <w:snapToGrid w:val="0"/>
                    <w:spacing w:line="240" w:lineRule="auto"/>
                    <w:jc w:val="center"/>
                    <w:rPr>
                      <w:color w:val="auto"/>
                      <w:sz w:val="21"/>
                      <w:szCs w:val="21"/>
                    </w:rPr>
                  </w:pPr>
                  <w:r>
                    <w:rPr>
                      <w:rFonts w:hint="eastAsia"/>
                      <w:color w:val="auto"/>
                      <w:sz w:val="21"/>
                      <w:szCs w:val="21"/>
                    </w:rPr>
                    <w:t>相符</w:t>
                  </w:r>
                </w:p>
              </w:tc>
            </w:tr>
            <w:tr w14:paraId="4F3DB3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continue"/>
                  <w:tcBorders>
                    <w:right w:val="single" w:color="auto" w:sz="4" w:space="0"/>
                  </w:tcBorders>
                  <w:noWrap w:val="0"/>
                  <w:vAlign w:val="center"/>
                </w:tcPr>
                <w:p w14:paraId="23159B3E">
                  <w:pPr>
                    <w:snapToGrid w:val="0"/>
                    <w:spacing w:line="240" w:lineRule="auto"/>
                    <w:jc w:val="center"/>
                    <w:rPr>
                      <w:color w:val="auto"/>
                      <w:sz w:val="21"/>
                      <w:szCs w:val="21"/>
                    </w:rPr>
                  </w:pPr>
                </w:p>
              </w:tc>
              <w:tc>
                <w:tcPr>
                  <w:tcW w:w="2955" w:type="pct"/>
                  <w:tcBorders>
                    <w:left w:val="single" w:color="auto" w:sz="4" w:space="0"/>
                  </w:tcBorders>
                  <w:noWrap w:val="0"/>
                  <w:vAlign w:val="center"/>
                </w:tcPr>
                <w:p w14:paraId="097F9F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r>
                    <w:rPr>
                      <w:rFonts w:hint="eastAsia"/>
                      <w:b/>
                      <w:bCs/>
                      <w:color w:val="auto"/>
                      <w:sz w:val="21"/>
                      <w:szCs w:val="21"/>
                    </w:rPr>
                    <w:t>强化空间统筹。</w:t>
                  </w:r>
                  <w:r>
                    <w:rPr>
                      <w:rFonts w:hint="eastAsia"/>
                      <w:color w:val="auto"/>
                      <w:sz w:val="21"/>
                      <w:szCs w:val="21"/>
                    </w:rPr>
                    <w:t>实施主体功能区战略，统筹布局农业、生态和城镇空间。落实多重国家战略，发挥各地区比较优势，引导城镇、产业与交通协同布局，统筹沿江沿海沿河沿湖地区空间开发利用，以江海河湖联动促进省域一体化发展。</w:t>
                  </w:r>
                </w:p>
              </w:tc>
              <w:tc>
                <w:tcPr>
                  <w:tcW w:w="1146" w:type="pct"/>
                  <w:vMerge w:val="continue"/>
                  <w:noWrap w:val="0"/>
                  <w:vAlign w:val="center"/>
                </w:tcPr>
                <w:p w14:paraId="66BCDD96">
                  <w:pPr>
                    <w:snapToGrid w:val="0"/>
                    <w:spacing w:line="240" w:lineRule="auto"/>
                    <w:jc w:val="center"/>
                    <w:rPr>
                      <w:color w:val="auto"/>
                      <w:sz w:val="21"/>
                      <w:szCs w:val="21"/>
                    </w:rPr>
                  </w:pPr>
                </w:p>
              </w:tc>
              <w:tc>
                <w:tcPr>
                  <w:tcW w:w="460" w:type="pct"/>
                  <w:vMerge w:val="continue"/>
                  <w:noWrap w:val="0"/>
                  <w:vAlign w:val="center"/>
                </w:tcPr>
                <w:p w14:paraId="279E24DE">
                  <w:pPr>
                    <w:snapToGrid w:val="0"/>
                    <w:spacing w:line="240" w:lineRule="auto"/>
                    <w:jc w:val="center"/>
                    <w:rPr>
                      <w:color w:val="auto"/>
                      <w:sz w:val="21"/>
                      <w:szCs w:val="21"/>
                    </w:rPr>
                  </w:pPr>
                </w:p>
              </w:tc>
            </w:tr>
            <w:tr w14:paraId="685F4F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continue"/>
                  <w:tcBorders>
                    <w:right w:val="single" w:color="auto" w:sz="4" w:space="0"/>
                  </w:tcBorders>
                  <w:noWrap w:val="0"/>
                  <w:vAlign w:val="center"/>
                </w:tcPr>
                <w:p w14:paraId="5619E1CE">
                  <w:pPr>
                    <w:snapToGrid w:val="0"/>
                    <w:spacing w:line="240" w:lineRule="auto"/>
                    <w:jc w:val="center"/>
                    <w:rPr>
                      <w:color w:val="auto"/>
                      <w:sz w:val="21"/>
                      <w:szCs w:val="21"/>
                    </w:rPr>
                  </w:pPr>
                </w:p>
              </w:tc>
              <w:tc>
                <w:tcPr>
                  <w:tcW w:w="2955" w:type="pct"/>
                  <w:tcBorders>
                    <w:left w:val="single" w:color="auto" w:sz="4" w:space="0"/>
                  </w:tcBorders>
                  <w:noWrap w:val="0"/>
                  <w:vAlign w:val="center"/>
                </w:tcPr>
                <w:p w14:paraId="577892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rPr>
                  </w:pPr>
                  <w:r>
                    <w:rPr>
                      <w:rFonts w:hint="eastAsia"/>
                      <w:b/>
                      <w:bCs/>
                      <w:color w:val="auto"/>
                      <w:sz w:val="21"/>
                      <w:szCs w:val="21"/>
                    </w:rPr>
                    <w:t>促进高效集约。</w:t>
                  </w:r>
                  <w:r>
                    <w:rPr>
                      <w:rFonts w:hint="eastAsia"/>
                      <w:color w:val="auto"/>
                      <w:sz w:val="21"/>
                      <w:szCs w:val="21"/>
                    </w:rPr>
                    <w:t>量质并重，全面实施资源利用总量和强度控制，更加注重存量资源盘活利用，形成以资源环境承载能力上限约束为导向的资源集约利用方式。引导资源要素向都市圈等经济发展优势区域集聚，推动资源集约高效利用。</w:t>
                  </w:r>
                </w:p>
              </w:tc>
              <w:tc>
                <w:tcPr>
                  <w:tcW w:w="1146" w:type="pct"/>
                  <w:vMerge w:val="continue"/>
                  <w:noWrap w:val="0"/>
                  <w:vAlign w:val="center"/>
                </w:tcPr>
                <w:p w14:paraId="6FB7E5A3">
                  <w:pPr>
                    <w:snapToGrid w:val="0"/>
                    <w:spacing w:line="240" w:lineRule="auto"/>
                    <w:jc w:val="center"/>
                    <w:rPr>
                      <w:color w:val="auto"/>
                      <w:sz w:val="21"/>
                      <w:szCs w:val="21"/>
                    </w:rPr>
                  </w:pPr>
                </w:p>
              </w:tc>
              <w:tc>
                <w:tcPr>
                  <w:tcW w:w="460" w:type="pct"/>
                  <w:vMerge w:val="continue"/>
                  <w:noWrap w:val="0"/>
                  <w:vAlign w:val="center"/>
                </w:tcPr>
                <w:p w14:paraId="133EC237">
                  <w:pPr>
                    <w:snapToGrid w:val="0"/>
                    <w:spacing w:line="240" w:lineRule="auto"/>
                    <w:jc w:val="center"/>
                    <w:rPr>
                      <w:color w:val="auto"/>
                      <w:sz w:val="21"/>
                      <w:szCs w:val="21"/>
                    </w:rPr>
                  </w:pPr>
                </w:p>
              </w:tc>
            </w:tr>
            <w:tr w14:paraId="6B097A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continue"/>
                  <w:tcBorders>
                    <w:right w:val="single" w:color="auto" w:sz="4" w:space="0"/>
                  </w:tcBorders>
                  <w:noWrap w:val="0"/>
                  <w:vAlign w:val="center"/>
                </w:tcPr>
                <w:p w14:paraId="4FD80F23">
                  <w:pPr>
                    <w:snapToGrid w:val="0"/>
                    <w:spacing w:line="240" w:lineRule="auto"/>
                    <w:jc w:val="center"/>
                    <w:rPr>
                      <w:color w:val="auto"/>
                      <w:sz w:val="21"/>
                      <w:szCs w:val="21"/>
                    </w:rPr>
                  </w:pPr>
                </w:p>
              </w:tc>
              <w:tc>
                <w:tcPr>
                  <w:tcW w:w="2955" w:type="pct"/>
                  <w:tcBorders>
                    <w:left w:val="single" w:color="auto" w:sz="4" w:space="0"/>
                  </w:tcBorders>
                  <w:noWrap w:val="0"/>
                  <w:vAlign w:val="center"/>
                </w:tcPr>
                <w:p w14:paraId="67CF44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rPr>
                  </w:pPr>
                  <w:r>
                    <w:rPr>
                      <w:rFonts w:hint="eastAsia"/>
                      <w:b/>
                      <w:bCs/>
                      <w:color w:val="auto"/>
                      <w:sz w:val="21"/>
                      <w:szCs w:val="21"/>
                    </w:rPr>
                    <w:t>提升空间品质。</w:t>
                  </w:r>
                  <w:r>
                    <w:rPr>
                      <w:rFonts w:hint="eastAsia"/>
                      <w:color w:val="auto"/>
                      <w:sz w:val="21"/>
                      <w:szCs w:val="21"/>
                    </w:rPr>
                    <w:t>提升现代化基础设施和公共服务设施的空间保障质量，传承南秀北雄的文化特质，整体保护具有“水韵江苏”特色的历史文化遗产和自然景观环境，塑造宜居宜业的空间格局。</w:t>
                  </w:r>
                </w:p>
              </w:tc>
              <w:tc>
                <w:tcPr>
                  <w:tcW w:w="1146" w:type="pct"/>
                  <w:vMerge w:val="continue"/>
                  <w:noWrap w:val="0"/>
                  <w:vAlign w:val="center"/>
                </w:tcPr>
                <w:p w14:paraId="29359F42">
                  <w:pPr>
                    <w:snapToGrid w:val="0"/>
                    <w:spacing w:line="240" w:lineRule="auto"/>
                    <w:jc w:val="center"/>
                    <w:rPr>
                      <w:color w:val="auto"/>
                      <w:sz w:val="21"/>
                      <w:szCs w:val="21"/>
                    </w:rPr>
                  </w:pPr>
                </w:p>
              </w:tc>
              <w:tc>
                <w:tcPr>
                  <w:tcW w:w="460" w:type="pct"/>
                  <w:vMerge w:val="continue"/>
                  <w:noWrap w:val="0"/>
                  <w:vAlign w:val="center"/>
                </w:tcPr>
                <w:p w14:paraId="455851FA">
                  <w:pPr>
                    <w:snapToGrid w:val="0"/>
                    <w:spacing w:line="240" w:lineRule="auto"/>
                    <w:jc w:val="center"/>
                    <w:rPr>
                      <w:color w:val="auto"/>
                      <w:sz w:val="21"/>
                      <w:szCs w:val="21"/>
                    </w:rPr>
                  </w:pPr>
                </w:p>
              </w:tc>
            </w:tr>
            <w:tr w14:paraId="1359E8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continue"/>
                  <w:tcBorders>
                    <w:right w:val="single" w:color="auto" w:sz="4" w:space="0"/>
                  </w:tcBorders>
                  <w:noWrap w:val="0"/>
                  <w:vAlign w:val="center"/>
                </w:tcPr>
                <w:p w14:paraId="43F17D71">
                  <w:pPr>
                    <w:snapToGrid w:val="0"/>
                    <w:spacing w:line="240" w:lineRule="auto"/>
                    <w:jc w:val="center"/>
                    <w:rPr>
                      <w:color w:val="auto"/>
                      <w:sz w:val="21"/>
                      <w:szCs w:val="21"/>
                    </w:rPr>
                  </w:pPr>
                </w:p>
              </w:tc>
              <w:tc>
                <w:tcPr>
                  <w:tcW w:w="2955" w:type="pct"/>
                  <w:tcBorders>
                    <w:left w:val="single" w:color="auto" w:sz="4" w:space="0"/>
                  </w:tcBorders>
                  <w:noWrap w:val="0"/>
                  <w:vAlign w:val="center"/>
                </w:tcPr>
                <w:p w14:paraId="10DEA7A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rPr>
                  </w:pPr>
                  <w:r>
                    <w:rPr>
                      <w:rFonts w:hint="eastAsia"/>
                      <w:b/>
                      <w:bCs/>
                      <w:color w:val="auto"/>
                      <w:sz w:val="21"/>
                      <w:szCs w:val="21"/>
                    </w:rPr>
                    <w:t>完善协同治理。</w:t>
                  </w:r>
                  <w:r>
                    <w:rPr>
                      <w:rFonts w:hint="eastAsia"/>
                      <w:color w:val="auto"/>
                      <w:sz w:val="21"/>
                      <w:szCs w:val="21"/>
                    </w:rPr>
                    <w:t>强化规划战略、指标和边界的纵向和横向传导，加强国土空间规划全流程管理，健全节约集约用地制度，完善全域全要素的国土空间用途管制，实现都市圈与中心城市、区域与流域、江海河湖国土空间整体协同治理。</w:t>
                  </w:r>
                </w:p>
              </w:tc>
              <w:tc>
                <w:tcPr>
                  <w:tcW w:w="1146" w:type="pct"/>
                  <w:vMerge w:val="continue"/>
                  <w:noWrap w:val="0"/>
                  <w:vAlign w:val="center"/>
                </w:tcPr>
                <w:p w14:paraId="29A78F64">
                  <w:pPr>
                    <w:snapToGrid w:val="0"/>
                    <w:spacing w:line="240" w:lineRule="auto"/>
                    <w:jc w:val="center"/>
                    <w:rPr>
                      <w:color w:val="auto"/>
                      <w:sz w:val="21"/>
                      <w:szCs w:val="21"/>
                    </w:rPr>
                  </w:pPr>
                </w:p>
              </w:tc>
              <w:tc>
                <w:tcPr>
                  <w:tcW w:w="460" w:type="pct"/>
                  <w:vMerge w:val="continue"/>
                  <w:noWrap w:val="0"/>
                  <w:vAlign w:val="center"/>
                </w:tcPr>
                <w:p w14:paraId="6766C97A">
                  <w:pPr>
                    <w:snapToGrid w:val="0"/>
                    <w:spacing w:line="240" w:lineRule="auto"/>
                    <w:jc w:val="center"/>
                    <w:rPr>
                      <w:color w:val="auto"/>
                      <w:sz w:val="21"/>
                      <w:szCs w:val="21"/>
                    </w:rPr>
                  </w:pPr>
                </w:p>
              </w:tc>
            </w:tr>
            <w:tr w14:paraId="134342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restart"/>
                  <w:tcBorders>
                    <w:right w:val="single" w:color="auto" w:sz="4" w:space="0"/>
                  </w:tcBorders>
                  <w:noWrap w:val="0"/>
                  <w:vAlign w:val="center"/>
                </w:tcPr>
                <w:p w14:paraId="074E9376">
                  <w:pPr>
                    <w:snapToGrid w:val="0"/>
                    <w:spacing w:line="240" w:lineRule="auto"/>
                    <w:jc w:val="center"/>
                    <w:rPr>
                      <w:color w:val="auto"/>
                      <w:sz w:val="21"/>
                      <w:szCs w:val="21"/>
                    </w:rPr>
                  </w:pPr>
                  <w:r>
                    <w:rPr>
                      <w:rFonts w:hint="eastAsia"/>
                      <w:color w:val="auto"/>
                      <w:sz w:val="21"/>
                      <w:szCs w:val="21"/>
                    </w:rPr>
                    <w:t>战略目标和任务</w:t>
                  </w:r>
                </w:p>
              </w:tc>
              <w:tc>
                <w:tcPr>
                  <w:tcW w:w="2955" w:type="pct"/>
                  <w:tcBorders>
                    <w:left w:val="single" w:color="auto" w:sz="4" w:space="0"/>
                  </w:tcBorders>
                  <w:noWrap w:val="0"/>
                  <w:vAlign w:val="center"/>
                </w:tcPr>
                <w:p w14:paraId="21ADDB82">
                  <w:pPr>
                    <w:snapToGrid w:val="0"/>
                    <w:spacing w:line="240" w:lineRule="auto"/>
                    <w:jc w:val="center"/>
                    <w:rPr>
                      <w:rFonts w:hint="eastAsia"/>
                      <w:color w:val="auto"/>
                      <w:sz w:val="21"/>
                      <w:szCs w:val="21"/>
                    </w:rPr>
                  </w:pPr>
                  <w:r>
                    <w:rPr>
                      <w:rFonts w:hint="eastAsia"/>
                      <w:b/>
                      <w:bCs/>
                      <w:color w:val="auto"/>
                      <w:sz w:val="21"/>
                      <w:szCs w:val="21"/>
                    </w:rPr>
                    <w:t>严格保护农业和生态空间，国土空间安全格局更为稳固。</w:t>
                  </w:r>
                  <w:r>
                    <w:rPr>
                      <w:rFonts w:hint="eastAsia"/>
                      <w:color w:val="auto"/>
                      <w:sz w:val="21"/>
                      <w:szCs w:val="21"/>
                    </w:rPr>
                    <w:t>落实最严格的耕地保护制度、最严格的生态环境保护制度、最严格的节约用地制度和最严格的水资源管理制度，坚持耕地保护优先序。确保可以长期稳定利用的耕地不减少，实现耕地和永久基本农田面积不减少、质量有提升、布局总体稳定，建成集约、绿色、高效的农业空间，增强粮食安全保障能力。严守生态保护红线，积极推进受损生态空间的生态保护修复，增强生态系统完整性和连通性。</w:t>
                  </w:r>
                </w:p>
              </w:tc>
              <w:tc>
                <w:tcPr>
                  <w:tcW w:w="1146" w:type="pct"/>
                  <w:vMerge w:val="restart"/>
                  <w:noWrap w:val="0"/>
                  <w:vAlign w:val="center"/>
                </w:tcPr>
                <w:p w14:paraId="2CBB2E35">
                  <w:pPr>
                    <w:snapToGrid w:val="0"/>
                    <w:spacing w:line="240" w:lineRule="auto"/>
                    <w:jc w:val="center"/>
                    <w:rPr>
                      <w:color w:val="auto"/>
                      <w:sz w:val="21"/>
                      <w:szCs w:val="21"/>
                    </w:rPr>
                  </w:pPr>
                  <w:r>
                    <w:rPr>
                      <w:rFonts w:hint="eastAsia"/>
                      <w:color w:val="auto"/>
                      <w:sz w:val="21"/>
                      <w:szCs w:val="21"/>
                    </w:rPr>
                    <w:t>本项目位</w:t>
                  </w:r>
                  <w:r>
                    <w:rPr>
                      <w:rFonts w:hint="eastAsia"/>
                      <w:color w:val="auto"/>
                      <w:spacing w:val="-6"/>
                      <w:sz w:val="21"/>
                      <w:szCs w:val="21"/>
                    </w:rPr>
                    <w:t>于</w:t>
                  </w:r>
                  <w:r>
                    <w:rPr>
                      <w:color w:val="auto"/>
                      <w:sz w:val="21"/>
                      <w:szCs w:val="21"/>
                    </w:rPr>
                    <w:t>常州市金坛区</w:t>
                  </w:r>
                  <w:r>
                    <w:rPr>
                      <w:rFonts w:hint="eastAsia"/>
                      <w:color w:val="auto"/>
                      <w:sz w:val="21"/>
                      <w:szCs w:val="21"/>
                      <w:lang w:eastAsia="zh-CN"/>
                    </w:rPr>
                    <w:t>西城路118号</w:t>
                  </w:r>
                  <w:r>
                    <w:rPr>
                      <w:rFonts w:hint="eastAsia"/>
                      <w:color w:val="auto"/>
                      <w:sz w:val="21"/>
                      <w:szCs w:val="21"/>
                    </w:rPr>
                    <w:t>，最近的生态空间管控区为</w:t>
                  </w:r>
                  <w:r>
                    <w:rPr>
                      <w:rFonts w:hint="eastAsia"/>
                      <w:color w:val="auto"/>
                      <w:sz w:val="21"/>
                      <w:szCs w:val="21"/>
                      <w:lang w:val="en-US" w:eastAsia="zh-CN"/>
                    </w:rPr>
                    <w:t>3</w:t>
                  </w:r>
                  <w:r>
                    <w:rPr>
                      <w:rFonts w:hint="eastAsia"/>
                      <w:color w:val="auto"/>
                      <w:sz w:val="21"/>
                      <w:szCs w:val="21"/>
                    </w:rPr>
                    <w:t>km处的丹金溧漕河洪水调蓄区；对照《</w:t>
                  </w:r>
                  <w:r>
                    <w:rPr>
                      <w:rFonts w:hint="eastAsia"/>
                      <w:color w:val="auto"/>
                      <w:sz w:val="21"/>
                      <w:szCs w:val="21"/>
                      <w:lang w:val="en-US" w:eastAsia="zh-CN"/>
                    </w:rPr>
                    <w:t>金坛金城科技产业园发展规划环境影响报告书</w:t>
                  </w:r>
                  <w:r>
                    <w:rPr>
                      <w:rFonts w:hint="eastAsia"/>
                      <w:color w:val="auto"/>
                      <w:sz w:val="21"/>
                      <w:szCs w:val="21"/>
                    </w:rPr>
                    <w:t>》，用地性质为工业用地。</w:t>
                  </w:r>
                </w:p>
              </w:tc>
              <w:tc>
                <w:tcPr>
                  <w:tcW w:w="460" w:type="pct"/>
                  <w:vMerge w:val="restart"/>
                  <w:noWrap w:val="0"/>
                  <w:vAlign w:val="center"/>
                </w:tcPr>
                <w:p w14:paraId="0B94D061">
                  <w:pPr>
                    <w:snapToGrid w:val="0"/>
                    <w:spacing w:line="240" w:lineRule="auto"/>
                    <w:jc w:val="center"/>
                    <w:rPr>
                      <w:color w:val="auto"/>
                      <w:sz w:val="21"/>
                      <w:szCs w:val="21"/>
                    </w:rPr>
                  </w:pPr>
                  <w:r>
                    <w:rPr>
                      <w:rFonts w:hint="eastAsia"/>
                      <w:color w:val="auto"/>
                      <w:sz w:val="21"/>
                      <w:szCs w:val="21"/>
                    </w:rPr>
                    <w:t>相符</w:t>
                  </w:r>
                </w:p>
              </w:tc>
            </w:tr>
            <w:tr w14:paraId="48B719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continue"/>
                  <w:tcBorders>
                    <w:right w:val="single" w:color="auto" w:sz="4" w:space="0"/>
                  </w:tcBorders>
                  <w:noWrap w:val="0"/>
                  <w:vAlign w:val="center"/>
                </w:tcPr>
                <w:p w14:paraId="454EDB34">
                  <w:pPr>
                    <w:snapToGrid w:val="0"/>
                    <w:spacing w:line="240" w:lineRule="auto"/>
                    <w:jc w:val="center"/>
                    <w:rPr>
                      <w:color w:val="auto"/>
                      <w:sz w:val="21"/>
                      <w:szCs w:val="21"/>
                    </w:rPr>
                  </w:pPr>
                </w:p>
              </w:tc>
              <w:tc>
                <w:tcPr>
                  <w:tcW w:w="2955" w:type="pct"/>
                  <w:tcBorders>
                    <w:left w:val="single" w:color="auto" w:sz="4" w:space="0"/>
                  </w:tcBorders>
                  <w:noWrap w:val="0"/>
                  <w:vAlign w:val="center"/>
                </w:tcPr>
                <w:p w14:paraId="0B652FE6">
                  <w:pPr>
                    <w:snapToGrid w:val="0"/>
                    <w:spacing w:line="240" w:lineRule="auto"/>
                    <w:jc w:val="center"/>
                    <w:rPr>
                      <w:rFonts w:hint="eastAsia"/>
                      <w:color w:val="auto"/>
                      <w:sz w:val="21"/>
                      <w:szCs w:val="21"/>
                    </w:rPr>
                  </w:pPr>
                  <w:r>
                    <w:rPr>
                      <w:rFonts w:hint="eastAsia"/>
                      <w:b/>
                      <w:bCs/>
                      <w:color w:val="auto"/>
                      <w:sz w:val="21"/>
                      <w:szCs w:val="21"/>
                    </w:rPr>
                    <w:t>推动国土空间紧凑布局，促进国土集约高效利用。</w:t>
                  </w:r>
                  <w:r>
                    <w:rPr>
                      <w:rFonts w:hint="eastAsia"/>
                      <w:color w:val="auto"/>
                      <w:sz w:val="21"/>
                      <w:szCs w:val="21"/>
                    </w:rPr>
                    <w:t>更大力度推进全省区域协调发展，深入实施新型城镇化战略，全面优化区域互补、跨江融合、南北联动的融合发展格局，构建带圈集聚、腹地开敞的国土空间新格局。加强基础设施和公共服务设施用地供给，建设内通外联的综合立体交通网，加强水利基础设施建设，完善能源资源布局，促进国土空间有序开发和集约高效利用，实现区域与城乡建设用地结构性减量。</w:t>
                  </w:r>
                </w:p>
              </w:tc>
              <w:tc>
                <w:tcPr>
                  <w:tcW w:w="1146" w:type="pct"/>
                  <w:vMerge w:val="continue"/>
                  <w:noWrap w:val="0"/>
                  <w:vAlign w:val="center"/>
                </w:tcPr>
                <w:p w14:paraId="6A88A3CC">
                  <w:pPr>
                    <w:snapToGrid w:val="0"/>
                    <w:spacing w:line="240" w:lineRule="auto"/>
                    <w:jc w:val="center"/>
                    <w:rPr>
                      <w:color w:val="auto"/>
                      <w:sz w:val="21"/>
                      <w:szCs w:val="21"/>
                    </w:rPr>
                  </w:pPr>
                </w:p>
              </w:tc>
              <w:tc>
                <w:tcPr>
                  <w:tcW w:w="460" w:type="pct"/>
                  <w:vMerge w:val="continue"/>
                  <w:noWrap w:val="0"/>
                  <w:vAlign w:val="center"/>
                </w:tcPr>
                <w:p w14:paraId="5BF78BA1">
                  <w:pPr>
                    <w:snapToGrid w:val="0"/>
                    <w:spacing w:line="240" w:lineRule="auto"/>
                    <w:jc w:val="center"/>
                    <w:rPr>
                      <w:color w:val="auto"/>
                      <w:sz w:val="21"/>
                      <w:szCs w:val="21"/>
                    </w:rPr>
                  </w:pPr>
                </w:p>
              </w:tc>
            </w:tr>
            <w:tr w14:paraId="07CF66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continue"/>
                  <w:tcBorders>
                    <w:right w:val="single" w:color="auto" w:sz="4" w:space="0"/>
                  </w:tcBorders>
                  <w:noWrap w:val="0"/>
                  <w:vAlign w:val="center"/>
                </w:tcPr>
                <w:p w14:paraId="0571F6ED">
                  <w:pPr>
                    <w:snapToGrid w:val="0"/>
                    <w:spacing w:line="240" w:lineRule="auto"/>
                    <w:jc w:val="center"/>
                    <w:rPr>
                      <w:color w:val="auto"/>
                      <w:sz w:val="21"/>
                      <w:szCs w:val="21"/>
                    </w:rPr>
                  </w:pPr>
                </w:p>
              </w:tc>
              <w:tc>
                <w:tcPr>
                  <w:tcW w:w="2955" w:type="pct"/>
                  <w:tcBorders>
                    <w:left w:val="single" w:color="auto" w:sz="4" w:space="0"/>
                  </w:tcBorders>
                  <w:noWrap w:val="0"/>
                  <w:vAlign w:val="center"/>
                </w:tcPr>
                <w:p w14:paraId="32211D1C">
                  <w:pPr>
                    <w:snapToGrid w:val="0"/>
                    <w:spacing w:line="240" w:lineRule="auto"/>
                    <w:jc w:val="center"/>
                    <w:rPr>
                      <w:rFonts w:hint="eastAsia"/>
                      <w:color w:val="auto"/>
                      <w:sz w:val="21"/>
                      <w:szCs w:val="21"/>
                    </w:rPr>
                  </w:pPr>
                  <w:r>
                    <w:rPr>
                      <w:rFonts w:hint="eastAsia"/>
                      <w:b/>
                      <w:bCs/>
                      <w:color w:val="auto"/>
                      <w:sz w:val="21"/>
                      <w:szCs w:val="21"/>
                    </w:rPr>
                    <w:t>提升陆海统筹水平，向海发展实现新突破。</w:t>
                  </w:r>
                  <w:r>
                    <w:rPr>
                      <w:rFonts w:hint="eastAsia"/>
                      <w:color w:val="auto"/>
                      <w:sz w:val="21"/>
                      <w:szCs w:val="21"/>
                    </w:rPr>
                    <w:t>现代海洋经济发展空间不断拓展，构建以滨海湿地和农田景观为主，城镇和港口点状分布，河流和道路网贯穿其中的陆海交互区国土空间统筹新格局；沿海地区基本形成现代产业体系，海洋经济综合实力和竞争力显著提升，成为全国海洋综合实力较强地区；持续推进海岸线综合整治和生态修复，提升海洋生态空间总体质量水平，实现海洋综合效益提升，发挥海洋“蓝碳”碳汇功能。</w:t>
                  </w:r>
                </w:p>
              </w:tc>
              <w:tc>
                <w:tcPr>
                  <w:tcW w:w="1146" w:type="pct"/>
                  <w:vMerge w:val="continue"/>
                  <w:noWrap w:val="0"/>
                  <w:vAlign w:val="center"/>
                </w:tcPr>
                <w:p w14:paraId="624932D5">
                  <w:pPr>
                    <w:snapToGrid w:val="0"/>
                    <w:spacing w:line="240" w:lineRule="auto"/>
                    <w:jc w:val="center"/>
                    <w:rPr>
                      <w:color w:val="auto"/>
                      <w:sz w:val="21"/>
                      <w:szCs w:val="21"/>
                    </w:rPr>
                  </w:pPr>
                </w:p>
              </w:tc>
              <w:tc>
                <w:tcPr>
                  <w:tcW w:w="460" w:type="pct"/>
                  <w:vMerge w:val="continue"/>
                  <w:noWrap w:val="0"/>
                  <w:vAlign w:val="center"/>
                </w:tcPr>
                <w:p w14:paraId="1F1E57F2">
                  <w:pPr>
                    <w:snapToGrid w:val="0"/>
                    <w:spacing w:line="240" w:lineRule="auto"/>
                    <w:jc w:val="center"/>
                    <w:rPr>
                      <w:color w:val="auto"/>
                      <w:sz w:val="21"/>
                      <w:szCs w:val="21"/>
                    </w:rPr>
                  </w:pPr>
                </w:p>
              </w:tc>
            </w:tr>
            <w:tr w14:paraId="6DDCFF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continue"/>
                  <w:tcBorders>
                    <w:right w:val="single" w:color="auto" w:sz="4" w:space="0"/>
                  </w:tcBorders>
                  <w:noWrap w:val="0"/>
                  <w:vAlign w:val="center"/>
                </w:tcPr>
                <w:p w14:paraId="577090B4">
                  <w:pPr>
                    <w:snapToGrid w:val="0"/>
                    <w:spacing w:line="240" w:lineRule="auto"/>
                    <w:jc w:val="center"/>
                    <w:rPr>
                      <w:color w:val="auto"/>
                      <w:sz w:val="21"/>
                      <w:szCs w:val="21"/>
                    </w:rPr>
                  </w:pPr>
                </w:p>
              </w:tc>
              <w:tc>
                <w:tcPr>
                  <w:tcW w:w="2955" w:type="pct"/>
                  <w:tcBorders>
                    <w:left w:val="single" w:color="auto" w:sz="4" w:space="0"/>
                  </w:tcBorders>
                  <w:noWrap w:val="0"/>
                  <w:vAlign w:val="center"/>
                </w:tcPr>
                <w:p w14:paraId="206CB54C">
                  <w:pPr>
                    <w:snapToGrid w:val="0"/>
                    <w:spacing w:line="240" w:lineRule="auto"/>
                    <w:jc w:val="center"/>
                    <w:rPr>
                      <w:rFonts w:hint="eastAsia"/>
                      <w:color w:val="auto"/>
                      <w:sz w:val="21"/>
                      <w:szCs w:val="21"/>
                    </w:rPr>
                  </w:pPr>
                  <w:r>
                    <w:rPr>
                      <w:rFonts w:hint="eastAsia"/>
                      <w:b/>
                      <w:bCs/>
                      <w:color w:val="auto"/>
                      <w:sz w:val="21"/>
                      <w:szCs w:val="21"/>
                    </w:rPr>
                    <w:t>整体保护与高效利用资源，利用效率大幅提升。</w:t>
                  </w:r>
                  <w:r>
                    <w:rPr>
                      <w:rFonts w:hint="eastAsia"/>
                      <w:color w:val="auto"/>
                      <w:sz w:val="21"/>
                      <w:szCs w:val="21"/>
                    </w:rPr>
                    <w:t>科学配置水资源，提高流域和区域水资源统筹调配能力，促进水土关系协调；加强森林资源系统保护与综合利用，增加森林碳汇；加强河湖水域及岸线的保护和集约节约利用；全面保护湿地资源，规范湿地用途管制；强化矿产资源保护与高效利用，推进矿地融合发展。</w:t>
                  </w:r>
                </w:p>
              </w:tc>
              <w:tc>
                <w:tcPr>
                  <w:tcW w:w="1146" w:type="pct"/>
                  <w:vMerge w:val="continue"/>
                  <w:noWrap w:val="0"/>
                  <w:vAlign w:val="center"/>
                </w:tcPr>
                <w:p w14:paraId="397DE378">
                  <w:pPr>
                    <w:snapToGrid w:val="0"/>
                    <w:spacing w:line="240" w:lineRule="auto"/>
                    <w:jc w:val="center"/>
                    <w:rPr>
                      <w:color w:val="auto"/>
                      <w:sz w:val="21"/>
                      <w:szCs w:val="21"/>
                    </w:rPr>
                  </w:pPr>
                </w:p>
              </w:tc>
              <w:tc>
                <w:tcPr>
                  <w:tcW w:w="460" w:type="pct"/>
                  <w:vMerge w:val="continue"/>
                  <w:noWrap w:val="0"/>
                  <w:vAlign w:val="center"/>
                </w:tcPr>
                <w:p w14:paraId="6965844E">
                  <w:pPr>
                    <w:snapToGrid w:val="0"/>
                    <w:spacing w:line="240" w:lineRule="auto"/>
                    <w:jc w:val="center"/>
                    <w:rPr>
                      <w:color w:val="auto"/>
                      <w:sz w:val="21"/>
                      <w:szCs w:val="21"/>
                    </w:rPr>
                  </w:pPr>
                </w:p>
              </w:tc>
            </w:tr>
            <w:tr w14:paraId="020C15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37" w:type="pct"/>
                  <w:vMerge w:val="continue"/>
                  <w:tcBorders>
                    <w:right w:val="single" w:color="auto" w:sz="4" w:space="0"/>
                  </w:tcBorders>
                  <w:noWrap w:val="0"/>
                  <w:vAlign w:val="center"/>
                </w:tcPr>
                <w:p w14:paraId="47C84015">
                  <w:pPr>
                    <w:snapToGrid w:val="0"/>
                    <w:spacing w:line="240" w:lineRule="auto"/>
                    <w:jc w:val="center"/>
                    <w:rPr>
                      <w:color w:val="auto"/>
                      <w:sz w:val="21"/>
                      <w:szCs w:val="21"/>
                    </w:rPr>
                  </w:pPr>
                </w:p>
              </w:tc>
              <w:tc>
                <w:tcPr>
                  <w:tcW w:w="2955" w:type="pct"/>
                  <w:tcBorders>
                    <w:left w:val="single" w:color="auto" w:sz="4" w:space="0"/>
                  </w:tcBorders>
                  <w:noWrap w:val="0"/>
                  <w:vAlign w:val="center"/>
                </w:tcPr>
                <w:p w14:paraId="55442FFC">
                  <w:pPr>
                    <w:snapToGrid w:val="0"/>
                    <w:spacing w:line="240" w:lineRule="auto"/>
                    <w:jc w:val="center"/>
                    <w:rPr>
                      <w:rFonts w:hint="eastAsia"/>
                      <w:color w:val="auto"/>
                      <w:sz w:val="21"/>
                      <w:szCs w:val="21"/>
                    </w:rPr>
                  </w:pPr>
                  <w:r>
                    <w:rPr>
                      <w:rFonts w:hint="eastAsia"/>
                      <w:b/>
                      <w:bCs/>
                      <w:color w:val="auto"/>
                      <w:sz w:val="21"/>
                      <w:szCs w:val="21"/>
                    </w:rPr>
                    <w:t>健全国土空间开发保护制度，实现高效能治理国土空间。</w:t>
                  </w:r>
                  <w:r>
                    <w:rPr>
                      <w:rFonts w:hint="eastAsia"/>
                      <w:color w:val="auto"/>
                      <w:sz w:val="21"/>
                      <w:szCs w:val="21"/>
                    </w:rPr>
                    <w:t>用途管制制度基本建立，空间规划体系不断完善，资源节约集约水平有效提升；国土空间开发保护制度更加完善，实现国土空间治理能力现代化。</w:t>
                  </w:r>
                </w:p>
              </w:tc>
              <w:tc>
                <w:tcPr>
                  <w:tcW w:w="1146" w:type="pct"/>
                  <w:vMerge w:val="continue"/>
                  <w:noWrap w:val="0"/>
                  <w:vAlign w:val="center"/>
                </w:tcPr>
                <w:p w14:paraId="0B71D352">
                  <w:pPr>
                    <w:snapToGrid w:val="0"/>
                    <w:spacing w:line="240" w:lineRule="auto"/>
                    <w:jc w:val="center"/>
                    <w:rPr>
                      <w:color w:val="auto"/>
                      <w:sz w:val="21"/>
                      <w:szCs w:val="21"/>
                    </w:rPr>
                  </w:pPr>
                </w:p>
              </w:tc>
              <w:tc>
                <w:tcPr>
                  <w:tcW w:w="460" w:type="pct"/>
                  <w:vMerge w:val="continue"/>
                  <w:noWrap w:val="0"/>
                  <w:vAlign w:val="center"/>
                </w:tcPr>
                <w:p w14:paraId="2ECA783D">
                  <w:pPr>
                    <w:snapToGrid w:val="0"/>
                    <w:spacing w:line="240" w:lineRule="auto"/>
                    <w:jc w:val="center"/>
                    <w:rPr>
                      <w:color w:val="auto"/>
                      <w:sz w:val="21"/>
                      <w:szCs w:val="21"/>
                    </w:rPr>
                  </w:pPr>
                </w:p>
              </w:tc>
            </w:tr>
          </w:tbl>
          <w:p w14:paraId="1266BEB3">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与国务院关于《常州市国土空间总体规划（2021—2035年）》的批复国函〔2025〕9号相符性分析</w:t>
            </w:r>
          </w:p>
          <w:p w14:paraId="5B49E7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000000" w:themeColor="text1"/>
                <w:kern w:val="0"/>
                <w:sz w:val="21"/>
                <w:szCs w:val="21"/>
                <w:lang w:val="en-US"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表1-7 本项目与国务院关于《常州市国土空间总体规划（2021—2035年）》的批复国函〔2025〕9号相符性分析</w:t>
            </w:r>
          </w:p>
          <w:tbl>
            <w:tblPr>
              <w:tblStyle w:val="23"/>
              <w:tblW w:w="83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8"/>
              <w:gridCol w:w="2320"/>
              <w:gridCol w:w="826"/>
            </w:tblGrid>
            <w:tr w14:paraId="7E056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58" w:type="dxa"/>
                  <w:tcBorders>
                    <w:tl2br w:val="nil"/>
                    <w:tr2bl w:val="nil"/>
                  </w:tcBorders>
                  <w:vAlign w:val="center"/>
                </w:tcPr>
                <w:p w14:paraId="2EAE3829">
                  <w:pPr>
                    <w:snapToGrid w:val="0"/>
                    <w:spacing w:line="240" w:lineRule="auto"/>
                    <w:jc w:val="center"/>
                    <w:rPr>
                      <w:rFonts w:hint="default"/>
                      <w:b/>
                      <w:bCs/>
                      <w:color w:val="000000" w:themeColor="text1"/>
                      <w:kern w:val="0"/>
                      <w:sz w:val="24"/>
                      <w:szCs w:val="24"/>
                      <w:vertAlign w:val="baseline"/>
                      <w:lang w:val="en-US" w:eastAsia="zh-CN"/>
                      <w14:textFill>
                        <w14:solidFill>
                          <w14:schemeClr w14:val="tx1"/>
                        </w14:solidFill>
                      </w14:textFill>
                    </w:rPr>
                  </w:pPr>
                  <w:r>
                    <w:rPr>
                      <w:rFonts w:hint="eastAsia"/>
                      <w:b/>
                      <w:color w:val="000000" w:themeColor="text1"/>
                      <w:sz w:val="21"/>
                      <w:szCs w:val="21"/>
                      <w14:textFill>
                        <w14:solidFill>
                          <w14:schemeClr w14:val="tx1"/>
                        </w14:solidFill>
                      </w14:textFill>
                    </w:rPr>
                    <w:t>文件</w:t>
                  </w:r>
                  <w:r>
                    <w:rPr>
                      <w:b/>
                      <w:color w:val="000000" w:themeColor="text1"/>
                      <w:sz w:val="21"/>
                      <w:szCs w:val="21"/>
                      <w14:textFill>
                        <w14:solidFill>
                          <w14:schemeClr w14:val="tx1"/>
                        </w14:solidFill>
                      </w14:textFill>
                    </w:rPr>
                    <w:t>要求</w:t>
                  </w:r>
                </w:p>
              </w:tc>
              <w:tc>
                <w:tcPr>
                  <w:tcW w:w="2320" w:type="dxa"/>
                  <w:tcBorders>
                    <w:tl2br w:val="nil"/>
                    <w:tr2bl w:val="nil"/>
                  </w:tcBorders>
                  <w:vAlign w:val="center"/>
                </w:tcPr>
                <w:p w14:paraId="3071A1EF">
                  <w:pPr>
                    <w:snapToGrid w:val="0"/>
                    <w:spacing w:line="240" w:lineRule="auto"/>
                    <w:jc w:val="center"/>
                    <w:rPr>
                      <w:rFonts w:hint="default"/>
                      <w:b/>
                      <w:bCs/>
                      <w:color w:val="000000" w:themeColor="text1"/>
                      <w:kern w:val="0"/>
                      <w:sz w:val="24"/>
                      <w:szCs w:val="24"/>
                      <w:vertAlign w:val="baseline"/>
                      <w:lang w:val="en-US" w:eastAsia="zh-CN"/>
                      <w14:textFill>
                        <w14:solidFill>
                          <w14:schemeClr w14:val="tx1"/>
                        </w14:solidFill>
                      </w14:textFill>
                    </w:rPr>
                  </w:pPr>
                  <w:r>
                    <w:rPr>
                      <w:b/>
                      <w:color w:val="000000" w:themeColor="text1"/>
                      <w:sz w:val="21"/>
                      <w:szCs w:val="21"/>
                      <w14:textFill>
                        <w14:solidFill>
                          <w14:schemeClr w14:val="tx1"/>
                        </w14:solidFill>
                      </w14:textFill>
                    </w:rPr>
                    <w:t>本项目情况</w:t>
                  </w:r>
                </w:p>
              </w:tc>
              <w:tc>
                <w:tcPr>
                  <w:tcW w:w="826" w:type="dxa"/>
                  <w:tcBorders>
                    <w:tl2br w:val="nil"/>
                    <w:tr2bl w:val="nil"/>
                  </w:tcBorders>
                  <w:vAlign w:val="center"/>
                </w:tcPr>
                <w:p w14:paraId="0E88351F">
                  <w:pPr>
                    <w:snapToGrid w:val="0"/>
                    <w:spacing w:line="240" w:lineRule="auto"/>
                    <w:jc w:val="center"/>
                    <w:rPr>
                      <w:rFonts w:hint="default"/>
                      <w:b/>
                      <w:bCs/>
                      <w:color w:val="000000" w:themeColor="text1"/>
                      <w:kern w:val="0"/>
                      <w:sz w:val="24"/>
                      <w:szCs w:val="24"/>
                      <w:vertAlign w:val="baseline"/>
                      <w:lang w:val="en-US" w:eastAsia="zh-CN"/>
                      <w14:textFill>
                        <w14:solidFill>
                          <w14:schemeClr w14:val="tx1"/>
                        </w14:solidFill>
                      </w14:textFill>
                    </w:rPr>
                  </w:pPr>
                  <w:r>
                    <w:rPr>
                      <w:b/>
                      <w:color w:val="000000" w:themeColor="text1"/>
                      <w:sz w:val="21"/>
                      <w:szCs w:val="21"/>
                      <w14:textFill>
                        <w14:solidFill>
                          <w14:schemeClr w14:val="tx1"/>
                        </w14:solidFill>
                      </w14:textFill>
                    </w:rPr>
                    <w:t>相符性</w:t>
                  </w:r>
                </w:p>
              </w:tc>
            </w:tr>
            <w:tr w14:paraId="622D2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58" w:type="dxa"/>
                  <w:tcBorders>
                    <w:tl2br w:val="nil"/>
                    <w:tr2bl w:val="nil"/>
                  </w:tcBorders>
                  <w:vAlign w:val="center"/>
                </w:tcPr>
                <w:p w14:paraId="3468CB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筑牢安全发展的空间基础。</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到2035年，常州市耕地保有量不低于126.08万亩，其中永久基本农田保护面积不低于114.96万亩；生态保护红线面积不低于346.10平方千米；城镇开发边界面积控制在925.06平方千米以内；单位国内生产总值建设用地使用面积下降不少于40%；用水总量不超过上级下达指标，其中2025年不超过31.0亿立方米。明确自然灾害风险重点防控区域，划定洪涝、地震等风险控制线以及绿地系统线、水体保护线、历史文化保护线和基础设施建设控制线，落实战略性矿产资源等安全保障空间。</w:t>
                  </w:r>
                </w:p>
              </w:tc>
              <w:tc>
                <w:tcPr>
                  <w:tcW w:w="2320" w:type="dxa"/>
                  <w:tcBorders>
                    <w:tl2br w:val="nil"/>
                    <w:tr2bl w:val="nil"/>
                  </w:tcBorders>
                  <w:vAlign w:val="center"/>
                </w:tcPr>
                <w:p w14:paraId="753E34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000000" w:themeColor="text1"/>
                      <w:kern w:val="0"/>
                      <w:sz w:val="24"/>
                      <w:szCs w:val="24"/>
                      <w:vertAlign w:val="baseline"/>
                      <w:lang w:val="en-US" w:eastAsia="zh-CN"/>
                      <w14:textFill>
                        <w14:solidFill>
                          <w14:schemeClr w14:val="tx1"/>
                        </w14:solidFill>
                      </w14:textFill>
                    </w:rPr>
                  </w:pPr>
                  <w:bookmarkStart w:id="17" w:name="OLE_LINK16"/>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本项目位于常州市金坛区西城路118号，最近的生态空间管控区为3km处的丹金溧漕河洪水调蓄区；对照《金坛金城科技产业园发展规划环境影响报告书》，用地性质为工业用地。</w:t>
                  </w:r>
                  <w:bookmarkEnd w:id="17"/>
                </w:p>
              </w:tc>
              <w:tc>
                <w:tcPr>
                  <w:tcW w:w="826" w:type="dxa"/>
                  <w:tcBorders>
                    <w:tl2br w:val="nil"/>
                    <w:tr2bl w:val="nil"/>
                  </w:tcBorders>
                  <w:vAlign w:val="center"/>
                </w:tcPr>
                <w:p w14:paraId="2280DAE4">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b/>
                      <w:bCs/>
                      <w:color w:val="000000" w:themeColor="text1"/>
                      <w:kern w:val="0"/>
                      <w:sz w:val="24"/>
                      <w:szCs w:val="24"/>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68CDC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58" w:type="dxa"/>
                  <w:tcBorders>
                    <w:tl2br w:val="nil"/>
                    <w:tr2bl w:val="nil"/>
                  </w:tcBorders>
                  <w:vAlign w:val="center"/>
                </w:tcPr>
                <w:p w14:paraId="67593A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构建支撑新发展格局的国土空间体系。</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深度融入长江经济带发展、长三角一体化发展战略，主动融入上海大都市圈建设，强化与南京都市圈功能联动，促进长江南北岸城市功能联动，加强苏锡常都市圈国土空间开发保护利用的区域协同，促进形成主体功能明显、优势互补、高质量发展的国土空间开发保护新格局。</w:t>
                  </w:r>
                </w:p>
              </w:tc>
              <w:tc>
                <w:tcPr>
                  <w:tcW w:w="2320" w:type="dxa"/>
                  <w:tcBorders>
                    <w:tl2br w:val="nil"/>
                    <w:tr2bl w:val="nil"/>
                  </w:tcBorders>
                  <w:vAlign w:val="center"/>
                </w:tcPr>
                <w:p w14:paraId="563996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本项目位于常州市金坛区西城路118号，</w:t>
                  </w: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金坛区是连接上海、苏锡常都市圈、杭州都市圈和南京都市圈的重要节点城</w:t>
                  </w:r>
                </w:p>
                <w:p w14:paraId="0E515F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000000" w:themeColor="text1"/>
                      <w:kern w:val="0"/>
                      <w:sz w:val="24"/>
                      <w:szCs w:val="24"/>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市，地处中国最大的经济核心区——长三角经济区苏锡常板块。</w:t>
                  </w:r>
                </w:p>
              </w:tc>
              <w:tc>
                <w:tcPr>
                  <w:tcW w:w="826" w:type="dxa"/>
                  <w:tcBorders>
                    <w:tl2br w:val="nil"/>
                    <w:tr2bl w:val="nil"/>
                  </w:tcBorders>
                  <w:vAlign w:val="center"/>
                </w:tcPr>
                <w:p w14:paraId="66A5BC92">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b/>
                      <w:bCs/>
                      <w:color w:val="000000" w:themeColor="text1"/>
                      <w:kern w:val="0"/>
                      <w:sz w:val="24"/>
                      <w:szCs w:val="24"/>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309AB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58" w:type="dxa"/>
                  <w:tcBorders>
                    <w:tl2br w:val="nil"/>
                    <w:tr2bl w:val="nil"/>
                  </w:tcBorders>
                  <w:vAlign w:val="center"/>
                </w:tcPr>
                <w:p w14:paraId="544D16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000000" w:themeColor="text1"/>
                      <w:kern w:val="0"/>
                      <w:sz w:val="24"/>
                      <w:szCs w:val="24"/>
                      <w:vertAlign w:val="baseline"/>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做好规划实施保障。</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江苏省人民政府、自然资源部要指导督促常州市人民政府加强组织领导，明确责任分工，健全工作机制，完善配套政策措施，做好《规划》印发和公开。常州市人民政府要依据经批准的总体规划编制专项规划和详细规划，依据详细规划核发规划许可，加强城市设计方法运用，建立国土空间相关专项规划统筹管理制度，强化对各专项规划的指导约束；按照“统一底图、统一标准、统一规划、统一平台”的要求，完善国土空间规划“一张图”系统和国土空间基础信息平台，建设国土空间规划实施监测网络；建立健全城市国土空间规划委员会制度。自然资源部要会同有关方面根据职责分工，密切协调配合，加强指导、监督和评估，确保实现《规划》确定的各项目标和任务。各有关部门要坚决贯彻党中央、国务院关于“多规合一”改革的决策部署，不在国土空间规划体系之外另设其他空间规划。《规划》实施中的重大事项要及时请示报告。</w:t>
                  </w:r>
                </w:p>
              </w:tc>
              <w:tc>
                <w:tcPr>
                  <w:tcW w:w="2320" w:type="dxa"/>
                  <w:tcBorders>
                    <w:tl2br w:val="nil"/>
                    <w:tr2bl w:val="nil"/>
                  </w:tcBorders>
                  <w:vAlign w:val="center"/>
                </w:tcPr>
                <w:p w14:paraId="7774FA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本项目位于常州市金坛区西城路118号，最近的生态空间管控区为3km处的丹金溧漕河洪水调蓄区；对照《金坛金城科技产业园发展规划环境影响报告书》，用地性质为工业用地。</w:t>
                  </w:r>
                </w:p>
              </w:tc>
              <w:tc>
                <w:tcPr>
                  <w:tcW w:w="826" w:type="dxa"/>
                  <w:tcBorders>
                    <w:tl2br w:val="nil"/>
                    <w:tr2bl w:val="nil"/>
                  </w:tcBorders>
                  <w:vAlign w:val="center"/>
                </w:tcPr>
                <w:p w14:paraId="44B14F58">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b/>
                      <w:bCs/>
                      <w:color w:val="000000" w:themeColor="text1"/>
                      <w:kern w:val="0"/>
                      <w:sz w:val="24"/>
                      <w:szCs w:val="24"/>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bl>
          <w:p w14:paraId="105CC7BB">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b w:val="0"/>
                <w:bCs w:val="0"/>
                <w:color w:val="000000" w:themeColor="text1"/>
                <w:kern w:val="0"/>
                <w:sz w:val="24"/>
                <w:szCs w:val="24"/>
                <w:lang w:val="en-US" w:eastAsia="zh-CN"/>
                <w14:textFill>
                  <w14:solidFill>
                    <w14:schemeClr w14:val="tx1"/>
                  </w14:solidFill>
                </w14:textFill>
              </w:rPr>
            </w:pPr>
            <w:r>
              <w:rPr>
                <w:rFonts w:hint="eastAsia"/>
                <w:b w:val="0"/>
                <w:bCs w:val="0"/>
                <w:color w:val="000000" w:themeColor="text1"/>
                <w:kern w:val="0"/>
                <w:sz w:val="24"/>
                <w:szCs w:val="24"/>
                <w:lang w:val="en-US" w:eastAsia="zh-CN"/>
                <w14:textFill>
                  <w14:solidFill>
                    <w14:schemeClr w14:val="tx1"/>
                  </w14:solidFill>
                </w14:textFill>
              </w:rPr>
              <w:t>与市政府市政府关于印发《常州市空气质量持续改善行动计划实施方案》的通知常政发〔2024〕51号相符性分析：</w:t>
            </w:r>
          </w:p>
          <w:p w14:paraId="46F31A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000000" w:themeColor="text1"/>
                <w:kern w:val="0"/>
                <w:sz w:val="21"/>
                <w:szCs w:val="21"/>
                <w:lang w:val="en-US"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表1-8本项目与市政府市政府关于印发《常州市空气质量持续改善行动计划实施方案》的通知常政发〔2024〕51号相符性分析</w:t>
            </w:r>
          </w:p>
          <w:tbl>
            <w:tblPr>
              <w:tblStyle w:val="23"/>
              <w:tblW w:w="83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4679"/>
              <w:gridCol w:w="2071"/>
              <w:gridCol w:w="635"/>
            </w:tblGrid>
            <w:tr w14:paraId="41A00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598" w:type="dxa"/>
                  <w:gridSpan w:val="2"/>
                  <w:tcBorders>
                    <w:tl2br w:val="nil"/>
                    <w:tr2bl w:val="nil"/>
                  </w:tcBorders>
                  <w:vAlign w:val="center"/>
                </w:tcPr>
                <w:p w14:paraId="73F558FC">
                  <w:pPr>
                    <w:snapToGrid w:val="0"/>
                    <w:spacing w:line="240" w:lineRule="auto"/>
                    <w:jc w:val="cente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文件要求</w:t>
                  </w:r>
                </w:p>
              </w:tc>
              <w:tc>
                <w:tcPr>
                  <w:tcW w:w="2071" w:type="dxa"/>
                  <w:tcBorders>
                    <w:tl2br w:val="nil"/>
                    <w:tr2bl w:val="nil"/>
                  </w:tcBorders>
                  <w:vAlign w:val="center"/>
                </w:tcPr>
                <w:p w14:paraId="20621F15">
                  <w:pPr>
                    <w:snapToGrid w:val="0"/>
                    <w:spacing w:line="240" w:lineRule="auto"/>
                    <w:jc w:val="cente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本项目情况</w:t>
                  </w:r>
                </w:p>
              </w:tc>
              <w:tc>
                <w:tcPr>
                  <w:tcW w:w="635" w:type="dxa"/>
                  <w:tcBorders>
                    <w:tl2br w:val="nil"/>
                    <w:tr2bl w:val="nil"/>
                  </w:tcBorders>
                  <w:vAlign w:val="center"/>
                </w:tcPr>
                <w:p w14:paraId="569593A1">
                  <w:pPr>
                    <w:snapToGrid w:val="0"/>
                    <w:spacing w:line="240" w:lineRule="auto"/>
                    <w:jc w:val="cente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相符性</w:t>
                  </w:r>
                </w:p>
              </w:tc>
            </w:tr>
            <w:tr w14:paraId="21751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tcBorders>
                    <w:tl2br w:val="nil"/>
                    <w:tr2bl w:val="nil"/>
                  </w:tcBorders>
                  <w:vAlign w:val="center"/>
                </w:tcPr>
                <w:p w14:paraId="490A72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总体要求</w:t>
                  </w:r>
                </w:p>
              </w:tc>
              <w:tc>
                <w:tcPr>
                  <w:tcW w:w="4679" w:type="dxa"/>
                  <w:tcBorders>
                    <w:tl2br w:val="nil"/>
                    <w:tr2bl w:val="nil"/>
                  </w:tcBorders>
                  <w:vAlign w:val="center"/>
                </w:tcPr>
                <w:p w14:paraId="5BDDBF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以习近平新时代中国特色社会主义思想为指导，全面贯彻党的二十大及二十届三中全会精神，深入贯彻习近平生态文明思想，认真贯彻习近平总书记对江苏工作重要讲话重要指示精神，协同推进降碳、减污、扩绿、增长，以改善空气质量为核心，扎实推进产业、能源、交通绿色低碳转型，推动常州高质量发展继续走在前列，奋力书写好中国式现代化常州答卷。主要目标是：到2025年，全市PM2.5浓度总体达标，PM2.5浓度比2020年下降10%，基本消除重度及以上污染天气，空气质量持续改善；氮氧化物和VOCs排放总量比2020年分别下降10%以上，完成省下达的减排目标。</w:t>
                  </w:r>
                </w:p>
              </w:tc>
              <w:tc>
                <w:tcPr>
                  <w:tcW w:w="2071" w:type="dxa"/>
                  <w:tcBorders>
                    <w:tl2br w:val="nil"/>
                    <w:tr2bl w:val="nil"/>
                  </w:tcBorders>
                  <w:vAlign w:val="center"/>
                </w:tcPr>
                <w:p w14:paraId="7C2F10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本项目位于常州市金坛区西城路118号，项目所在区O</w:t>
                  </w:r>
                  <w:r>
                    <w:rPr>
                      <w:rFonts w:hint="default" w:ascii="Times New Roman" w:hAnsi="Times New Roman" w:cs="Times New Roman" w:eastAsiaTheme="minorEastAsia"/>
                      <w:b w:val="0"/>
                      <w:bCs w:val="0"/>
                      <w:color w:val="000000" w:themeColor="text1"/>
                      <w:kern w:val="0"/>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、PM2.5超标，</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因此</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为非达标区</w:t>
                  </w:r>
                </w:p>
              </w:tc>
              <w:tc>
                <w:tcPr>
                  <w:tcW w:w="635" w:type="dxa"/>
                  <w:tcBorders>
                    <w:tl2br w:val="nil"/>
                    <w:tr2bl w:val="nil"/>
                  </w:tcBorders>
                  <w:vAlign w:val="center"/>
                </w:tcPr>
                <w:p w14:paraId="4542B7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相符</w:t>
                  </w:r>
                </w:p>
              </w:tc>
            </w:tr>
            <w:tr w14:paraId="7B82F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tcBorders>
                    <w:tl2br w:val="nil"/>
                    <w:tr2bl w:val="nil"/>
                  </w:tcBorders>
                  <w:vAlign w:val="center"/>
                </w:tcPr>
                <w:p w14:paraId="461974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调整优化产业结构，推进产业绿色低碳发展</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br w:type="textWrapping"/>
                  </w:r>
                </w:p>
              </w:tc>
              <w:tc>
                <w:tcPr>
                  <w:tcW w:w="4679" w:type="dxa"/>
                  <w:tcBorders>
                    <w:tl2br w:val="nil"/>
                    <w:tr2bl w:val="nil"/>
                  </w:tcBorders>
                  <w:vAlign w:val="center"/>
                </w:tcPr>
                <w:p w14:paraId="66681C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tc>
              <w:tc>
                <w:tcPr>
                  <w:tcW w:w="2071" w:type="dxa"/>
                  <w:tcBorders>
                    <w:tl2br w:val="nil"/>
                    <w:tr2bl w:val="nil"/>
                  </w:tcBorders>
                  <w:vAlign w:val="center"/>
                </w:tcPr>
                <w:p w14:paraId="76C0F0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本项目是实验室建设项目，不属于“两高”项目。</w:t>
                  </w:r>
                </w:p>
              </w:tc>
              <w:tc>
                <w:tcPr>
                  <w:tcW w:w="635" w:type="dxa"/>
                  <w:tcBorders>
                    <w:tl2br w:val="nil"/>
                    <w:tr2bl w:val="nil"/>
                  </w:tcBorders>
                  <w:vAlign w:val="center"/>
                </w:tcPr>
                <w:p w14:paraId="0B782D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08A06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tcBorders>
                    <w:tl2br w:val="nil"/>
                    <w:tr2bl w:val="nil"/>
                  </w:tcBorders>
                  <w:vAlign w:val="center"/>
                </w:tcPr>
                <w:p w14:paraId="21AC8B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p>
              </w:tc>
              <w:tc>
                <w:tcPr>
                  <w:tcW w:w="4679" w:type="dxa"/>
                  <w:tcBorders>
                    <w:tl2br w:val="nil"/>
                    <w:tr2bl w:val="nil"/>
                  </w:tcBorders>
                  <w:vAlign w:val="center"/>
                </w:tcPr>
                <w:p w14:paraId="43E456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加快退出重点行业落后产能。落实《产业结构调整指导目录》，依法依规逐步退出限制类涉气行业工艺和装备、逐步淘汰步进式烧结机和球团竖炉以及半封闭式硅锰合金、镍铁、高碳铬铁、高碳锰铁电炉。</w:t>
                  </w:r>
                </w:p>
              </w:tc>
              <w:tc>
                <w:tcPr>
                  <w:tcW w:w="2071" w:type="dxa"/>
                  <w:tcBorders>
                    <w:tl2br w:val="nil"/>
                    <w:tr2bl w:val="nil"/>
                  </w:tcBorders>
                  <w:vAlign w:val="center"/>
                </w:tcPr>
                <w:p w14:paraId="26DE3D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本项目是实验室建设项目，不属于产能落后项目，不属于</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《产业结构调整指导目录》</w:t>
                  </w: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中</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限制类涉气行业工艺和装备、逐步淘汰步进式烧结机和球团竖炉以及半封闭式硅锰合金、镍铁、高碳铬铁、高碳锰铁电炉</w:t>
                  </w: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项目</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w:t>
                  </w:r>
                </w:p>
              </w:tc>
              <w:tc>
                <w:tcPr>
                  <w:tcW w:w="635" w:type="dxa"/>
                  <w:tcBorders>
                    <w:tl2br w:val="nil"/>
                    <w:tr2bl w:val="nil"/>
                  </w:tcBorders>
                  <w:vAlign w:val="center"/>
                </w:tcPr>
                <w:p w14:paraId="306154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3C8D5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tcBorders>
                    <w:tl2br w:val="nil"/>
                    <w:tr2bl w:val="nil"/>
                  </w:tcBorders>
                  <w:vAlign w:val="center"/>
                </w:tcPr>
                <w:p w14:paraId="05B7C9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推进能源高效利用，加快能源清洁低碳转型</w:t>
                  </w: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br w:type="textWrapping"/>
                  </w:r>
                </w:p>
              </w:tc>
              <w:tc>
                <w:tcPr>
                  <w:tcW w:w="4679" w:type="dxa"/>
                  <w:tcBorders>
                    <w:tl2br w:val="nil"/>
                    <w:tr2bl w:val="nil"/>
                  </w:tcBorders>
                  <w:vAlign w:val="center"/>
                </w:tcPr>
                <w:p w14:paraId="35E587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tc>
              <w:tc>
                <w:tcPr>
                  <w:tcW w:w="2071" w:type="dxa"/>
                  <w:tcBorders>
                    <w:tl2br w:val="nil"/>
                    <w:tr2bl w:val="nil"/>
                  </w:tcBorders>
                  <w:vAlign w:val="center"/>
                </w:tcPr>
                <w:p w14:paraId="2E5D4D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本项目使用能源为电能。</w:t>
                  </w:r>
                </w:p>
              </w:tc>
              <w:tc>
                <w:tcPr>
                  <w:tcW w:w="635" w:type="dxa"/>
                  <w:tcBorders>
                    <w:tl2br w:val="nil"/>
                    <w:tr2bl w:val="nil"/>
                  </w:tcBorders>
                  <w:vAlign w:val="center"/>
                </w:tcPr>
                <w:p w14:paraId="662C76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58646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tcBorders>
                    <w:tl2br w:val="nil"/>
                    <w:tr2bl w:val="nil"/>
                  </w:tcBorders>
                  <w:vAlign w:val="center"/>
                </w:tcPr>
                <w:p w14:paraId="6A7220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强化协同减排，切实降低污染物排放强度</w:t>
                  </w:r>
                  <w:r>
                    <w:rPr>
                      <w:rFonts w:hint="default" w:ascii="Times New Roman" w:hAnsi="Times New Roman" w:cs="Times New Roman" w:eastAsiaTheme="minorEastAsia"/>
                      <w:color w:val="000000" w:themeColor="text1"/>
                      <w:sz w:val="21"/>
                      <w:szCs w:val="21"/>
                      <w14:textFill>
                        <w14:solidFill>
                          <w14:schemeClr w14:val="tx1"/>
                        </w14:solidFill>
                      </w14:textFill>
                    </w:rPr>
                    <w:br w:type="textWrapping"/>
                  </w:r>
                </w:p>
              </w:tc>
              <w:tc>
                <w:tcPr>
                  <w:tcW w:w="4679" w:type="dxa"/>
                  <w:tcBorders>
                    <w:tl2br w:val="nil"/>
                    <w:tr2bl w:val="nil"/>
                  </w:tcBorders>
                  <w:vAlign w:val="center"/>
                </w:tcPr>
                <w:p w14:paraId="600024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tc>
              <w:tc>
                <w:tcPr>
                  <w:tcW w:w="2071" w:type="dxa"/>
                  <w:tcBorders>
                    <w:tl2br w:val="nil"/>
                    <w:tr2bl w:val="nil"/>
                  </w:tcBorders>
                  <w:vAlign w:val="center"/>
                </w:tcPr>
                <w:p w14:paraId="77044B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本项目是实验室建设项目，产生的废气有非甲烷总烃，非甲烷总烃</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经</w:t>
                  </w:r>
                  <w:r>
                    <w:rPr>
                      <w:rFonts w:hint="eastAsia"/>
                      <w:color w:val="auto"/>
                      <w:sz w:val="21"/>
                      <w:szCs w:val="21"/>
                      <w:lang w:val="en-US" w:eastAsia="zh-CN"/>
                    </w:rPr>
                    <w:t>内置活性炭吸附装置无管道通风橱处置后，车间无组织排放</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w:t>
                  </w:r>
                </w:p>
              </w:tc>
              <w:tc>
                <w:tcPr>
                  <w:tcW w:w="635" w:type="dxa"/>
                  <w:tcBorders>
                    <w:tl2br w:val="nil"/>
                    <w:tr2bl w:val="nil"/>
                  </w:tcBorders>
                  <w:vAlign w:val="center"/>
                </w:tcPr>
                <w:p w14:paraId="56B8ED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5BFC5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tcBorders>
                    <w:tl2br w:val="nil"/>
                    <w:tr2bl w:val="nil"/>
                  </w:tcBorders>
                  <w:vAlign w:val="center"/>
                </w:tcPr>
                <w:p w14:paraId="6184F0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679" w:type="dxa"/>
                  <w:tcBorders>
                    <w:tl2br w:val="nil"/>
                    <w:tr2bl w:val="nil"/>
                  </w:tcBorders>
                  <w:vAlign w:val="center"/>
                </w:tcPr>
                <w:p w14:paraId="05DDBA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tc>
              <w:tc>
                <w:tcPr>
                  <w:tcW w:w="2071" w:type="dxa"/>
                  <w:tcBorders>
                    <w:tl2br w:val="nil"/>
                    <w:tr2bl w:val="nil"/>
                  </w:tcBorders>
                  <w:vAlign w:val="center"/>
                </w:tcPr>
                <w:p w14:paraId="218364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bookmarkStart w:id="18" w:name="OLE_LINK18"/>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本项目是实验室建设项目，</w:t>
                  </w:r>
                  <w:bookmarkEnd w:id="18"/>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不属于</w:t>
                  </w:r>
                  <w:r>
                    <w:rPr>
                      <w:rFonts w:hint="default" w:ascii="Times New Roman" w:hAnsi="Times New Roman" w:cs="Times New Roman" w:eastAsiaTheme="minorEastAsia"/>
                      <w:color w:val="000000" w:themeColor="text1"/>
                      <w:sz w:val="21"/>
                      <w:szCs w:val="21"/>
                      <w14:textFill>
                        <w14:solidFill>
                          <w14:schemeClr w14:val="tx1"/>
                        </w14:solidFill>
                      </w14:textFill>
                    </w:rPr>
                    <w:t>铸造、垃圾焚烧发电、玻璃、有色、石灰、矿棉等行业</w:t>
                  </w:r>
                </w:p>
              </w:tc>
              <w:tc>
                <w:tcPr>
                  <w:tcW w:w="635" w:type="dxa"/>
                  <w:tcBorders>
                    <w:tl2br w:val="nil"/>
                    <w:tr2bl w:val="nil"/>
                  </w:tcBorders>
                  <w:vAlign w:val="center"/>
                </w:tcPr>
                <w:p w14:paraId="18B18B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36695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tcBorders>
                    <w:tl2br w:val="nil"/>
                    <w:tr2bl w:val="nil"/>
                  </w:tcBorders>
                  <w:vAlign w:val="center"/>
                </w:tcPr>
                <w:p w14:paraId="7CE07A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完善工作机制，健全大气环境管理体系</w:t>
                  </w:r>
                  <w:r>
                    <w:rPr>
                      <w:rFonts w:hint="default" w:ascii="Times New Roman" w:hAnsi="Times New Roman" w:cs="Times New Roman" w:eastAsiaTheme="minorEastAsia"/>
                      <w:color w:val="000000" w:themeColor="text1"/>
                      <w:sz w:val="21"/>
                      <w:szCs w:val="21"/>
                      <w14:textFill>
                        <w14:solidFill>
                          <w14:schemeClr w14:val="tx1"/>
                        </w14:solidFill>
                      </w14:textFill>
                    </w:rPr>
                    <w:br w:type="textWrapping"/>
                  </w:r>
                </w:p>
              </w:tc>
              <w:tc>
                <w:tcPr>
                  <w:tcW w:w="4679" w:type="dxa"/>
                  <w:tcBorders>
                    <w:tl2br w:val="nil"/>
                    <w:tr2bl w:val="nil"/>
                  </w:tcBorders>
                  <w:vAlign w:val="center"/>
                </w:tcPr>
                <w:p w14:paraId="38A59B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开展区域联防联控和城市空气质量达标管理。积极推进大气污染联防联控机制建设。空气质量未达标的地区编制实施大气环境质量限期达标规划，明确达标路线图及重点任务，并向社会公开。</w:t>
                  </w:r>
                </w:p>
              </w:tc>
              <w:tc>
                <w:tcPr>
                  <w:tcW w:w="2071" w:type="dxa"/>
                  <w:tcBorders>
                    <w:tl2br w:val="nil"/>
                    <w:tr2bl w:val="nil"/>
                  </w:tcBorders>
                  <w:vAlign w:val="center"/>
                </w:tcPr>
                <w:p w14:paraId="5248BD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本项目产生的非甲烷总烃</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、颗粒物</w:t>
                  </w:r>
                  <w:r>
                    <w:rPr>
                      <w:color w:val="000000" w:themeColor="text1"/>
                      <w:sz w:val="21"/>
                      <w:szCs w:val="21"/>
                      <w14:textFill>
                        <w14:solidFill>
                          <w14:schemeClr w14:val="tx1"/>
                        </w14:solidFill>
                      </w14:textFill>
                    </w:rPr>
                    <w:t>在</w:t>
                  </w:r>
                  <w:r>
                    <w:rPr>
                      <w:rFonts w:hint="eastAsia"/>
                      <w:color w:val="000000" w:themeColor="text1"/>
                      <w:sz w:val="21"/>
                      <w:szCs w:val="21"/>
                      <w:lang w:val="en-US" w:eastAsia="zh-CN"/>
                      <w14:textFill>
                        <w14:solidFill>
                          <w14:schemeClr w14:val="tx1"/>
                        </w14:solidFill>
                      </w14:textFill>
                    </w:rPr>
                    <w:t>金坛区</w:t>
                  </w:r>
                  <w:r>
                    <w:rPr>
                      <w:color w:val="000000" w:themeColor="text1"/>
                      <w:sz w:val="21"/>
                      <w:szCs w:val="21"/>
                      <w14:textFill>
                        <w14:solidFill>
                          <w14:schemeClr w14:val="tx1"/>
                        </w14:solidFill>
                      </w14:textFill>
                    </w:rPr>
                    <w:t>内进行平衡</w:t>
                  </w:r>
                  <w:r>
                    <w:rPr>
                      <w:rFonts w:hint="eastAsia"/>
                      <w:color w:val="000000" w:themeColor="text1"/>
                      <w:sz w:val="21"/>
                      <w:szCs w:val="21"/>
                      <w:lang w:eastAsia="zh-CN"/>
                      <w14:textFill>
                        <w14:solidFill>
                          <w14:schemeClr w14:val="tx1"/>
                        </w14:solidFill>
                      </w14:textFill>
                    </w:rPr>
                    <w:t>。</w:t>
                  </w:r>
                </w:p>
              </w:tc>
              <w:tc>
                <w:tcPr>
                  <w:tcW w:w="635" w:type="dxa"/>
                  <w:tcBorders>
                    <w:tl2br w:val="nil"/>
                    <w:tr2bl w:val="nil"/>
                  </w:tcBorders>
                  <w:vAlign w:val="center"/>
                </w:tcPr>
                <w:p w14:paraId="624EF2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5035F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tcBorders>
                    <w:tl2br w:val="nil"/>
                    <w:tr2bl w:val="nil"/>
                  </w:tcBorders>
                  <w:vAlign w:val="center"/>
                </w:tcPr>
                <w:p w14:paraId="2778B2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679" w:type="dxa"/>
                  <w:tcBorders>
                    <w:tl2br w:val="nil"/>
                    <w:tr2bl w:val="nil"/>
                  </w:tcBorders>
                  <w:vAlign w:val="center"/>
                </w:tcPr>
                <w:p w14:paraId="3D8A5F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tc>
              <w:tc>
                <w:tcPr>
                  <w:tcW w:w="2071" w:type="dxa"/>
                  <w:tcBorders>
                    <w:tl2br w:val="nil"/>
                    <w:tr2bl w:val="nil"/>
                  </w:tcBorders>
                  <w:vAlign w:val="center"/>
                </w:tcPr>
                <w:p w14:paraId="5332E4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本项目环评编制中，</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环评编制完成后</w:t>
                  </w: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申领排污许可证。</w:t>
                  </w:r>
                </w:p>
              </w:tc>
              <w:tc>
                <w:tcPr>
                  <w:tcW w:w="635" w:type="dxa"/>
                  <w:tcBorders>
                    <w:tl2br w:val="nil"/>
                    <w:tr2bl w:val="nil"/>
                  </w:tcBorders>
                  <w:vAlign w:val="center"/>
                </w:tcPr>
                <w:p w14:paraId="7B5E0A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1FF58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tcBorders>
                    <w:tl2br w:val="nil"/>
                    <w:tr2bl w:val="nil"/>
                  </w:tcBorders>
                  <w:vAlign w:val="center"/>
                </w:tcPr>
                <w:p w14:paraId="347EDA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健全标准规范体系，完善生态环境经济政策</w:t>
                  </w:r>
                  <w:r>
                    <w:rPr>
                      <w:rFonts w:hint="default" w:ascii="Times New Roman" w:hAnsi="Times New Roman" w:cs="Times New Roman" w:eastAsiaTheme="minorEastAsia"/>
                      <w:color w:val="000000" w:themeColor="text1"/>
                      <w:sz w:val="21"/>
                      <w:szCs w:val="21"/>
                      <w14:textFill>
                        <w14:solidFill>
                          <w14:schemeClr w14:val="tx1"/>
                        </w14:solidFill>
                      </w14:textFill>
                    </w:rPr>
                    <w:br w:type="textWrapping"/>
                  </w:r>
                </w:p>
              </w:tc>
              <w:tc>
                <w:tcPr>
                  <w:tcW w:w="4679" w:type="dxa"/>
                  <w:tcBorders>
                    <w:tl2br w:val="nil"/>
                    <w:tr2bl w:val="nil"/>
                  </w:tcBorders>
                  <w:vAlign w:val="center"/>
                </w:tcPr>
                <w:p w14:paraId="126891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tc>
              <w:tc>
                <w:tcPr>
                  <w:tcW w:w="2071" w:type="dxa"/>
                  <w:tcBorders>
                    <w:tl2br w:val="nil"/>
                    <w:tr2bl w:val="nil"/>
                  </w:tcBorders>
                  <w:vAlign w:val="center"/>
                </w:tcPr>
                <w:p w14:paraId="076BCF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产生的有组织排放的非甲烷总烃执行《大气污染物综合排放标准》(DB32/4041-2021)表1标准；无组织排放的非甲烷总体执行《大气污染物综合排放标准》(DB32/4041-2021)表2和标标准</w:t>
                  </w:r>
                </w:p>
              </w:tc>
              <w:tc>
                <w:tcPr>
                  <w:tcW w:w="635" w:type="dxa"/>
                  <w:tcBorders>
                    <w:tl2br w:val="nil"/>
                    <w:tr2bl w:val="nil"/>
                  </w:tcBorders>
                  <w:vAlign w:val="center"/>
                </w:tcPr>
                <w:p w14:paraId="7343FB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r w14:paraId="31F03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tcBorders>
                    <w:tl2br w:val="nil"/>
                    <w:tr2bl w:val="nil"/>
                  </w:tcBorders>
                  <w:vAlign w:val="center"/>
                </w:tcPr>
                <w:p w14:paraId="61868F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落实各方责任，构建全民行动格局</w:t>
                  </w:r>
                  <w:r>
                    <w:rPr>
                      <w:rFonts w:hint="default" w:ascii="Times New Roman" w:hAnsi="Times New Roman" w:cs="Times New Roman" w:eastAsiaTheme="minorEastAsia"/>
                      <w:color w:val="000000" w:themeColor="text1"/>
                      <w:sz w:val="21"/>
                      <w:szCs w:val="21"/>
                      <w14:textFill>
                        <w14:solidFill>
                          <w14:schemeClr w14:val="tx1"/>
                        </w14:solidFill>
                      </w14:textFill>
                    </w:rPr>
                    <w:br w:type="textWrapping"/>
                  </w:r>
                </w:p>
              </w:tc>
              <w:tc>
                <w:tcPr>
                  <w:tcW w:w="4679" w:type="dxa"/>
                  <w:tcBorders>
                    <w:tl2br w:val="nil"/>
                    <w:tr2bl w:val="nil"/>
                  </w:tcBorders>
                  <w:vAlign w:val="center"/>
                </w:tcPr>
                <w:p w14:paraId="0CA5EE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tc>
              <w:tc>
                <w:tcPr>
                  <w:tcW w:w="2071" w:type="dxa"/>
                  <w:tcBorders>
                    <w:tl2br w:val="nil"/>
                    <w:tr2bl w:val="nil"/>
                  </w:tcBorders>
                  <w:vAlign w:val="center"/>
                </w:tcPr>
                <w:p w14:paraId="574FCD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产生的废气有非甲烷总烃、氨、臭气和颗粒物，非甲烷总烃、氨和臭气浓度</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经</w:t>
                  </w:r>
                  <w:r>
                    <w:rPr>
                      <w:rFonts w:hint="eastAsia"/>
                      <w:color w:val="auto"/>
                      <w:sz w:val="21"/>
                      <w:szCs w:val="21"/>
                      <w:lang w:val="en-US" w:eastAsia="zh-CN"/>
                    </w:rPr>
                    <w:t>内置活性炭吸附装置无管道通风橱处置后，车间无组织排放</w:t>
                  </w:r>
                  <w:r>
                    <w:rPr>
                      <w:rFonts w:hint="eastAsia"/>
                      <w:color w:val="000000" w:themeColor="text1"/>
                      <w:sz w:val="21"/>
                      <w:szCs w:val="21"/>
                      <w:lang w:val="en-US" w:eastAsia="zh-CN"/>
                      <w14:textFill>
                        <w14:solidFill>
                          <w14:schemeClr w14:val="tx1"/>
                        </w14:solidFill>
                      </w14:textFill>
                    </w:rPr>
                    <w:t>，颗粒物产生量较小，只做定性分析，无组织排放</w:t>
                  </w:r>
                  <w:r>
                    <w:rPr>
                      <w:rFonts w:hint="eastAsia"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t>。</w:t>
                  </w:r>
                </w:p>
              </w:tc>
              <w:tc>
                <w:tcPr>
                  <w:tcW w:w="635" w:type="dxa"/>
                  <w:tcBorders>
                    <w:tl2br w:val="nil"/>
                    <w:tr2bl w:val="nil"/>
                  </w:tcBorders>
                  <w:vAlign w:val="center"/>
                </w:tcPr>
                <w:p w14:paraId="3406D4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14:textFill>
                        <w14:solidFill>
                          <w14:schemeClr w14:val="tx1"/>
                        </w14:solidFill>
                      </w14:textFill>
                    </w:rPr>
                  </w:pPr>
                  <w:r>
                    <w:rPr>
                      <w:rFonts w:hint="eastAsia"/>
                      <w:b w:val="0"/>
                      <w:bCs w:val="0"/>
                      <w:color w:val="000000" w:themeColor="text1"/>
                      <w:kern w:val="0"/>
                      <w:sz w:val="21"/>
                      <w:szCs w:val="21"/>
                      <w:vertAlign w:val="baseline"/>
                      <w:lang w:val="en-US" w:eastAsia="zh-CN"/>
                      <w14:textFill>
                        <w14:solidFill>
                          <w14:schemeClr w14:val="tx1"/>
                        </w14:solidFill>
                      </w14:textFill>
                    </w:rPr>
                    <w:t>相符</w:t>
                  </w:r>
                </w:p>
              </w:tc>
            </w:tr>
          </w:tbl>
          <w:p w14:paraId="2F08667C">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auto"/>
                <w:kern w:val="0"/>
                <w:sz w:val="24"/>
                <w:szCs w:val="24"/>
              </w:rPr>
            </w:pPr>
            <w:r>
              <w:rPr>
                <w:b/>
                <w:bCs/>
                <w:color w:val="auto"/>
                <w:kern w:val="0"/>
                <w:sz w:val="24"/>
                <w:szCs w:val="24"/>
              </w:rPr>
              <w:t xml:space="preserve">与法律法规政策的相符性分析 </w:t>
            </w:r>
          </w:p>
          <w:p w14:paraId="4A577FDA">
            <w:pPr>
              <w:keepNext w:val="0"/>
              <w:keepLines w:val="0"/>
              <w:pageBreakBefore w:val="0"/>
              <w:widowControl w:val="0"/>
              <w:kinsoku/>
              <w:wordWrap/>
              <w:overflowPunct/>
              <w:topLinePunct w:val="0"/>
              <w:bidi w:val="0"/>
              <w:spacing w:line="480" w:lineRule="exact"/>
              <w:ind w:firstLine="480" w:firstLineChars="200"/>
              <w:textAlignment w:val="auto"/>
              <w:rPr>
                <w:color w:val="auto"/>
                <w:sz w:val="24"/>
                <w:szCs w:val="24"/>
              </w:rPr>
            </w:pPr>
            <w:r>
              <w:rPr>
                <w:color w:val="auto"/>
                <w:sz w:val="24"/>
                <w:szCs w:val="24"/>
              </w:rPr>
              <w:t>1、本项目与各环保政策的相符性分析</w:t>
            </w:r>
          </w:p>
          <w:p w14:paraId="6A593CCC">
            <w:pPr>
              <w:pStyle w:val="11"/>
              <w:numPr>
                <w:ilvl w:val="0"/>
                <w:numId w:val="0"/>
              </w:numPr>
              <w:rPr>
                <w:color w:val="auto"/>
                <w:sz w:val="24"/>
                <w:szCs w:val="24"/>
              </w:rPr>
            </w:pPr>
          </w:p>
        </w:tc>
      </w:tr>
    </w:tbl>
    <w:p w14:paraId="5B7DA101">
      <w:pPr>
        <w:pStyle w:val="11"/>
        <w:numPr>
          <w:ilvl w:val="0"/>
          <w:numId w:val="0"/>
        </w:numPr>
        <w:rPr>
          <w:color w:val="auto"/>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3062"/>
      </w:tblGrid>
      <w:tr w14:paraId="3DE48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6" w:type="pct"/>
            <w:noWrap w:val="0"/>
            <w:vAlign w:val="center"/>
          </w:tcPr>
          <w:p w14:paraId="30BEA6E1">
            <w:pPr>
              <w:autoSpaceDE w:val="0"/>
              <w:autoSpaceDN w:val="0"/>
              <w:adjustRightInd w:val="0"/>
              <w:snapToGrid w:val="0"/>
              <w:jc w:val="center"/>
              <w:rPr>
                <w:color w:val="auto"/>
                <w:kern w:val="0"/>
                <w:sz w:val="24"/>
                <w:szCs w:val="24"/>
              </w:rPr>
            </w:pPr>
          </w:p>
        </w:tc>
        <w:tc>
          <w:tcPr>
            <w:tcW w:w="4783" w:type="pct"/>
            <w:noWrap w:val="0"/>
            <w:vAlign w:val="center"/>
          </w:tcPr>
          <w:p w14:paraId="35567B6C">
            <w:pPr>
              <w:snapToGrid w:val="0"/>
              <w:spacing w:before="72" w:beforeLines="30" w:line="360" w:lineRule="exact"/>
              <w:jc w:val="center"/>
              <w:rPr>
                <w:b/>
                <w:bCs/>
                <w:color w:val="auto"/>
                <w:sz w:val="24"/>
                <w:szCs w:val="24"/>
              </w:rPr>
            </w:pPr>
            <w:r>
              <w:rPr>
                <w:b/>
                <w:bCs/>
                <w:color w:val="auto"/>
                <w:sz w:val="24"/>
                <w:szCs w:val="24"/>
              </w:rPr>
              <w:t>表1-</w:t>
            </w:r>
            <w:r>
              <w:rPr>
                <w:rFonts w:hint="eastAsia"/>
                <w:b/>
                <w:bCs/>
                <w:color w:val="auto"/>
                <w:sz w:val="24"/>
                <w:szCs w:val="24"/>
                <w:lang w:val="en-US" w:eastAsia="zh-CN"/>
              </w:rPr>
              <w:t>9</w:t>
            </w:r>
            <w:r>
              <w:rPr>
                <w:b/>
                <w:bCs/>
                <w:color w:val="auto"/>
                <w:sz w:val="24"/>
                <w:szCs w:val="24"/>
              </w:rPr>
              <w:t xml:space="preserve">  本项目</w:t>
            </w:r>
            <w:r>
              <w:rPr>
                <w:rFonts w:hint="eastAsia"/>
                <w:b/>
                <w:bCs/>
                <w:color w:val="auto"/>
                <w:sz w:val="24"/>
                <w:szCs w:val="24"/>
              </w:rPr>
              <w:t>与</w:t>
            </w:r>
            <w:r>
              <w:rPr>
                <w:b/>
                <w:bCs/>
                <w:color w:val="auto"/>
                <w:sz w:val="24"/>
                <w:szCs w:val="24"/>
              </w:rPr>
              <w:t>环保政策相符性分析</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057"/>
              <w:gridCol w:w="1502"/>
              <w:gridCol w:w="4837"/>
              <w:gridCol w:w="3610"/>
              <w:gridCol w:w="835"/>
            </w:tblGrid>
            <w:tr w14:paraId="50F74B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1" w:hRule="atLeast"/>
              </w:trPr>
              <w:tc>
                <w:tcPr>
                  <w:tcW w:w="800" w:type="pct"/>
                  <w:noWrap w:val="0"/>
                  <w:vAlign w:val="center"/>
                </w:tcPr>
                <w:p w14:paraId="42C7BC3C">
                  <w:pPr>
                    <w:snapToGri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文件名称</w:t>
                  </w:r>
                </w:p>
              </w:tc>
              <w:tc>
                <w:tcPr>
                  <w:tcW w:w="2467" w:type="pct"/>
                  <w:gridSpan w:val="2"/>
                  <w:noWrap w:val="0"/>
                  <w:vAlign w:val="center"/>
                </w:tcPr>
                <w:p w14:paraId="20CEC857">
                  <w:pPr>
                    <w:snapToGri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要求</w:t>
                  </w:r>
                </w:p>
              </w:tc>
              <w:tc>
                <w:tcPr>
                  <w:tcW w:w="1405" w:type="pct"/>
                  <w:noWrap w:val="0"/>
                  <w:vAlign w:val="center"/>
                </w:tcPr>
                <w:p w14:paraId="35B90F17">
                  <w:pPr>
                    <w:snapToGri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本项目情况</w:t>
                  </w:r>
                </w:p>
              </w:tc>
              <w:tc>
                <w:tcPr>
                  <w:tcW w:w="325" w:type="pct"/>
                  <w:noWrap w:val="0"/>
                  <w:vAlign w:val="center"/>
                </w:tcPr>
                <w:p w14:paraId="1A68D6B9">
                  <w:pPr>
                    <w:snapToGri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相符性</w:t>
                  </w:r>
                </w:p>
              </w:tc>
            </w:tr>
            <w:tr w14:paraId="1680C7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00" w:type="pct"/>
                  <w:vMerge w:val="restart"/>
                  <w:noWrap w:val="0"/>
                  <w:vAlign w:val="center"/>
                </w:tcPr>
                <w:p w14:paraId="7BA13681">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《太湖流域管理条例》（2011年）</w:t>
                  </w:r>
                </w:p>
              </w:tc>
              <w:tc>
                <w:tcPr>
                  <w:tcW w:w="2467" w:type="pct"/>
                  <w:gridSpan w:val="2"/>
                  <w:noWrap w:val="0"/>
                  <w:vAlign w:val="center"/>
                </w:tcPr>
                <w:p w14:paraId="6960E9B8">
                  <w:pPr>
                    <w:pStyle w:val="65"/>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排污单位排放水污染物，不得超过经核定的水污染物排放总量，并应当按照规定设置便于检查、采样的规范化排污口，悬挂标志牌；不得私设暗管或者采取其他规避监管的方式排放水污染物。</w:t>
                  </w:r>
                </w:p>
              </w:tc>
              <w:tc>
                <w:tcPr>
                  <w:tcW w:w="1405" w:type="pct"/>
                  <w:noWrap w:val="0"/>
                  <w:vAlign w:val="center"/>
                </w:tcPr>
                <w:p w14:paraId="36FFA014">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生活污水接入区域污水管网进</w:t>
                  </w:r>
                  <w:r>
                    <w:rPr>
                      <w:rFonts w:hint="eastAsia"/>
                      <w:color w:val="000000" w:themeColor="text1"/>
                      <w:sz w:val="21"/>
                      <w:szCs w:val="21"/>
                      <w:lang w:val="en-US" w:eastAsia="zh-CN"/>
                      <w14:textFill>
                        <w14:solidFill>
                          <w14:schemeClr w14:val="tx1"/>
                        </w14:solidFill>
                      </w14:textFill>
                    </w:rPr>
                    <w:t>入</w:t>
                  </w:r>
                  <w:r>
                    <w:rPr>
                      <w:rFonts w:hint="eastAsia"/>
                      <w:color w:val="000000" w:themeColor="text1"/>
                      <w:sz w:val="21"/>
                      <w:szCs w:val="21"/>
                      <w14:textFill>
                        <w14:solidFill>
                          <w14:schemeClr w14:val="tx1"/>
                        </w14:solidFill>
                      </w14:textFill>
                    </w:rPr>
                    <w:t>常州金坛区第二污水处理有限公司处理后达标排放</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目前厂区已按</w:t>
                  </w:r>
                  <w:r>
                    <w:rPr>
                      <w:color w:val="000000" w:themeColor="text1"/>
                      <w:sz w:val="21"/>
                      <w:szCs w:val="21"/>
                      <w14:textFill>
                        <w14:solidFill>
                          <w14:schemeClr w14:val="tx1"/>
                        </w14:solidFill>
                      </w14:textFill>
                    </w:rPr>
                    <w:t>《江苏省排污口设置及规范化整治管理办法》（苏环控〔1997〕122号）要求规范化排污口，杜绝私设暗管或采取其他规避监管的方式排放水污染物。</w:t>
                  </w:r>
                </w:p>
              </w:tc>
              <w:tc>
                <w:tcPr>
                  <w:tcW w:w="325" w:type="pct"/>
                  <w:noWrap w:val="0"/>
                  <w:vAlign w:val="center"/>
                </w:tcPr>
                <w:p w14:paraId="3866BDC6">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022BF3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00" w:type="pct"/>
                  <w:vMerge w:val="continue"/>
                  <w:noWrap w:val="0"/>
                  <w:vAlign w:val="center"/>
                </w:tcPr>
                <w:p w14:paraId="51FB27F3">
                  <w:pPr>
                    <w:snapToGrid w:val="0"/>
                    <w:spacing w:line="240" w:lineRule="auto"/>
                    <w:jc w:val="center"/>
                    <w:rPr>
                      <w:color w:val="000000" w:themeColor="text1"/>
                      <w:sz w:val="21"/>
                      <w:szCs w:val="21"/>
                      <w14:textFill>
                        <w14:solidFill>
                          <w14:schemeClr w14:val="tx1"/>
                        </w14:solidFill>
                      </w14:textFill>
                    </w:rPr>
                  </w:pPr>
                </w:p>
              </w:tc>
              <w:tc>
                <w:tcPr>
                  <w:tcW w:w="2467" w:type="pct"/>
                  <w:gridSpan w:val="2"/>
                  <w:noWrap w:val="0"/>
                  <w:vAlign w:val="center"/>
                </w:tcPr>
                <w:p w14:paraId="29F3FB2C">
                  <w:pPr>
                    <w:pStyle w:val="65"/>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禁止在太湖流域设置不符合国家产业政策和水环境综合治理要求的造纸、制革、酒精、淀粉、冶金、酿造、印染、电镀等排放水污染物的生产项目，现有的生产项目不能实现达标排放的，应当依法关闭。</w:t>
                  </w:r>
                </w:p>
              </w:tc>
              <w:tc>
                <w:tcPr>
                  <w:tcW w:w="1405" w:type="pct"/>
                  <w:noWrap w:val="0"/>
                  <w:vAlign w:val="center"/>
                </w:tcPr>
                <w:p w14:paraId="149FAA61">
                  <w:pPr>
                    <w:snapToGrid w:val="0"/>
                    <w:spacing w:line="240" w:lineRule="auto"/>
                    <w:jc w:val="center"/>
                    <w:rPr>
                      <w:rFonts w:hint="eastAsia" w:eastAsia="宋体"/>
                      <w:bCs/>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本项目不属于文件中所列行业</w:t>
                  </w:r>
                  <w:r>
                    <w:rPr>
                      <w:rFonts w:hint="eastAsia"/>
                      <w:color w:val="000000" w:themeColor="text1"/>
                      <w:sz w:val="21"/>
                      <w:szCs w:val="21"/>
                      <w:lang w:eastAsia="zh-CN"/>
                      <w14:textFill>
                        <w14:solidFill>
                          <w14:schemeClr w14:val="tx1"/>
                        </w14:solidFill>
                      </w14:textFill>
                    </w:rPr>
                    <w:t>。</w:t>
                  </w:r>
                </w:p>
              </w:tc>
              <w:tc>
                <w:tcPr>
                  <w:tcW w:w="325" w:type="pct"/>
                  <w:noWrap w:val="0"/>
                  <w:vAlign w:val="center"/>
                </w:tcPr>
                <w:p w14:paraId="3332DFDB">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7ADFF2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00" w:type="pct"/>
                  <w:vMerge w:val="continue"/>
                  <w:noWrap w:val="0"/>
                  <w:vAlign w:val="center"/>
                </w:tcPr>
                <w:p w14:paraId="3B5A3D6E">
                  <w:pPr>
                    <w:snapToGrid w:val="0"/>
                    <w:spacing w:line="240" w:lineRule="auto"/>
                    <w:jc w:val="center"/>
                    <w:rPr>
                      <w:color w:val="000000" w:themeColor="text1"/>
                      <w:sz w:val="21"/>
                      <w:szCs w:val="21"/>
                      <w14:textFill>
                        <w14:solidFill>
                          <w14:schemeClr w14:val="tx1"/>
                        </w14:solidFill>
                      </w14:textFill>
                    </w:rPr>
                  </w:pPr>
                </w:p>
              </w:tc>
              <w:tc>
                <w:tcPr>
                  <w:tcW w:w="2467" w:type="pct"/>
                  <w:gridSpan w:val="2"/>
                  <w:noWrap w:val="0"/>
                  <w:vAlign w:val="center"/>
                </w:tcPr>
                <w:p w14:paraId="53AD7483">
                  <w:pPr>
                    <w:pStyle w:val="65"/>
                    <w:snapToGrid w:val="0"/>
                    <w:spacing w:line="240" w:lineRule="auto"/>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28711F8D">
                  <w:pPr>
                    <w:pStyle w:val="65"/>
                    <w:snapToGrid w:val="0"/>
                    <w:spacing w:line="240" w:lineRule="auto"/>
                    <w:jc w:val="left"/>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（一）</w:t>
                  </w:r>
                  <w:r>
                    <w:rPr>
                      <w:rFonts w:ascii="Times New Roman" w:hAnsi="Times New Roman" w:eastAsia="宋体"/>
                      <w:color w:val="000000" w:themeColor="text1"/>
                      <w:spacing w:val="-6"/>
                      <w:sz w:val="21"/>
                      <w:szCs w:val="21"/>
                      <w14:textFill>
                        <w14:solidFill>
                          <w14:schemeClr w14:val="tx1"/>
                        </w14:solidFill>
                      </w14:textFill>
                    </w:rPr>
                    <w:t>设置剧毒物质、危险化学品的贮存、输送设施和废物回收场、垃圾场；</w:t>
                  </w:r>
                </w:p>
                <w:p w14:paraId="37CBD8ED">
                  <w:pPr>
                    <w:pStyle w:val="65"/>
                    <w:snapToGrid w:val="0"/>
                    <w:spacing w:line="240" w:lineRule="auto"/>
                    <w:jc w:val="left"/>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（二）</w:t>
                  </w:r>
                  <w:r>
                    <w:rPr>
                      <w:rFonts w:ascii="Times New Roman" w:hAnsi="Times New Roman" w:eastAsia="宋体"/>
                      <w:color w:val="000000" w:themeColor="text1"/>
                      <w:sz w:val="21"/>
                      <w:szCs w:val="21"/>
                      <w14:textFill>
                        <w14:solidFill>
                          <w14:schemeClr w14:val="tx1"/>
                        </w14:solidFill>
                      </w14:textFill>
                    </w:rPr>
                    <w:t>设置水上餐饮经营设施；</w:t>
                  </w:r>
                </w:p>
                <w:p w14:paraId="23721433">
                  <w:pPr>
                    <w:pStyle w:val="65"/>
                    <w:snapToGrid w:val="0"/>
                    <w:spacing w:line="240" w:lineRule="auto"/>
                    <w:jc w:val="left"/>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（三）</w:t>
                  </w:r>
                  <w:r>
                    <w:rPr>
                      <w:rFonts w:ascii="Times New Roman" w:hAnsi="Times New Roman" w:eastAsia="宋体"/>
                      <w:color w:val="000000" w:themeColor="text1"/>
                      <w:sz w:val="21"/>
                      <w:szCs w:val="21"/>
                      <w14:textFill>
                        <w14:solidFill>
                          <w14:schemeClr w14:val="tx1"/>
                        </w14:solidFill>
                      </w14:textFill>
                    </w:rPr>
                    <w:t>新建、扩建高尔夫球场；</w:t>
                  </w:r>
                </w:p>
                <w:p w14:paraId="57973C75">
                  <w:pPr>
                    <w:pStyle w:val="65"/>
                    <w:snapToGrid w:val="0"/>
                    <w:spacing w:line="240" w:lineRule="auto"/>
                    <w:jc w:val="left"/>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（四）</w:t>
                  </w:r>
                  <w:r>
                    <w:rPr>
                      <w:rFonts w:ascii="Times New Roman" w:hAnsi="Times New Roman" w:eastAsia="宋体"/>
                      <w:color w:val="000000" w:themeColor="text1"/>
                      <w:sz w:val="21"/>
                      <w:szCs w:val="21"/>
                      <w14:textFill>
                        <w14:solidFill>
                          <w14:schemeClr w14:val="tx1"/>
                        </w14:solidFill>
                      </w14:textFill>
                    </w:rPr>
                    <w:t>新建、扩建畜禽养殖场；</w:t>
                  </w:r>
                </w:p>
                <w:p w14:paraId="1A6FF8B1">
                  <w:pPr>
                    <w:pStyle w:val="65"/>
                    <w:snapToGrid w:val="0"/>
                    <w:spacing w:line="240" w:lineRule="auto"/>
                    <w:jc w:val="left"/>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（五）</w:t>
                  </w:r>
                  <w:r>
                    <w:rPr>
                      <w:rFonts w:ascii="Times New Roman" w:hAnsi="Times New Roman" w:eastAsia="宋体"/>
                      <w:color w:val="000000" w:themeColor="text1"/>
                      <w:sz w:val="21"/>
                      <w:szCs w:val="21"/>
                      <w14:textFill>
                        <w14:solidFill>
                          <w14:schemeClr w14:val="tx1"/>
                        </w14:solidFill>
                      </w14:textFill>
                    </w:rPr>
                    <w:t>新建、扩建向水体排放污染物的建设项目；</w:t>
                  </w:r>
                </w:p>
                <w:p w14:paraId="42E8BBFF">
                  <w:pPr>
                    <w:pStyle w:val="65"/>
                    <w:snapToGrid w:val="0"/>
                    <w:spacing w:line="240" w:lineRule="auto"/>
                    <w:jc w:val="left"/>
                    <w:rPr>
                      <w:rFonts w:ascii="Times New Roman" w:hAnsi="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（六）本条例第二十九条规定的行为。</w:t>
                  </w:r>
                </w:p>
              </w:tc>
              <w:tc>
                <w:tcPr>
                  <w:tcW w:w="1405" w:type="pct"/>
                  <w:noWrap w:val="0"/>
                  <w:vAlign w:val="center"/>
                </w:tcPr>
                <w:p w14:paraId="1F977DFB">
                  <w:pPr>
                    <w:snapToGrid w:val="0"/>
                    <w:spacing w:line="240" w:lineRule="auto"/>
                    <w:jc w:val="center"/>
                    <w:rPr>
                      <w:rFonts w:hint="eastAsia" w:eastAsia="宋体"/>
                      <w:bCs/>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本项目选址不在文件所列范围内，也不属于文件中禁止的相关行为</w:t>
                  </w:r>
                  <w:r>
                    <w:rPr>
                      <w:rFonts w:hint="eastAsia"/>
                      <w:color w:val="000000" w:themeColor="text1"/>
                      <w:sz w:val="21"/>
                      <w:szCs w:val="21"/>
                      <w:lang w:eastAsia="zh-CN"/>
                      <w14:textFill>
                        <w14:solidFill>
                          <w14:schemeClr w14:val="tx1"/>
                        </w14:solidFill>
                      </w14:textFill>
                    </w:rPr>
                    <w:t>。</w:t>
                  </w:r>
                </w:p>
              </w:tc>
              <w:tc>
                <w:tcPr>
                  <w:tcW w:w="325" w:type="pct"/>
                  <w:noWrap w:val="0"/>
                  <w:vAlign w:val="center"/>
                </w:tcPr>
                <w:p w14:paraId="2DA40007">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3B602F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68" w:hRule="atLeast"/>
              </w:trPr>
              <w:tc>
                <w:tcPr>
                  <w:tcW w:w="800" w:type="pct"/>
                  <w:vMerge w:val="restart"/>
                  <w:noWrap w:val="0"/>
                  <w:vAlign w:val="center"/>
                </w:tcPr>
                <w:p w14:paraId="1FCC0949">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《江苏省太湖水污染防治条例》（2021年修订）</w:t>
                  </w:r>
                </w:p>
              </w:tc>
              <w:tc>
                <w:tcPr>
                  <w:tcW w:w="584" w:type="pct"/>
                  <w:tcBorders>
                    <w:right w:val="single" w:color="auto" w:sz="4" w:space="0"/>
                  </w:tcBorders>
                  <w:noWrap w:val="0"/>
                  <w:vAlign w:val="center"/>
                </w:tcPr>
                <w:p w14:paraId="1D2C62E0">
                  <w:pPr>
                    <w:snapToGrid w:val="0"/>
                    <w:spacing w:line="240" w:lineRule="auto"/>
                    <w:jc w:val="center"/>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第四十三条</w:t>
                  </w:r>
                  <w:r>
                    <w:rPr>
                      <w:bCs/>
                      <w:color w:val="000000" w:themeColor="text1"/>
                      <w:sz w:val="21"/>
                      <w:szCs w:val="21"/>
                      <w14:textFill>
                        <w14:solidFill>
                          <w14:schemeClr w14:val="tx1"/>
                        </w14:solidFill>
                      </w14:textFill>
                    </w:rPr>
                    <w:t>太湖流域一、二、三级保护区禁止下列行为</w:t>
                  </w:r>
                </w:p>
              </w:tc>
              <w:tc>
                <w:tcPr>
                  <w:tcW w:w="1883" w:type="pct"/>
                  <w:tcBorders>
                    <w:left w:val="single" w:color="auto" w:sz="4" w:space="0"/>
                  </w:tcBorders>
                  <w:noWrap w:val="0"/>
                  <w:vAlign w:val="center"/>
                </w:tcPr>
                <w:p w14:paraId="2B46A3B1">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（一）</w:t>
                  </w:r>
                  <w:r>
                    <w:rPr>
                      <w:rFonts w:ascii="Times New Roman" w:hAnsi="Times New Roman" w:eastAsia="宋体"/>
                      <w:color w:val="000000" w:themeColor="text1"/>
                      <w:sz w:val="21"/>
                      <w:szCs w:val="21"/>
                      <w14:textFill>
                        <w14:solidFill>
                          <w14:schemeClr w14:val="tx1"/>
                        </w14:solidFill>
                      </w14:textFill>
                    </w:rPr>
                    <w:t>新建、改建、扩建化学制浆造纸、制革、酿造、染料、印染、电镀以及其他排放含磷、氮等污染物的企业和项目，城镇污水集中处理等环境基础设施项目和第四十六条规定的情形除外；</w:t>
                  </w:r>
                </w:p>
                <w:p w14:paraId="2B5BA043">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（二）</w:t>
                  </w:r>
                  <w:r>
                    <w:rPr>
                      <w:rFonts w:ascii="Times New Roman" w:hAnsi="Times New Roman" w:eastAsia="宋体"/>
                      <w:color w:val="000000" w:themeColor="text1"/>
                      <w:sz w:val="21"/>
                      <w:szCs w:val="21"/>
                      <w14:textFill>
                        <w14:solidFill>
                          <w14:schemeClr w14:val="tx1"/>
                        </w14:solidFill>
                      </w14:textFill>
                    </w:rPr>
                    <w:t>销售、使用含磷洗涤用品；</w:t>
                  </w:r>
                </w:p>
                <w:p w14:paraId="2BE02752">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（三）</w:t>
                  </w:r>
                  <w:r>
                    <w:rPr>
                      <w:rFonts w:ascii="Times New Roman" w:hAnsi="Times New Roman" w:eastAsia="宋体"/>
                      <w:color w:val="000000" w:themeColor="text1"/>
                      <w:sz w:val="21"/>
                      <w:szCs w:val="21"/>
                      <w14:textFill>
                        <w14:solidFill>
                          <w14:schemeClr w14:val="tx1"/>
                        </w14:solidFill>
                      </w14:textFill>
                    </w:rPr>
                    <w:t>向水体排放或者倾倒油类、酸液、碱液、剧毒废渣废液、含放射性废渣废液、含病原体污水、工业废渣以及其他废弃物；</w:t>
                  </w:r>
                </w:p>
                <w:p w14:paraId="451310FD">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（四）在水体清洗装贮过油类或者有毒有害污染物的车辆、船舶和容器等；</w:t>
                  </w:r>
                </w:p>
                <w:p w14:paraId="1653728C">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（五）使用农药等有毒物毒杀水生生物；</w:t>
                  </w:r>
                </w:p>
                <w:p w14:paraId="6C5EC296">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（六）向水体直接排放人畜粪便、倾倒垃圾；</w:t>
                  </w:r>
                </w:p>
                <w:p w14:paraId="59CD893D">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（七）</w:t>
                  </w:r>
                  <w:r>
                    <w:rPr>
                      <w:rFonts w:ascii="Times New Roman" w:hAnsi="Times New Roman" w:eastAsia="宋体"/>
                      <w:color w:val="000000" w:themeColor="text1"/>
                      <w:sz w:val="21"/>
                      <w:szCs w:val="21"/>
                      <w14:textFill>
                        <w14:solidFill>
                          <w14:schemeClr w14:val="tx1"/>
                        </w14:solidFill>
                      </w14:textFill>
                    </w:rPr>
                    <w:t>围湖造地；</w:t>
                  </w:r>
                </w:p>
                <w:p w14:paraId="12FC2835">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（八）违法开山采石，或者进行破坏林木、植被、水生生物的活动；</w:t>
                  </w:r>
                </w:p>
                <w:p w14:paraId="47DD1C32">
                  <w:pPr>
                    <w:pStyle w:val="65"/>
                    <w:snapToGrid w:val="0"/>
                    <w:spacing w:line="240" w:lineRule="auto"/>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（九）法律、法规禁止的其他行为。</w:t>
                  </w:r>
                </w:p>
              </w:tc>
              <w:tc>
                <w:tcPr>
                  <w:tcW w:w="1405" w:type="pct"/>
                  <w:vMerge w:val="restart"/>
                  <w:noWrap w:val="0"/>
                  <w:vAlign w:val="center"/>
                </w:tcPr>
                <w:p w14:paraId="1B770C68">
                  <w:pPr>
                    <w:pStyle w:val="65"/>
                    <w:snapToGrid w:val="0"/>
                    <w:spacing w:line="240" w:lineRule="auto"/>
                    <w:rPr>
                      <w:rFonts w:hint="default" w:ascii="Times New Roman" w:hAnsi="Times New Roman" w:eastAsia="仿宋_GB2312"/>
                      <w:color w:val="000000" w:themeColor="text1"/>
                      <w:kern w:val="2"/>
                      <w:sz w:val="21"/>
                      <w:szCs w:val="21"/>
                      <w:lang w:val="en-US" w:eastAsia="zh-CN"/>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本项目行业类别为</w:t>
                  </w:r>
                  <w:r>
                    <w:rPr>
                      <w:rFonts w:hint="eastAsia" w:ascii="Times New Roman" w:hAnsi="Times New Roman" w:eastAsia="宋体"/>
                      <w:color w:val="000000" w:themeColor="text1"/>
                      <w:kern w:val="2"/>
                      <w:sz w:val="21"/>
                      <w:szCs w:val="21"/>
                      <w:lang w:eastAsia="zh-CN"/>
                      <w14:textFill>
                        <w14:solidFill>
                          <w14:schemeClr w14:val="tx1"/>
                        </w14:solidFill>
                      </w14:textFill>
                    </w:rPr>
                    <w:t>M7320工程和技术研究和试验发展</w:t>
                  </w:r>
                  <w:r>
                    <w:rPr>
                      <w:rFonts w:ascii="Times New Roman" w:hAnsi="Times New Roman" w:eastAsia="宋体"/>
                      <w:color w:val="000000" w:themeColor="text1"/>
                      <w:kern w:val="2"/>
                      <w:sz w:val="21"/>
                      <w:szCs w:val="21"/>
                      <w14:textFill>
                        <w14:solidFill>
                          <w14:schemeClr w14:val="tx1"/>
                        </w14:solidFill>
                      </w14:textFill>
                    </w:rPr>
                    <w:t>，不属于文件中所列的禁止行业</w:t>
                  </w:r>
                  <w:r>
                    <w:rPr>
                      <w:rFonts w:hint="eastAsia" w:ascii="Times New Roman" w:hAnsi="Times New Roman" w:eastAsia="宋体"/>
                      <w:color w:val="000000" w:themeColor="text1"/>
                      <w:kern w:val="2"/>
                      <w:sz w:val="21"/>
                      <w:szCs w:val="21"/>
                      <w14:textFill>
                        <w14:solidFill>
                          <w14:schemeClr w14:val="tx1"/>
                        </w14:solidFill>
                      </w14:textFill>
                    </w:rPr>
                    <w:t>。</w:t>
                  </w:r>
                  <w:r>
                    <w:rPr>
                      <w:rFonts w:ascii="Times New Roman" w:hAnsi="Times New Roman" w:eastAsia="宋体"/>
                      <w:color w:val="000000" w:themeColor="text1"/>
                      <w:kern w:val="2"/>
                      <w:sz w:val="21"/>
                      <w:szCs w:val="21"/>
                      <w14:textFill>
                        <w14:solidFill>
                          <w14:schemeClr w14:val="tx1"/>
                        </w14:solidFill>
                      </w14:textFill>
                    </w:rPr>
                    <w:t>项目位于太湖流域三级保护区内，</w:t>
                  </w:r>
                  <w:r>
                    <w:rPr>
                      <w:rFonts w:hint="eastAsia" w:ascii="Times New Roman" w:hAnsi="Times New Roman" w:eastAsia="宋体"/>
                      <w:color w:val="000000" w:themeColor="text1"/>
                      <w:kern w:val="2"/>
                      <w:sz w:val="21"/>
                      <w:szCs w:val="21"/>
                      <w14:textFill>
                        <w14:solidFill>
                          <w14:schemeClr w14:val="tx1"/>
                        </w14:solidFill>
                      </w14:textFill>
                    </w:rPr>
                    <w:t>属于江苏金坛经济开发区范围内，</w:t>
                  </w:r>
                  <w:r>
                    <w:rPr>
                      <w:rFonts w:ascii="Times New Roman" w:hAnsi="Times New Roman" w:eastAsia="宋体"/>
                      <w:color w:val="000000" w:themeColor="text1"/>
                      <w:kern w:val="2"/>
                      <w:sz w:val="21"/>
                      <w:szCs w:val="21"/>
                      <w14:textFill>
                        <w14:solidFill>
                          <w14:schemeClr w14:val="tx1"/>
                        </w14:solidFill>
                      </w14:textFill>
                    </w:rPr>
                    <w:t>根据《关于印发&lt;江苏省太湖流域战略性新兴产业类别目录（2018年本）&gt;的通知》（苏发改高技发[2018]410号）</w:t>
                  </w:r>
                  <w:r>
                    <w:rPr>
                      <w:rFonts w:hint="eastAsia" w:ascii="Times New Roman" w:hAnsi="Times New Roman" w:eastAsia="宋体"/>
                      <w:color w:val="000000" w:themeColor="text1"/>
                      <w:kern w:val="2"/>
                      <w:sz w:val="21"/>
                      <w:szCs w:val="21"/>
                      <w14:textFill>
                        <w14:solidFill>
                          <w14:schemeClr w14:val="tx1"/>
                        </w14:solidFill>
                      </w14:textFill>
                    </w:rPr>
                    <w:t>，</w:t>
                  </w:r>
                  <w:r>
                    <w:rPr>
                      <w:rFonts w:ascii="Times New Roman" w:hAnsi="Times New Roman" w:eastAsia="宋体"/>
                      <w:color w:val="000000" w:themeColor="text1"/>
                      <w:kern w:val="2"/>
                      <w:sz w:val="21"/>
                      <w:szCs w:val="21"/>
                      <w14:textFill>
                        <w14:solidFill>
                          <w14:schemeClr w14:val="tx1"/>
                        </w14:solidFill>
                      </w14:textFill>
                    </w:rPr>
                    <w:t>按照区域磷、氮等重点水污染物年排放总量减量替代的要求，可在太湖流域二、三级保护区的工业集聚区内新建、改建、扩建目录中确定的战略性新兴产业具体类别项目</w:t>
                  </w:r>
                  <w:r>
                    <w:rPr>
                      <w:rFonts w:hint="eastAsia" w:ascii="Times New Roman" w:hAnsi="Times New Roman" w:eastAsia="宋体"/>
                      <w:color w:val="000000" w:themeColor="text1"/>
                      <w:kern w:val="2"/>
                      <w:sz w:val="21"/>
                      <w:szCs w:val="21"/>
                      <w14:textFill>
                        <w14:solidFill>
                          <w14:schemeClr w14:val="tx1"/>
                        </w14:solidFill>
                      </w14:textFill>
                    </w:rPr>
                    <w:t>，</w:t>
                  </w:r>
                  <w:r>
                    <w:rPr>
                      <w:rFonts w:ascii="Times New Roman" w:hAnsi="Times New Roman" w:eastAsia="宋体"/>
                      <w:color w:val="000000" w:themeColor="text1"/>
                      <w:kern w:val="2"/>
                      <w:sz w:val="21"/>
                      <w:szCs w:val="21"/>
                      <w14:textFill>
                        <w14:solidFill>
                          <w14:schemeClr w14:val="tx1"/>
                        </w14:solidFill>
                      </w14:textFill>
                    </w:rPr>
                    <w:t>本次申报的</w:t>
                  </w:r>
                  <w:r>
                    <w:rPr>
                      <w:rFonts w:hint="eastAsia" w:ascii="Times New Roman" w:hAnsi="Times New Roman" w:eastAsia="宋体"/>
                      <w:color w:val="000000" w:themeColor="text1"/>
                      <w:kern w:val="2"/>
                      <w:sz w:val="21"/>
                      <w:szCs w:val="21"/>
                      <w:lang w:eastAsia="zh-CN"/>
                      <w14:textFill>
                        <w14:solidFill>
                          <w14:schemeClr w14:val="tx1"/>
                        </w14:solidFill>
                      </w14:textFill>
                    </w:rPr>
                    <w:t>实验室建设项目</w:t>
                  </w:r>
                  <w:r>
                    <w:rPr>
                      <w:rFonts w:hint="eastAsia" w:ascii="Times New Roman" w:hAnsi="Times New Roman" w:eastAsia="宋体"/>
                      <w:color w:val="000000" w:themeColor="text1"/>
                      <w:kern w:val="2"/>
                      <w:sz w:val="21"/>
                      <w:szCs w:val="21"/>
                      <w14:textFill>
                        <w14:solidFill>
                          <w14:schemeClr w14:val="tx1"/>
                        </w14:solidFill>
                      </w14:textFill>
                    </w:rPr>
                    <w:t>，该项目已取得了江苏金坛经济开发区管理委员会的认定文件，对照《江苏省太湖流域战略性新兴产业类别目录（2018年本）》，本项目以代谢工程和合成生物学技术改造基因工程菌实验为主，仍属于战略性新兴产业项目中“三、生物技术和</w:t>
                  </w:r>
                  <w:r>
                    <w:rPr>
                      <w:rFonts w:hint="eastAsia" w:ascii="Times New Roman" w:hAnsi="Times New Roman" w:eastAsia="宋体"/>
                      <w:color w:val="000000" w:themeColor="text1"/>
                      <w:kern w:val="2"/>
                      <w:sz w:val="21"/>
                      <w:szCs w:val="21"/>
                      <w:lang w:eastAsia="zh-CN"/>
                      <w14:textFill>
                        <w14:solidFill>
                          <w14:schemeClr w14:val="tx1"/>
                        </w14:solidFill>
                      </w14:textFill>
                    </w:rPr>
                    <w:t>生命健康产业</w:t>
                  </w:r>
                  <w:r>
                    <w:rPr>
                      <w:rFonts w:hint="eastAsia" w:ascii="Times New Roman" w:hAnsi="Times New Roman" w:eastAsia="宋体"/>
                      <w:color w:val="000000" w:themeColor="text1"/>
                      <w:kern w:val="2"/>
                      <w:sz w:val="21"/>
                      <w:szCs w:val="21"/>
                      <w14:textFill>
                        <w14:solidFill>
                          <w14:schemeClr w14:val="tx1"/>
                        </w14:solidFill>
                      </w14:textFill>
                    </w:rPr>
                    <w:t>的”的“</w:t>
                  </w:r>
                  <w:r>
                    <w:rPr>
                      <w:rFonts w:hint="eastAsia" w:ascii="Times New Roman" w:hAnsi="Times New Roman" w:eastAsia="宋体"/>
                      <w:color w:val="000000" w:themeColor="text1"/>
                      <w:kern w:val="2"/>
                      <w:sz w:val="21"/>
                      <w:szCs w:val="21"/>
                      <w:lang w:val="en-US" w:eastAsia="zh-CN"/>
                      <w14:textFill>
                        <w14:solidFill>
                          <w14:schemeClr w14:val="tx1"/>
                        </w14:solidFill>
                      </w14:textFill>
                    </w:rPr>
                    <w:t>32</w:t>
                  </w:r>
                  <w:r>
                    <w:rPr>
                      <w:rFonts w:hint="eastAsia" w:ascii="Times New Roman" w:hAnsi="Times New Roman" w:eastAsia="宋体"/>
                      <w:color w:val="000000" w:themeColor="text1"/>
                      <w:kern w:val="2"/>
                      <w:sz w:val="21"/>
                      <w:szCs w:val="21"/>
                      <w14:textFill>
                        <w14:solidFill>
                          <w14:schemeClr w14:val="tx1"/>
                        </w14:solidFill>
                      </w14:textFill>
                    </w:rPr>
                    <w:t>.</w:t>
                  </w:r>
                  <w:r>
                    <w:rPr>
                      <w:rFonts w:hint="eastAsia" w:ascii="Times New Roman" w:hAnsi="Times New Roman" w:eastAsia="宋体"/>
                      <w:color w:val="000000" w:themeColor="text1"/>
                      <w:kern w:val="2"/>
                      <w:sz w:val="21"/>
                      <w:szCs w:val="21"/>
                      <w:lang w:val="en-US" w:eastAsia="zh-CN"/>
                      <w14:textFill>
                        <w14:solidFill>
                          <w14:schemeClr w14:val="tx1"/>
                        </w14:solidFill>
                      </w14:textFill>
                    </w:rPr>
                    <w:t>分子改良与高分泌表达、养分高效活化利用、微生物功能调控等技术的开</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发与应用</w:t>
                  </w:r>
                  <w:r>
                    <w:rPr>
                      <w:rFonts w:hint="eastAsia" w:ascii="Times New Roman" w:hAnsi="Times New Roman" w:eastAsia="宋体" w:cs="Times New Roman"/>
                      <w:color w:val="000000" w:themeColor="text1"/>
                      <w:kern w:val="2"/>
                      <w:sz w:val="21"/>
                      <w:szCs w:val="21"/>
                      <w14:textFill>
                        <w14:solidFill>
                          <w14:schemeClr w14:val="tx1"/>
                        </w14:solidFill>
                      </w14:textFill>
                    </w:rPr>
                    <w:t>”，本项目</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产生的生活废水接管至金坛第二污水处理厂进行处理，尾水排放至尧塘河。</w:t>
                  </w:r>
                </w:p>
              </w:tc>
              <w:tc>
                <w:tcPr>
                  <w:tcW w:w="325" w:type="pct"/>
                  <w:noWrap w:val="0"/>
                  <w:vAlign w:val="center"/>
                </w:tcPr>
                <w:p w14:paraId="30DB3AB8">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64B3C8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6" w:hRule="atLeast"/>
              </w:trPr>
              <w:tc>
                <w:tcPr>
                  <w:tcW w:w="800" w:type="pct"/>
                  <w:vMerge w:val="continue"/>
                  <w:noWrap w:val="0"/>
                  <w:vAlign w:val="center"/>
                </w:tcPr>
                <w:p w14:paraId="0861D0EA">
                  <w:pPr>
                    <w:snapToGrid w:val="0"/>
                    <w:spacing w:line="240" w:lineRule="auto"/>
                    <w:jc w:val="center"/>
                    <w:rPr>
                      <w:color w:val="000000" w:themeColor="text1"/>
                      <w:sz w:val="21"/>
                      <w:szCs w:val="21"/>
                      <w14:textFill>
                        <w14:solidFill>
                          <w14:schemeClr w14:val="tx1"/>
                        </w14:solidFill>
                      </w14:textFill>
                    </w:rPr>
                  </w:pPr>
                </w:p>
              </w:tc>
              <w:tc>
                <w:tcPr>
                  <w:tcW w:w="584" w:type="pct"/>
                  <w:tcBorders>
                    <w:right w:val="single" w:color="auto" w:sz="4" w:space="0"/>
                  </w:tcBorders>
                  <w:noWrap w:val="0"/>
                  <w:vAlign w:val="center"/>
                </w:tcPr>
                <w:p w14:paraId="417D0EDE">
                  <w:pPr>
                    <w:snapToGrid w:val="0"/>
                    <w:spacing w:line="240" w:lineRule="auto"/>
                    <w:jc w:val="center"/>
                    <w:rPr>
                      <w:bCs/>
                      <w:color w:val="000000" w:themeColor="text1"/>
                      <w:sz w:val="21"/>
                      <w:szCs w:val="21"/>
                      <w14:textFill>
                        <w14:solidFill>
                          <w14:schemeClr w14:val="tx1"/>
                        </w14:solidFill>
                      </w14:textFill>
                    </w:rPr>
                  </w:pPr>
                  <w:r>
                    <w:rPr>
                      <w:rFonts w:hint="eastAsia"/>
                      <w:color w:val="000000" w:themeColor="text1"/>
                      <w:kern w:val="44"/>
                      <w:sz w:val="21"/>
                      <w:szCs w:val="21"/>
                      <w14:textFill>
                        <w14:solidFill>
                          <w14:schemeClr w14:val="tx1"/>
                        </w14:solidFill>
                      </w14:textFill>
                    </w:rPr>
                    <w:t>第</w:t>
                  </w:r>
                  <w:r>
                    <w:rPr>
                      <w:color w:val="000000" w:themeColor="text1"/>
                      <w:kern w:val="44"/>
                      <w:sz w:val="21"/>
                      <w:szCs w:val="21"/>
                      <w14:textFill>
                        <w14:solidFill>
                          <w14:schemeClr w14:val="tx1"/>
                        </w14:solidFill>
                      </w14:textFill>
                    </w:rPr>
                    <w:t>四十六条</w:t>
                  </w:r>
                </w:p>
              </w:tc>
              <w:tc>
                <w:tcPr>
                  <w:tcW w:w="1883" w:type="pct"/>
                  <w:tcBorders>
                    <w:left w:val="single" w:color="auto" w:sz="4" w:space="0"/>
                  </w:tcBorders>
                  <w:noWrap w:val="0"/>
                  <w:vAlign w:val="center"/>
                </w:tcPr>
                <w:p w14:paraId="4528E7E9">
                  <w:pPr>
                    <w:pStyle w:val="65"/>
                    <w:snapToGrid w:val="0"/>
                    <w:spacing w:line="240" w:lineRule="auto"/>
                    <w:jc w:val="both"/>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4112E6C9">
                  <w:pPr>
                    <w:pStyle w:val="65"/>
                    <w:snapToGrid w:val="0"/>
                    <w:spacing w:line="240" w:lineRule="auto"/>
                    <w:jc w:val="both"/>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前款规定中新建、改建、扩建以及技术改造项目的环境影响报告书，除由国务院生态环境主管部门负责审批的情形外，由省生态环境主管部门审批。其中，新建、扩建项目减量替代具体方案，应当在审批机关审查同意前实施完成，完成情况书面报送审批机关。</w:t>
                  </w:r>
                </w:p>
                <w:p w14:paraId="3EC08FEC">
                  <w:pPr>
                    <w:pStyle w:val="65"/>
                    <w:snapToGrid w:val="0"/>
                    <w:spacing w:line="240" w:lineRule="auto"/>
                    <w:jc w:val="both"/>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本条所指排放含磷、氮等污染物的战略性新兴产业具体类别，由省发展改革部门会同省工业和信息化、生态环境主管部门拟定并报省人民政府批准后公布。</w:t>
                  </w:r>
                </w:p>
                <w:p w14:paraId="5B9D23D0">
                  <w:pPr>
                    <w:pStyle w:val="65"/>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405" w:type="pct"/>
                  <w:vMerge w:val="continue"/>
                  <w:noWrap w:val="0"/>
                  <w:vAlign w:val="center"/>
                </w:tcPr>
                <w:p w14:paraId="684C483D">
                  <w:pPr>
                    <w:pStyle w:val="4"/>
                    <w:snapToGrid w:val="0"/>
                    <w:spacing w:line="240" w:lineRule="auto"/>
                    <w:ind w:firstLine="0" w:firstLineChars="0"/>
                    <w:jc w:val="center"/>
                    <w:rPr>
                      <w:rFonts w:eastAsia="宋体"/>
                      <w:bCs/>
                      <w:color w:val="000000" w:themeColor="text1"/>
                      <w:sz w:val="21"/>
                      <w:szCs w:val="21"/>
                      <w14:textFill>
                        <w14:solidFill>
                          <w14:schemeClr w14:val="tx1"/>
                        </w14:solidFill>
                      </w14:textFill>
                    </w:rPr>
                  </w:pPr>
                </w:p>
              </w:tc>
              <w:tc>
                <w:tcPr>
                  <w:tcW w:w="325" w:type="pct"/>
                  <w:noWrap w:val="0"/>
                  <w:vAlign w:val="center"/>
                </w:tcPr>
                <w:p w14:paraId="352C00DE">
                  <w:pPr>
                    <w:snapToGrid w:val="0"/>
                    <w:spacing w:line="240" w:lineRule="auto"/>
                    <w:jc w:val="center"/>
                    <w:rPr>
                      <w:color w:val="000000" w:themeColor="text1"/>
                      <w:sz w:val="21"/>
                      <w:szCs w:val="21"/>
                      <w14:textFill>
                        <w14:solidFill>
                          <w14:schemeClr w14:val="tx1"/>
                        </w14:solidFill>
                      </w14:textFill>
                    </w:rPr>
                  </w:pPr>
                </w:p>
              </w:tc>
            </w:tr>
            <w:tr w14:paraId="586B8E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noWrap w:val="0"/>
                  <w:vAlign w:val="center"/>
                </w:tcPr>
                <w:p w14:paraId="514DA68D">
                  <w:pPr>
                    <w:snapToGrid w:val="0"/>
                    <w:spacing w:line="240" w:lineRule="auto"/>
                    <w:jc w:val="center"/>
                    <w:rPr>
                      <w:color w:val="000000" w:themeColor="text1"/>
                      <w:sz w:val="21"/>
                      <w:szCs w:val="21"/>
                      <w14:textFill>
                        <w14:solidFill>
                          <w14:schemeClr w14:val="tx1"/>
                        </w14:solidFill>
                      </w14:textFill>
                    </w:rPr>
                  </w:pPr>
                  <w:r>
                    <w:rPr>
                      <w:color w:val="000000" w:themeColor="text1"/>
                      <w:spacing w:val="-11"/>
                      <w:sz w:val="21"/>
                      <w:szCs w:val="21"/>
                      <w14:textFill>
                        <w14:solidFill>
                          <w14:schemeClr w14:val="tx1"/>
                        </w14:solidFill>
                      </w14:textFill>
                    </w:rPr>
                    <w:t>《建设项目环境保护条例》</w:t>
                  </w:r>
                </w:p>
              </w:tc>
              <w:tc>
                <w:tcPr>
                  <w:tcW w:w="2467" w:type="pct"/>
                  <w:gridSpan w:val="2"/>
                  <w:noWrap w:val="0"/>
                  <w:vAlign w:val="center"/>
                </w:tcPr>
                <w:p w14:paraId="6FAA769C">
                  <w:pPr>
                    <w:numPr>
                      <w:ilvl w:val="0"/>
                      <w:numId w:val="7"/>
                    </w:num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建设项目有下列情形之一的，环境保护行政主管部门应当对环境影响报告书、环境影响报告表作出不予批准的决定</w:t>
                  </w:r>
                </w:p>
                <w:p w14:paraId="0E40D89B">
                  <w:pPr>
                    <w:numPr>
                      <w:ilvl w:val="0"/>
                      <w:numId w:val="8"/>
                    </w:numPr>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建设项目类型及其选址、布局、规模等不符合</w:t>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HYPERLINK "https://www.eqxun.com/news/78.html" \t "https://www.eqxun.com/news/_blank"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环境保护法</w:t>
                  </w:r>
                  <w:r>
                    <w:rPr>
                      <w:color w:val="000000" w:themeColor="text1"/>
                      <w:sz w:val="21"/>
                      <w:szCs w:val="21"/>
                      <w14:textFill>
                        <w14:solidFill>
                          <w14:schemeClr w14:val="tx1"/>
                        </w14:solidFill>
                      </w14:textFill>
                    </w:rPr>
                    <w:fldChar w:fldCharType="end"/>
                  </w:r>
                  <w:r>
                    <w:rPr>
                      <w:color w:val="000000" w:themeColor="text1"/>
                      <w:sz w:val="21"/>
                      <w:szCs w:val="21"/>
                      <w14:textFill>
                        <w14:solidFill>
                          <w14:schemeClr w14:val="tx1"/>
                        </w14:solidFill>
                      </w14:textFill>
                    </w:rPr>
                    <w:t>律法规和相关法定规划；</w:t>
                  </w:r>
                </w:p>
                <w:p w14:paraId="4A6F04DB">
                  <w:pPr>
                    <w:numPr>
                      <w:ilvl w:val="0"/>
                      <w:numId w:val="8"/>
                    </w:numPr>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所在区域环境质量未达到国家或者地方环境质量标准，且建设项目拟采取的措施不能满足区域环境质量改善目标管理要求；</w:t>
                  </w:r>
                </w:p>
                <w:p w14:paraId="605586A5">
                  <w:pPr>
                    <w:numPr>
                      <w:ilvl w:val="0"/>
                      <w:numId w:val="8"/>
                    </w:numPr>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建设项目采取的污染防治措施无法确保污染物排放达到国家和地方排放标准，或者未采取必要措施预防和控制生态破坏；</w:t>
                  </w:r>
                </w:p>
                <w:p w14:paraId="7FA94E1D">
                  <w:pPr>
                    <w:numPr>
                      <w:ilvl w:val="0"/>
                      <w:numId w:val="8"/>
                    </w:numPr>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改建、扩建和技术改造项目，未针对项目原有</w:t>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HYPERLINK "https://www.eqxun.com/news/1819.html" \t "https://www.eqxun.com/news/_blank"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环境污染</w:t>
                  </w:r>
                  <w:r>
                    <w:rPr>
                      <w:color w:val="000000" w:themeColor="text1"/>
                      <w:sz w:val="21"/>
                      <w:szCs w:val="21"/>
                      <w14:textFill>
                        <w14:solidFill>
                          <w14:schemeClr w14:val="tx1"/>
                        </w14:solidFill>
                      </w14:textFill>
                    </w:rPr>
                    <w:fldChar w:fldCharType="end"/>
                  </w:r>
                  <w:r>
                    <w:rPr>
                      <w:color w:val="000000" w:themeColor="text1"/>
                      <w:sz w:val="21"/>
                      <w:szCs w:val="21"/>
                      <w14:textFill>
                        <w14:solidFill>
                          <w14:schemeClr w14:val="tx1"/>
                        </w14:solidFill>
                      </w14:textFill>
                    </w:rPr>
                    <w:t>和生态破坏提出有效防止措施；</w:t>
                  </w:r>
                </w:p>
                <w:p w14:paraId="3FA488CC">
                  <w:pPr>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建设项目的环境影响报告书、环境影响报告表的基础资料数据明显不实，内容存在重大缺陷、遗漏，或者环境影响评价结论不明确、不合理。</w:t>
                  </w:r>
                </w:p>
              </w:tc>
              <w:tc>
                <w:tcPr>
                  <w:tcW w:w="1405" w:type="pct"/>
                  <w:noWrap w:val="0"/>
                  <w:vAlign w:val="center"/>
                </w:tcPr>
                <w:p w14:paraId="67507BC5">
                  <w:pPr>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本项目不属于《建设项目环境保护条例》中第十一条中规定的“不予批准”条款之列</w:t>
                  </w:r>
                  <w:r>
                    <w:rPr>
                      <w:rFonts w:hint="eastAsia"/>
                      <w:color w:val="000000" w:themeColor="text1"/>
                      <w:sz w:val="21"/>
                      <w:szCs w:val="21"/>
                      <w:lang w:eastAsia="zh-CN"/>
                      <w14:textFill>
                        <w14:solidFill>
                          <w14:schemeClr w14:val="tx1"/>
                        </w14:solidFill>
                      </w14:textFill>
                    </w:rPr>
                    <w:t>。</w:t>
                  </w:r>
                </w:p>
              </w:tc>
              <w:tc>
                <w:tcPr>
                  <w:tcW w:w="325" w:type="pct"/>
                  <w:noWrap w:val="0"/>
                  <w:vAlign w:val="center"/>
                </w:tcPr>
                <w:p w14:paraId="2D1E7732">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7225E9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noWrap w:val="0"/>
                  <w:vAlign w:val="center"/>
                </w:tcPr>
                <w:p w14:paraId="2CF8046F">
                  <w:pPr>
                    <w:snapToGrid w:val="0"/>
                    <w:spacing w:line="240" w:lineRule="auto"/>
                    <w:jc w:val="center"/>
                    <w:rPr>
                      <w:color w:val="000000" w:themeColor="text1"/>
                      <w:sz w:val="21"/>
                      <w:szCs w:val="21"/>
                      <w14:textFill>
                        <w14:solidFill>
                          <w14:schemeClr w14:val="tx1"/>
                        </w14:solidFill>
                      </w14:textFill>
                    </w:rPr>
                  </w:pPr>
                  <w:r>
                    <w:rPr>
                      <w:color w:val="000000" w:themeColor="text1"/>
                      <w:spacing w:val="-6"/>
                      <w:sz w:val="21"/>
                      <w:szCs w:val="21"/>
                      <w14:textFill>
                        <w14:solidFill>
                          <w14:schemeClr w14:val="tx1"/>
                        </w14:solidFill>
                      </w14:textFill>
                    </w:rPr>
                    <w:t>《省生态环境厅关于进一步加强建设项目环评审批和服务工作的指导意见》苏环办〔2020〕225号</w:t>
                  </w:r>
                </w:p>
              </w:tc>
              <w:tc>
                <w:tcPr>
                  <w:tcW w:w="2467" w:type="pct"/>
                  <w:gridSpan w:val="2"/>
                  <w:noWrap w:val="0"/>
                  <w:vAlign w:val="center"/>
                </w:tcPr>
                <w:p w14:paraId="12C67BBC">
                  <w:pPr>
                    <w:snapToGrid w:val="0"/>
                    <w:spacing w:line="240" w:lineRule="auto"/>
                    <w:jc w:val="left"/>
                    <w:rPr>
                      <w:color w:val="000000" w:themeColor="text1"/>
                      <w:spacing w:val="-6"/>
                      <w:sz w:val="21"/>
                      <w:szCs w:val="21"/>
                      <w14:textFill>
                        <w14:solidFill>
                          <w14:schemeClr w14:val="tx1"/>
                        </w14:solidFill>
                      </w14:textFill>
                    </w:rPr>
                  </w:pPr>
                  <w:r>
                    <w:rPr>
                      <w:color w:val="000000" w:themeColor="text1"/>
                      <w:spacing w:val="-6"/>
                      <w:sz w:val="21"/>
                      <w:szCs w:val="21"/>
                      <w14:textFill>
                        <w14:solidFill>
                          <w14:schemeClr w14:val="tx1"/>
                        </w14:solidFill>
                      </w14:textFill>
                    </w:rPr>
                    <w:t>坚持以改善环境质量为核心，开发建设活动不得突破区域生态环境承载能力，确保“生态环境质量只能更好、不能变坏”。</w:t>
                  </w:r>
                </w:p>
                <w:p w14:paraId="4E2B198F">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（一）建设项目所在区域环境质量未达到国家或地方环境质量标准,且项目拟采取的污染防治措施不能满足区域环境质量改善目标管理要求的，一律不得审批。</w:t>
                  </w:r>
                </w:p>
                <w:p w14:paraId="7B117DE7">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（二）加强规划环评与建设项目环评联动，对不符合规划环评结论及审查意见的项目环评</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依法不予审批。规划所包含项目的环评内容，可根据规划环评结论和审查意见予以简化。</w:t>
                  </w:r>
                </w:p>
                <w:p w14:paraId="3116DEC0">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（三）切实加强区域环境容量、环境承载力研究,不得审批突破环境容量和环境承载力的建设项目。</w:t>
                  </w:r>
                </w:p>
                <w:p w14:paraId="5ADB9D22">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（四）应将“三线一单”作为建设项目环评审批的重要依据,严格落实生态环境分区管控要求，从严把好环境准入关</w:t>
                  </w:r>
                  <w:r>
                    <w:rPr>
                      <w:color w:val="000000" w:themeColor="text1"/>
                      <w:kern w:val="0"/>
                      <w:sz w:val="21"/>
                      <w:szCs w:val="21"/>
                      <w14:textFill>
                        <w14:solidFill>
                          <w14:schemeClr w14:val="tx1"/>
                        </w14:solidFill>
                      </w14:textFill>
                    </w:rPr>
                    <w:t>。</w:t>
                  </w:r>
                </w:p>
              </w:tc>
              <w:tc>
                <w:tcPr>
                  <w:tcW w:w="1405" w:type="pct"/>
                  <w:noWrap w:val="0"/>
                  <w:vAlign w:val="center"/>
                </w:tcPr>
                <w:p w14:paraId="5EA577CF">
                  <w:pPr>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1、项目所在区域大气环境质量属于不达标区，经分析本项目污染防治措施满足区域环境质量改善目标管理要求；</w:t>
                  </w:r>
                </w:p>
                <w:p w14:paraId="582BA4CB">
                  <w:pPr>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2、项目类型、选址、布局、规模等均符合环境保护法律法规和相关法定规划；</w:t>
                  </w:r>
                </w:p>
                <w:p w14:paraId="7F4059B2">
                  <w:pPr>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3、本项目</w:t>
                  </w:r>
                  <w:r>
                    <w:rPr>
                      <w:rFonts w:hint="eastAsia"/>
                      <w:color w:val="000000" w:themeColor="text1"/>
                      <w:sz w:val="21"/>
                      <w:szCs w:val="21"/>
                      <w:lang w:val="en-US" w:eastAsia="zh-CN"/>
                      <w14:textFill>
                        <w14:solidFill>
                          <w14:schemeClr w14:val="tx1"/>
                        </w14:solidFill>
                      </w14:textFill>
                    </w:rPr>
                    <w:t>产生的非甲烷总烃、氨和臭气</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经</w:t>
                  </w:r>
                  <w:r>
                    <w:rPr>
                      <w:rFonts w:hint="eastAsia"/>
                      <w:color w:val="auto"/>
                      <w:sz w:val="21"/>
                      <w:szCs w:val="21"/>
                      <w:lang w:val="en-US" w:eastAsia="zh-CN"/>
                    </w:rPr>
                    <w:t>内置活性炭吸附装置无管道通风橱处置后，车间无组织排放</w:t>
                  </w:r>
                  <w:r>
                    <w:rPr>
                      <w:rFonts w:hint="eastAsia"/>
                      <w:color w:val="000000" w:themeColor="text1"/>
                      <w:sz w:val="21"/>
                      <w:szCs w:val="21"/>
                      <w:lang w:val="en-US" w:eastAsia="zh-CN"/>
                      <w14:textFill>
                        <w14:solidFill>
                          <w14:schemeClr w14:val="tx1"/>
                        </w14:solidFill>
                      </w14:textFill>
                    </w:rPr>
                    <w:t>，产生的颗粒物无组织排放</w:t>
                  </w:r>
                  <w:r>
                    <w:rPr>
                      <w:color w:val="000000" w:themeColor="text1"/>
                      <w:sz w:val="21"/>
                      <w:szCs w:val="21"/>
                      <w14:textFill>
                        <w14:solidFill>
                          <w14:schemeClr w14:val="tx1"/>
                        </w14:solidFill>
                      </w14:textFill>
                    </w:rPr>
                    <w:t>；</w:t>
                  </w:r>
                </w:p>
                <w:p w14:paraId="2B5AB42F">
                  <w:pPr>
                    <w:snapToGrid w:val="0"/>
                    <w:spacing w:line="240" w:lineRule="auto"/>
                    <w:jc w:val="left"/>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4、本项目符合“三线一单”要求。</w:t>
                  </w:r>
                </w:p>
              </w:tc>
              <w:tc>
                <w:tcPr>
                  <w:tcW w:w="325" w:type="pct"/>
                  <w:noWrap w:val="0"/>
                  <w:vAlign w:val="center"/>
                </w:tcPr>
                <w:p w14:paraId="788060F1">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5CC3AD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noWrap w:val="0"/>
                  <w:vAlign w:val="center"/>
                </w:tcPr>
                <w:p w14:paraId="0E5749A7">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《关于加强产业园区规划环境影响评价有关工作的通知》（环发〔2011〕14号）</w:t>
                  </w:r>
                </w:p>
              </w:tc>
              <w:tc>
                <w:tcPr>
                  <w:tcW w:w="2467" w:type="pct"/>
                  <w:gridSpan w:val="2"/>
                  <w:noWrap w:val="0"/>
                  <w:vAlign w:val="center"/>
                </w:tcPr>
                <w:p w14:paraId="5BB233DD">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w:t>
                  </w:r>
                  <w:r>
                    <w:rPr>
                      <w:rFonts w:hint="eastAsia"/>
                      <w:color w:val="000000" w:themeColor="text1"/>
                      <w:sz w:val="21"/>
                      <w:szCs w:val="21"/>
                      <w14:textFill>
                        <w14:solidFill>
                          <w14:schemeClr w14:val="tx1"/>
                        </w14:solidFill>
                      </w14:textFill>
                    </w:rPr>
                    <w:t>《关于加强产业园区规划环境影响评价有关工作的通知》（环发〔2011〕14号）</w:t>
                  </w:r>
                  <w:r>
                    <w:rPr>
                      <w:color w:val="000000" w:themeColor="text1"/>
                      <w:sz w:val="21"/>
                      <w:szCs w:val="21"/>
                      <w14:textFill>
                        <w14:solidFill>
                          <w14:schemeClr w14:val="tx1"/>
                        </w14:solidFill>
                      </w14:textFill>
                    </w:rPr>
                    <w:t>中要求“规划环评要作为规划所包含项目环评的重要依据，对于不符合规划环评结论及审查意见的项目环评，依法不予审批”。</w:t>
                  </w:r>
                </w:p>
              </w:tc>
              <w:tc>
                <w:tcPr>
                  <w:tcW w:w="1405" w:type="pct"/>
                  <w:noWrap w:val="0"/>
                  <w:vAlign w:val="center"/>
                </w:tcPr>
                <w:p w14:paraId="6BDDD452">
                  <w:pPr>
                    <w:snapToGrid w:val="0"/>
                    <w:spacing w:line="240" w:lineRule="auto"/>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w:t>
                  </w:r>
                  <w:r>
                    <w:rPr>
                      <w:rFonts w:hint="eastAsia"/>
                      <w:color w:val="000000" w:themeColor="text1"/>
                      <w:sz w:val="21"/>
                      <w:szCs w:val="21"/>
                      <w:lang w:eastAsia="zh-CN"/>
                      <w14:textFill>
                        <w14:solidFill>
                          <w14:schemeClr w14:val="tx1"/>
                        </w14:solidFill>
                      </w14:textFill>
                    </w:rPr>
                    <w:t>实验室建设项目</w:t>
                  </w:r>
                  <w:r>
                    <w:rPr>
                      <w:rFonts w:hint="eastAsia"/>
                      <w:color w:val="000000" w:themeColor="text1"/>
                      <w:sz w:val="21"/>
                      <w:szCs w:val="21"/>
                      <w14:textFill>
                        <w14:solidFill>
                          <w14:schemeClr w14:val="tx1"/>
                        </w14:solidFill>
                      </w14:textFill>
                    </w:rPr>
                    <w:t>，主要以代谢工程和合成生物学技术改造基因工程菌实验为主</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属于新</w:t>
                  </w:r>
                  <w:r>
                    <w:rPr>
                      <w:rFonts w:hint="eastAsia"/>
                      <w:color w:val="000000" w:themeColor="text1"/>
                      <w:sz w:val="21"/>
                      <w:szCs w:val="21"/>
                      <w:lang w:eastAsia="zh-CN"/>
                      <w14:textFill>
                        <w14:solidFill>
                          <w14:schemeClr w14:val="tx1"/>
                        </w14:solidFill>
                      </w14:textFill>
                    </w:rPr>
                    <w:t>生命健康产业</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与产业定位</w:t>
                  </w:r>
                  <w:r>
                    <w:rPr>
                      <w:rFonts w:hint="eastAsia"/>
                      <w:color w:val="000000" w:themeColor="text1"/>
                      <w:sz w:val="21"/>
                      <w:szCs w:val="21"/>
                      <w14:textFill>
                        <w14:solidFill>
                          <w14:schemeClr w14:val="tx1"/>
                        </w14:solidFill>
                      </w14:textFill>
                    </w:rPr>
                    <w:t>相符</w:t>
                  </w:r>
                </w:p>
              </w:tc>
              <w:tc>
                <w:tcPr>
                  <w:tcW w:w="325" w:type="pct"/>
                  <w:noWrap w:val="0"/>
                  <w:vAlign w:val="center"/>
                </w:tcPr>
                <w:p w14:paraId="3F2E471E">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236925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tcBorders>
                    <w:bottom w:val="single" w:color="auto" w:sz="4" w:space="0"/>
                  </w:tcBorders>
                  <w:noWrap w:val="0"/>
                  <w:vAlign w:val="center"/>
                </w:tcPr>
                <w:p w14:paraId="7B5C92AD">
                  <w:pPr>
                    <w:snapToGrid w:val="0"/>
                    <w:spacing w:line="240" w:lineRule="auto"/>
                    <w:jc w:val="center"/>
                    <w:rPr>
                      <w:color w:val="000000" w:themeColor="text1"/>
                      <w:sz w:val="21"/>
                      <w:szCs w:val="21"/>
                      <w14:textFill>
                        <w14:solidFill>
                          <w14:schemeClr w14:val="tx1"/>
                        </w14:solidFill>
                      </w14:textFill>
                    </w:rPr>
                  </w:pPr>
                  <w:r>
                    <w:rPr>
                      <w:color w:val="000000" w:themeColor="text1"/>
                      <w:spacing w:val="-6"/>
                      <w:sz w:val="21"/>
                      <w:szCs w:val="21"/>
                      <w14:textFill>
                        <w14:solidFill>
                          <w14:schemeClr w14:val="tx1"/>
                        </w14:solidFill>
                      </w14:textFill>
                    </w:rPr>
                    <w:t>关于印发《长江经济带发展负面清单指南（试行，2022年版）》的通知（长江办[2022]）7号</w:t>
                  </w:r>
                </w:p>
              </w:tc>
              <w:tc>
                <w:tcPr>
                  <w:tcW w:w="2467" w:type="pct"/>
                  <w:gridSpan w:val="2"/>
                  <w:noWrap w:val="0"/>
                  <w:vAlign w:val="center"/>
                </w:tcPr>
                <w:p w14:paraId="1D7448E2">
                  <w:pPr>
                    <w:numPr>
                      <w:ilvl w:val="0"/>
                      <w:numId w:val="9"/>
                    </w:num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禁止建设不符合全国和省级港口布局规划以及港口总体规划的码头项目，禁止建设不符合《长江干线过江通道布局规划》的过长江通道项目；</w:t>
                  </w:r>
                </w:p>
                <w:p w14:paraId="1C9399A9">
                  <w:pPr>
                    <w:numPr>
                      <w:ilvl w:val="0"/>
                      <w:numId w:val="9"/>
                    </w:numPr>
                    <w:snapToGrid w:val="0"/>
                    <w:spacing w:line="240" w:lineRule="auto"/>
                    <w:ind w:left="0" w:leftChars="0"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p w14:paraId="52095BC6">
                  <w:pPr>
                    <w:numPr>
                      <w:ilvl w:val="0"/>
                      <w:numId w:val="9"/>
                    </w:numPr>
                    <w:snapToGrid w:val="0"/>
                    <w:spacing w:line="240" w:lineRule="auto"/>
                    <w:ind w:left="0" w:leftChars="0"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p w14:paraId="2DCDD6D7">
                  <w:pPr>
                    <w:numPr>
                      <w:ilvl w:val="0"/>
                      <w:numId w:val="9"/>
                    </w:numPr>
                    <w:snapToGrid w:val="0"/>
                    <w:spacing w:line="240" w:lineRule="auto"/>
                    <w:ind w:left="0" w:leftChars="0"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p w14:paraId="1B55B61A">
                  <w:pPr>
                    <w:numPr>
                      <w:ilvl w:val="0"/>
                      <w:numId w:val="0"/>
                    </w:numPr>
                    <w:snapToGrid w:val="0"/>
                    <w:spacing w:line="240" w:lineRule="auto"/>
                    <w:ind w:leftChars="0"/>
                    <w:jc w:val="left"/>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5、禁止违法利用、占用长江流域河湖岸线。禁止在《长江岸线保护和开发利用总体规划》划定的岸线保护区和保留区内投资建设</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p w14:paraId="35EDE487">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6、禁止未经许可在长江干支流及湖泊新设、改设或扩大排污口；</w:t>
                  </w:r>
                </w:p>
                <w:p w14:paraId="155122E7">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7、禁止在“一江一口两湖七河”和332个水生生物保护区开展生产性捕捞；</w:t>
                  </w:r>
                </w:p>
                <w:p w14:paraId="1FD1DEF7">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p w14:paraId="022F33DD">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9、禁止在合规园区外新建、扩建钢铁、石化、化工、焦化、建材、有色、制浆造纸等高污染项目；</w:t>
                  </w:r>
                </w:p>
                <w:p w14:paraId="5869BA37">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10、禁止新建、扩建不符合国家石化、现代煤化工等产业布局规划的项目；</w:t>
                  </w:r>
                </w:p>
                <w:p w14:paraId="65F1E753">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11、新建、扩建法律法规和相关政策明令禁止的落后产能项目。禁止新建、扩建不符合国家产能置换要求的严重过剩产能行业的项目。禁止新建、扩建不符合要求的高耗能高排放项目；</w:t>
                  </w:r>
                </w:p>
                <w:p w14:paraId="07E6D50F">
                  <w:pPr>
                    <w:snapToGrid w:val="0"/>
                    <w:spacing w:line="240" w:lineRule="auto"/>
                    <w:jc w:val="left"/>
                    <w:rPr>
                      <w:snapToGrid w:val="0"/>
                      <w:color w:val="000000" w:themeColor="text1"/>
                      <w:spacing w:val="-6"/>
                      <w:kern w:val="0"/>
                      <w:sz w:val="21"/>
                      <w:szCs w:val="21"/>
                      <w14:textFill>
                        <w14:solidFill>
                          <w14:schemeClr w14:val="tx1"/>
                        </w14:solidFill>
                      </w14:textFill>
                    </w:rPr>
                  </w:pPr>
                  <w:r>
                    <w:rPr>
                      <w:color w:val="000000" w:themeColor="text1"/>
                      <w:sz w:val="21"/>
                      <w:szCs w:val="21"/>
                      <w14:textFill>
                        <w14:solidFill>
                          <w14:schemeClr w14:val="tx1"/>
                        </w14:solidFill>
                      </w14:textFill>
                    </w:rPr>
                    <w:t>12、法律法规及相关政策文件有更加严格规定的从其规定。</w:t>
                  </w:r>
                </w:p>
              </w:tc>
              <w:tc>
                <w:tcPr>
                  <w:tcW w:w="1405" w:type="pct"/>
                  <w:noWrap w:val="0"/>
                  <w:vAlign w:val="center"/>
                </w:tcPr>
                <w:p w14:paraId="6B423CE4">
                  <w:pPr>
                    <w:pStyle w:val="7"/>
                    <w:widowControl w:val="0"/>
                    <w:snapToGrid/>
                    <w:spacing w:before="0" w:after="0" w:line="240" w:lineRule="auto"/>
                    <w:ind w:right="0"/>
                    <w:jc w:val="center"/>
                    <w:rPr>
                      <w:bCs/>
                      <w:color w:val="000000" w:themeColor="text1"/>
                      <w:sz w:val="21"/>
                      <w:szCs w:val="21"/>
                      <w:lang w:val="en-US" w:eastAsia="zh-CN"/>
                      <w14:textFill>
                        <w14:solidFill>
                          <w14:schemeClr w14:val="tx1"/>
                        </w14:solidFill>
                      </w14:textFill>
                    </w:rPr>
                  </w:pPr>
                  <w:r>
                    <w:rPr>
                      <w:bCs/>
                      <w:color w:val="000000" w:themeColor="text1"/>
                      <w:spacing w:val="-6"/>
                      <w:kern w:val="2"/>
                      <w:sz w:val="21"/>
                      <w:szCs w:val="21"/>
                      <w:lang w:val="en-US" w:eastAsia="zh-CN"/>
                      <w14:textFill>
                        <w14:solidFill>
                          <w14:schemeClr w14:val="tx1"/>
                        </w14:solidFill>
                      </w14:textFill>
                    </w:rPr>
                    <w:t>本项目</w:t>
                  </w:r>
                  <w:r>
                    <w:rPr>
                      <w:rFonts w:hint="eastAsia"/>
                      <w:bCs/>
                      <w:color w:val="000000" w:themeColor="text1"/>
                      <w:spacing w:val="-6"/>
                      <w:kern w:val="2"/>
                      <w:sz w:val="21"/>
                      <w:szCs w:val="21"/>
                      <w:lang w:val="en-US" w:eastAsia="zh-CN"/>
                      <w14:textFill>
                        <w14:solidFill>
                          <w14:schemeClr w14:val="tx1"/>
                        </w14:solidFill>
                      </w14:textFill>
                    </w:rPr>
                    <w:t>为实验室建设项目，距离最近的生态空间管控区为3km处的丹金溧漕河洪水调蓄区，</w:t>
                  </w:r>
                  <w:r>
                    <w:rPr>
                      <w:bCs/>
                      <w:color w:val="000000" w:themeColor="text1"/>
                      <w:spacing w:val="-6"/>
                      <w:kern w:val="2"/>
                      <w:sz w:val="21"/>
                      <w:szCs w:val="21"/>
                      <w:lang w:val="en-US" w:eastAsia="zh-CN"/>
                      <w14:textFill>
                        <w14:solidFill>
                          <w14:schemeClr w14:val="tx1"/>
                        </w14:solidFill>
                      </w14:textFill>
                    </w:rPr>
                    <w:t>不属于</w:t>
                  </w:r>
                  <w:r>
                    <w:rPr>
                      <w:color w:val="000000" w:themeColor="text1"/>
                      <w:spacing w:val="-6"/>
                      <w:sz w:val="21"/>
                      <w:szCs w:val="21"/>
                      <w:lang w:val="en-US" w:eastAsia="zh-CN"/>
                      <w14:textFill>
                        <w14:solidFill>
                          <w14:schemeClr w14:val="tx1"/>
                        </w14:solidFill>
                      </w14:textFill>
                    </w:rPr>
                    <w:t>关于印发《长江经济带发展负面清单指南（试行，2022年版）》的通知（长江办[2022]）7号</w:t>
                  </w:r>
                  <w:r>
                    <w:rPr>
                      <w:bCs/>
                      <w:color w:val="000000" w:themeColor="text1"/>
                      <w:spacing w:val="-6"/>
                      <w:kern w:val="2"/>
                      <w:sz w:val="21"/>
                      <w:szCs w:val="21"/>
                      <w:lang w:val="en-US" w:eastAsia="zh-CN"/>
                      <w14:textFill>
                        <w14:solidFill>
                          <w14:schemeClr w14:val="tx1"/>
                        </w14:solidFill>
                      </w14:textFill>
                    </w:rPr>
                    <w:t>中“禁止类”项目</w:t>
                  </w:r>
                </w:p>
              </w:tc>
              <w:tc>
                <w:tcPr>
                  <w:tcW w:w="325" w:type="pct"/>
                  <w:noWrap w:val="0"/>
                  <w:vAlign w:val="center"/>
                </w:tcPr>
                <w:p w14:paraId="77569389">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41B984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00" w:type="pct"/>
                  <w:tcBorders>
                    <w:top w:val="single" w:color="auto" w:sz="4" w:space="0"/>
                  </w:tcBorders>
                  <w:noWrap w:val="0"/>
                  <w:vAlign w:val="center"/>
                </w:tcPr>
                <w:p w14:paraId="2A9992E0">
                  <w:pPr>
                    <w:spacing w:line="240" w:lineRule="auto"/>
                    <w:jc w:val="center"/>
                    <w:rPr>
                      <w:color w:val="000000" w:themeColor="text1"/>
                      <w:sz w:val="21"/>
                      <w:szCs w:val="21"/>
                      <w14:textFill>
                        <w14:solidFill>
                          <w14:schemeClr w14:val="tx1"/>
                        </w14:solidFill>
                      </w14:textFill>
                    </w:rPr>
                  </w:pPr>
                  <w:bookmarkStart w:id="19" w:name="OLE_LINK21"/>
                  <w:r>
                    <w:rPr>
                      <w:color w:val="000000" w:themeColor="text1"/>
                      <w:sz w:val="21"/>
                      <w:szCs w:val="21"/>
                      <w14:textFill>
                        <w14:solidFill>
                          <w14:schemeClr w14:val="tx1"/>
                        </w14:solidFill>
                      </w14:textFill>
                    </w:rPr>
                    <w:t>《长江经济带发展负面清单指南（试行，2022年版）》江苏省实施细则</w:t>
                  </w:r>
                  <w:bookmarkEnd w:id="19"/>
                </w:p>
              </w:tc>
              <w:tc>
                <w:tcPr>
                  <w:tcW w:w="2467" w:type="pct"/>
                  <w:gridSpan w:val="2"/>
                  <w:noWrap w:val="0"/>
                  <w:vAlign w:val="center"/>
                </w:tcPr>
                <w:p w14:paraId="26711FB3">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15.禁止新建、扩建不符合国家和省产业政策的尿素、磷铵电石、烧碱、聚氯乙烯、纯碱等行业新增产能项目。</w:t>
                  </w:r>
                </w:p>
                <w:p w14:paraId="73C3BD7B">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16.禁止新建、改建、扩建高毒、高残留以及对环境影响大的农药原药(化学合成类)项目，禁止新建、扩建不符合国家和省产业政策的农药、医药和染料中间体化工项目。</w:t>
                  </w:r>
                </w:p>
                <w:p w14:paraId="182EC387">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17.禁止新建、扩建不符合国家石化、现代煤化工等产业布局规划的项目，禁止新建独立焦化项目。</w:t>
                  </w:r>
                </w:p>
                <w:p w14:paraId="1C407562">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p w14:paraId="209119A7">
                  <w:pPr>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19.禁止新建、扩建不符合国家产能置换要求的严重过剩产能行业的项目。禁止新建、扩建不符合要求的高耗能高排放项目20.法律法规及相关政策文件有更加严格规定的从其规定。</w:t>
                  </w:r>
                </w:p>
              </w:tc>
              <w:tc>
                <w:tcPr>
                  <w:tcW w:w="1405" w:type="pct"/>
                  <w:noWrap w:val="0"/>
                  <w:vAlign w:val="center"/>
                </w:tcPr>
                <w:p w14:paraId="485BDFCC">
                  <w:pPr>
                    <w:pStyle w:val="7"/>
                    <w:widowControl w:val="0"/>
                    <w:snapToGrid/>
                    <w:spacing w:before="0" w:after="0" w:line="240" w:lineRule="auto"/>
                    <w:ind w:right="0"/>
                    <w:jc w:val="center"/>
                    <w:rPr>
                      <w:bCs/>
                      <w:color w:val="000000" w:themeColor="text1"/>
                      <w:sz w:val="21"/>
                      <w:szCs w:val="21"/>
                      <w:lang w:val="en-US" w:eastAsia="zh-CN"/>
                      <w14:textFill>
                        <w14:solidFill>
                          <w14:schemeClr w14:val="tx1"/>
                        </w14:solidFill>
                      </w14:textFill>
                    </w:rPr>
                  </w:pPr>
                  <w:r>
                    <w:rPr>
                      <w:bCs/>
                      <w:color w:val="000000" w:themeColor="text1"/>
                      <w:kern w:val="2"/>
                      <w:sz w:val="21"/>
                      <w:szCs w:val="21"/>
                      <w:lang w:val="en-US" w:eastAsia="zh-CN"/>
                      <w14:textFill>
                        <w14:solidFill>
                          <w14:schemeClr w14:val="tx1"/>
                        </w14:solidFill>
                      </w14:textFill>
                    </w:rPr>
                    <w:t>本项目不属于</w:t>
                  </w:r>
                  <w:r>
                    <w:rPr>
                      <w:color w:val="000000" w:themeColor="text1"/>
                      <w:sz w:val="21"/>
                      <w:szCs w:val="21"/>
                      <w14:textFill>
                        <w14:solidFill>
                          <w14:schemeClr w14:val="tx1"/>
                        </w14:solidFill>
                      </w14:textFill>
                    </w:rPr>
                    <w:t>《长江经济带发展负面清单指南（试行，2022年版）》江苏省实施细则</w:t>
                  </w:r>
                  <w:r>
                    <w:rPr>
                      <w:bCs/>
                      <w:color w:val="000000" w:themeColor="text1"/>
                      <w:kern w:val="2"/>
                      <w:sz w:val="21"/>
                      <w:szCs w:val="21"/>
                      <w:lang w:val="en-US" w:eastAsia="zh-CN"/>
                      <w14:textFill>
                        <w14:solidFill>
                          <w14:schemeClr w14:val="tx1"/>
                        </w14:solidFill>
                      </w14:textFill>
                    </w:rPr>
                    <w:t>中“禁止类”项目</w:t>
                  </w:r>
                </w:p>
              </w:tc>
              <w:tc>
                <w:tcPr>
                  <w:tcW w:w="325" w:type="pct"/>
                  <w:noWrap w:val="0"/>
                  <w:vAlign w:val="center"/>
                </w:tcPr>
                <w:p w14:paraId="1CDE9CBA">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317360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tcBorders>
                    <w:top w:val="single" w:color="auto" w:sz="4" w:space="0"/>
                  </w:tcBorders>
                  <w:noWrap w:val="0"/>
                  <w:vAlign w:val="center"/>
                </w:tcPr>
                <w:p w14:paraId="5B99CF68">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《江苏省大气污染防治条例（2018修正版）》</w:t>
                  </w:r>
                </w:p>
              </w:tc>
              <w:tc>
                <w:tcPr>
                  <w:tcW w:w="2467" w:type="pct"/>
                  <w:gridSpan w:val="2"/>
                  <w:noWrap w:val="0"/>
                  <w:vAlign w:val="center"/>
                </w:tcPr>
                <w:p w14:paraId="33DCEB40">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405" w:type="pct"/>
                  <w:noWrap w:val="0"/>
                  <w:vAlign w:val="center"/>
                </w:tcPr>
                <w:p w14:paraId="3D6CF678">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产生的有机废气</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经</w:t>
                  </w:r>
                  <w:r>
                    <w:rPr>
                      <w:rFonts w:hint="eastAsia"/>
                      <w:color w:val="auto"/>
                      <w:sz w:val="21"/>
                      <w:szCs w:val="21"/>
                      <w:lang w:val="en-US" w:eastAsia="zh-CN"/>
                    </w:rPr>
                    <w:t>内置活性炭吸附装置无管道通风橱处置后，车间无组织排放</w:t>
                  </w:r>
                  <w:r>
                    <w:rPr>
                      <w:rFonts w:hint="eastAsia"/>
                      <w:color w:val="000000" w:themeColor="text1"/>
                      <w:sz w:val="21"/>
                      <w:szCs w:val="21"/>
                      <w14:textFill>
                        <w14:solidFill>
                          <w14:schemeClr w14:val="tx1"/>
                        </w14:solidFill>
                      </w14:textFill>
                    </w:rPr>
                    <w:t>。</w:t>
                  </w:r>
                </w:p>
              </w:tc>
              <w:tc>
                <w:tcPr>
                  <w:tcW w:w="325" w:type="pct"/>
                  <w:noWrap w:val="0"/>
                  <w:vAlign w:val="center"/>
                </w:tcPr>
                <w:p w14:paraId="515CDA7E">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25C14A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8" w:hRule="atLeast"/>
              </w:trPr>
              <w:tc>
                <w:tcPr>
                  <w:tcW w:w="800" w:type="pct"/>
                  <w:noWrap w:val="0"/>
                  <w:vAlign w:val="center"/>
                </w:tcPr>
                <w:p w14:paraId="429947C0">
                  <w:pPr>
                    <w:pStyle w:val="7"/>
                    <w:spacing w:before="0" w:after="0" w:line="240" w:lineRule="auto"/>
                    <w:ind w:right="0"/>
                    <w:jc w:val="center"/>
                    <w:rPr>
                      <w:bCs/>
                      <w:color w:val="000000" w:themeColor="text1"/>
                      <w:sz w:val="21"/>
                      <w:szCs w:val="21"/>
                      <w:lang w:val="en-US" w:eastAsia="zh-CN"/>
                      <w14:textFill>
                        <w14:solidFill>
                          <w14:schemeClr w14:val="tx1"/>
                        </w14:solidFill>
                      </w14:textFill>
                    </w:rPr>
                  </w:pPr>
                  <w:r>
                    <w:rPr>
                      <w:bCs/>
                      <w:color w:val="000000" w:themeColor="text1"/>
                      <w:sz w:val="21"/>
                      <w:szCs w:val="21"/>
                      <w:lang w:val="en-US" w:eastAsia="zh-CN"/>
                      <w14:textFill>
                        <w14:solidFill>
                          <w14:schemeClr w14:val="tx1"/>
                        </w14:solidFill>
                      </w14:textFill>
                    </w:rPr>
                    <w:t>《常州市挥发性有机物清洁原料替代工作方案》（常污防攻坚指办【2021】32号）</w:t>
                  </w:r>
                </w:p>
              </w:tc>
              <w:tc>
                <w:tcPr>
                  <w:tcW w:w="2467" w:type="pct"/>
                  <w:gridSpan w:val="2"/>
                  <w:noWrap w:val="0"/>
                  <w:vAlign w:val="center"/>
                </w:tcPr>
                <w:p w14:paraId="494FA67F">
                  <w:pPr>
                    <w:pStyle w:val="7"/>
                    <w:spacing w:before="0" w:after="0" w:line="240" w:lineRule="auto"/>
                    <w:ind w:right="0"/>
                    <w:jc w:val="left"/>
                    <w:rPr>
                      <w:bCs/>
                      <w:color w:val="000000" w:themeColor="text1"/>
                      <w:sz w:val="21"/>
                      <w:szCs w:val="21"/>
                      <w:lang w:val="en-US" w:eastAsia="zh-CN"/>
                      <w14:textFill>
                        <w14:solidFill>
                          <w14:schemeClr w14:val="tx1"/>
                        </w14:solidFill>
                      </w14:textFill>
                    </w:rPr>
                  </w:pPr>
                  <w:r>
                    <w:rPr>
                      <w:bCs/>
                      <w:color w:val="000000" w:themeColor="text1"/>
                      <w:sz w:val="21"/>
                      <w:szCs w:val="21"/>
                      <w:lang w:val="en-US" w:eastAsia="zh-CN"/>
                      <w14:textFill>
                        <w14:solidFill>
                          <w14:schemeClr w14:val="tx1"/>
                        </w14:solidFill>
                      </w14:textFill>
                    </w:rPr>
                    <w:t>（五）其他企业。各地可根据本地产业特色，将其他行业企业涉VOCs工序纳入清洁原料替代清单。其他行业企业涉VOCs相关工序，要使用符合《低挥发性有机化合物含量涂料产品技术要求》（GB/T38597-2020）规定的粉末、水性、无溶剂、辐射固化涂料产品；符合《清洗剂挥发性有机化合物含量限值》（GB</w:t>
                  </w:r>
                  <w:r>
                    <w:rPr>
                      <w:rFonts w:hint="eastAsia"/>
                      <w:bCs/>
                      <w:color w:val="000000" w:themeColor="text1"/>
                      <w:sz w:val="21"/>
                      <w:szCs w:val="21"/>
                      <w:lang w:val="en-US" w:eastAsia="zh-CN"/>
                      <w14:textFill>
                        <w14:solidFill>
                          <w14:schemeClr w14:val="tx1"/>
                        </w14:solidFill>
                      </w14:textFill>
                    </w:rPr>
                    <w:t xml:space="preserve"> </w:t>
                  </w:r>
                  <w:r>
                    <w:rPr>
                      <w:bCs/>
                      <w:color w:val="000000" w:themeColor="text1"/>
                      <w:sz w:val="21"/>
                      <w:szCs w:val="21"/>
                      <w:lang w:val="en-US" w:eastAsia="zh-CN"/>
                      <w14:textFill>
                        <w14:solidFill>
                          <w14:schemeClr w14:val="tx1"/>
                        </w14:solidFill>
                      </w14:textFill>
                    </w:rPr>
                    <w:t>38508-2020）规定的水基、半水基清洗剂产品；符合《胶粘剂挥发性有机化合物限量》（GB</w:t>
                  </w:r>
                  <w:r>
                    <w:rPr>
                      <w:rFonts w:hint="eastAsia"/>
                      <w:bCs/>
                      <w:color w:val="000000" w:themeColor="text1"/>
                      <w:sz w:val="21"/>
                      <w:szCs w:val="21"/>
                      <w:lang w:val="en-US" w:eastAsia="zh-CN"/>
                      <w14:textFill>
                        <w14:solidFill>
                          <w14:schemeClr w14:val="tx1"/>
                        </w14:solidFill>
                      </w14:textFill>
                    </w:rPr>
                    <w:t xml:space="preserve"> </w:t>
                  </w:r>
                  <w:r>
                    <w:rPr>
                      <w:bCs/>
                      <w:color w:val="000000" w:themeColor="text1"/>
                      <w:sz w:val="21"/>
                      <w:szCs w:val="21"/>
                      <w:lang w:val="en-US" w:eastAsia="zh-CN"/>
                      <w14:textFill>
                        <w14:solidFill>
                          <w14:schemeClr w14:val="tx1"/>
                        </w14:solidFill>
                      </w14:textFill>
                    </w:rPr>
                    <w:t>33372-2020）规定的水基型、本体型胶粘剂产品。若确实无法达到上述要求，应提供相应的论证说明。使用的涂料、清洗剂、胶粘剂、油墨中VOCs含量的限值应符合《船舶涂料中有害物质限量》（GB38469-2019）、《木器涂料中有害物质限量》（GB18581-2020）、《车辆涂料中有害物质限量》（GB</w:t>
                  </w:r>
                  <w:r>
                    <w:rPr>
                      <w:rFonts w:hint="eastAsia"/>
                      <w:bCs/>
                      <w:color w:val="000000" w:themeColor="text1"/>
                      <w:sz w:val="21"/>
                      <w:szCs w:val="21"/>
                      <w:lang w:val="en-US" w:eastAsia="zh-CN"/>
                      <w14:textFill>
                        <w14:solidFill>
                          <w14:schemeClr w14:val="tx1"/>
                        </w14:solidFill>
                      </w14:textFill>
                    </w:rPr>
                    <w:t xml:space="preserve"> </w:t>
                  </w:r>
                  <w:r>
                    <w:rPr>
                      <w:bCs/>
                      <w:color w:val="000000" w:themeColor="text1"/>
                      <w:sz w:val="21"/>
                      <w:szCs w:val="21"/>
                      <w:lang w:val="en-US" w:eastAsia="zh-CN"/>
                      <w14:textFill>
                        <w14:solidFill>
                          <w14:schemeClr w14:val="tx1"/>
                        </w14:solidFill>
                      </w14:textFill>
                    </w:rPr>
                    <w:t>24409-2020）、《工业防护涂料中有害物质限量》（GB</w:t>
                  </w:r>
                  <w:r>
                    <w:rPr>
                      <w:rFonts w:hint="eastAsia"/>
                      <w:bCs/>
                      <w:color w:val="000000" w:themeColor="text1"/>
                      <w:sz w:val="21"/>
                      <w:szCs w:val="21"/>
                      <w:lang w:val="en-US" w:eastAsia="zh-CN"/>
                      <w14:textFill>
                        <w14:solidFill>
                          <w14:schemeClr w14:val="tx1"/>
                        </w14:solidFill>
                      </w14:textFill>
                    </w:rPr>
                    <w:t xml:space="preserve"> </w:t>
                  </w:r>
                  <w:r>
                    <w:rPr>
                      <w:bCs/>
                      <w:color w:val="000000" w:themeColor="text1"/>
                      <w:sz w:val="21"/>
                      <w:szCs w:val="21"/>
                      <w:lang w:val="en-US" w:eastAsia="zh-CN"/>
                      <w14:textFill>
                        <w14:solidFill>
                          <w14:schemeClr w14:val="tx1"/>
                        </w14:solidFill>
                      </w14:textFill>
                    </w:rPr>
                    <w:t>30981-2020）、《清洗剂挥发性有机化合物含量限值》（GB 38508-2020）、《胶粘剂挥发性有机化合物限量》（GB</w:t>
                  </w:r>
                  <w:r>
                    <w:rPr>
                      <w:rFonts w:hint="eastAsia"/>
                      <w:bCs/>
                      <w:color w:val="000000" w:themeColor="text1"/>
                      <w:sz w:val="21"/>
                      <w:szCs w:val="21"/>
                      <w:lang w:val="en-US" w:eastAsia="zh-CN"/>
                      <w14:textFill>
                        <w14:solidFill>
                          <w14:schemeClr w14:val="tx1"/>
                        </w14:solidFill>
                      </w14:textFill>
                    </w:rPr>
                    <w:t xml:space="preserve"> </w:t>
                  </w:r>
                  <w:r>
                    <w:rPr>
                      <w:bCs/>
                      <w:color w:val="000000" w:themeColor="text1"/>
                      <w:sz w:val="21"/>
                      <w:szCs w:val="21"/>
                      <w:lang w:val="en-US" w:eastAsia="zh-CN"/>
                      <w14:textFill>
                        <w14:solidFill>
                          <w14:schemeClr w14:val="tx1"/>
                        </w14:solidFill>
                      </w14:textFill>
                    </w:rPr>
                    <w:t>33372-2020）、《油墨中可挥发性有机化合物（VOCs）含量的限值》（GB</w:t>
                  </w:r>
                  <w:r>
                    <w:rPr>
                      <w:rFonts w:hint="eastAsia"/>
                      <w:bCs/>
                      <w:color w:val="000000" w:themeColor="text1"/>
                      <w:sz w:val="21"/>
                      <w:szCs w:val="21"/>
                      <w:lang w:val="en-US" w:eastAsia="zh-CN"/>
                      <w14:textFill>
                        <w14:solidFill>
                          <w14:schemeClr w14:val="tx1"/>
                        </w14:solidFill>
                      </w14:textFill>
                    </w:rPr>
                    <w:t xml:space="preserve"> </w:t>
                  </w:r>
                  <w:r>
                    <w:rPr>
                      <w:bCs/>
                      <w:color w:val="000000" w:themeColor="text1"/>
                      <w:sz w:val="21"/>
                      <w:szCs w:val="21"/>
                      <w:lang w:val="en-US" w:eastAsia="zh-CN"/>
                      <w14:textFill>
                        <w14:solidFill>
                          <w14:schemeClr w14:val="tx1"/>
                        </w14:solidFill>
                      </w14:textFill>
                    </w:rPr>
                    <w:t>38507-2020）中的限值要求。</w:t>
                  </w:r>
                </w:p>
              </w:tc>
              <w:tc>
                <w:tcPr>
                  <w:tcW w:w="1405" w:type="pct"/>
                  <w:noWrap w:val="0"/>
                  <w:vAlign w:val="center"/>
                </w:tcPr>
                <w:p w14:paraId="1E5B97E5">
                  <w:pPr>
                    <w:pStyle w:val="7"/>
                    <w:spacing w:before="0" w:after="0" w:line="240" w:lineRule="auto"/>
                    <w:ind w:right="0"/>
                    <w:jc w:val="center"/>
                    <w:rPr>
                      <w:rFonts w:hint="default"/>
                      <w:bCs/>
                      <w:color w:val="000000" w:themeColor="text1"/>
                      <w:sz w:val="21"/>
                      <w:szCs w:val="21"/>
                      <w:lang w:val="en-US" w:eastAsia="zh-CN"/>
                      <w14:textFill>
                        <w14:solidFill>
                          <w14:schemeClr w14:val="tx1"/>
                        </w14:solidFill>
                      </w14:textFill>
                    </w:rPr>
                  </w:pPr>
                  <w:r>
                    <w:rPr>
                      <w:color w:val="000000" w:themeColor="text1"/>
                      <w:sz w:val="21"/>
                      <w:szCs w:val="21"/>
                      <w:lang w:val="en-US" w:eastAsia="zh-CN"/>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为实验室建设项目</w:t>
                  </w:r>
                  <w:r>
                    <w:rPr>
                      <w:color w:val="000000" w:themeColor="text1"/>
                      <w:sz w:val="21"/>
                      <w:szCs w:val="21"/>
                      <w:lang w:val="en-US" w:eastAsia="zh-CN"/>
                      <w14:textFill>
                        <w14:solidFill>
                          <w14:schemeClr w14:val="tx1"/>
                        </w14:solidFill>
                      </w14:textFill>
                    </w:rPr>
                    <w:t>，不使用溶剂型涂料、油墨和胶粘剂</w:t>
                  </w:r>
                  <w:r>
                    <w:rPr>
                      <w:rFonts w:hint="eastAsia"/>
                      <w:color w:val="000000" w:themeColor="text1"/>
                      <w:sz w:val="21"/>
                      <w:szCs w:val="21"/>
                      <w:lang w:val="en-US" w:eastAsia="zh-CN"/>
                      <w14:textFill>
                        <w14:solidFill>
                          <w14:schemeClr w14:val="tx1"/>
                        </w14:solidFill>
                      </w14:textFill>
                    </w:rPr>
                    <w:t>。</w:t>
                  </w:r>
                </w:p>
              </w:tc>
              <w:tc>
                <w:tcPr>
                  <w:tcW w:w="325" w:type="pct"/>
                  <w:noWrap w:val="0"/>
                  <w:vAlign w:val="center"/>
                </w:tcPr>
                <w:p w14:paraId="723308DE">
                  <w:pPr>
                    <w:pStyle w:val="7"/>
                    <w:spacing w:before="0" w:after="0" w:line="240" w:lineRule="auto"/>
                    <w:ind w:right="0"/>
                    <w:jc w:val="center"/>
                    <w:rPr>
                      <w:bCs/>
                      <w:color w:val="000000" w:themeColor="text1"/>
                      <w:sz w:val="21"/>
                      <w:szCs w:val="21"/>
                      <w:lang w:val="en-US" w:eastAsia="zh-CN"/>
                      <w14:textFill>
                        <w14:solidFill>
                          <w14:schemeClr w14:val="tx1"/>
                        </w14:solidFill>
                      </w14:textFill>
                    </w:rPr>
                  </w:pPr>
                  <w:r>
                    <w:rPr>
                      <w:bCs/>
                      <w:color w:val="000000" w:themeColor="text1"/>
                      <w:sz w:val="21"/>
                      <w:szCs w:val="21"/>
                      <w:lang w:val="en-US" w:eastAsia="zh-CN"/>
                      <w14:textFill>
                        <w14:solidFill>
                          <w14:schemeClr w14:val="tx1"/>
                        </w14:solidFill>
                      </w14:textFill>
                    </w:rPr>
                    <w:t>相符</w:t>
                  </w:r>
                </w:p>
              </w:tc>
            </w:tr>
            <w:tr w14:paraId="69AD34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5" w:hRule="atLeast"/>
              </w:trPr>
              <w:tc>
                <w:tcPr>
                  <w:tcW w:w="800" w:type="pct"/>
                  <w:vMerge w:val="restart"/>
                  <w:noWrap w:val="0"/>
                  <w:vAlign w:val="center"/>
                </w:tcPr>
                <w:p w14:paraId="4C245966">
                  <w:pPr>
                    <w:pStyle w:val="7"/>
                    <w:spacing w:before="0" w:after="0" w:line="240" w:lineRule="auto"/>
                    <w:ind w:right="0"/>
                    <w:jc w:val="center"/>
                    <w:rPr>
                      <w:bCs/>
                      <w:color w:val="000000" w:themeColor="text1"/>
                      <w:sz w:val="21"/>
                      <w:szCs w:val="21"/>
                      <w:lang w:val="en-US" w:eastAsia="zh-CN"/>
                      <w14:textFill>
                        <w14:solidFill>
                          <w14:schemeClr w14:val="tx1"/>
                        </w14:solidFill>
                      </w14:textFill>
                    </w:rPr>
                  </w:pPr>
                  <w:r>
                    <w:rPr>
                      <w:bCs/>
                      <w:color w:val="000000" w:themeColor="text1"/>
                      <w:sz w:val="21"/>
                      <w:szCs w:val="21"/>
                      <w:lang w:val="en-US" w:eastAsia="zh-CN"/>
                      <w14:textFill>
                        <w14:solidFill>
                          <w14:schemeClr w14:val="tx1"/>
                        </w14:solidFill>
                      </w14:textFill>
                    </w:rPr>
                    <w:t>《关于印发《2020年挥发性有机物治理攻坚方案》的通知》（环大气（2020）33号文）</w:t>
                  </w:r>
                </w:p>
              </w:tc>
              <w:tc>
                <w:tcPr>
                  <w:tcW w:w="584" w:type="pct"/>
                  <w:noWrap w:val="0"/>
                  <w:vAlign w:val="center"/>
                </w:tcPr>
                <w:p w14:paraId="2206647A">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一、大力推进源头替代，有效减少VOCs产生</w:t>
                  </w:r>
                </w:p>
              </w:tc>
              <w:tc>
                <w:tcPr>
                  <w:tcW w:w="1883" w:type="pct"/>
                  <w:noWrap w:val="0"/>
                  <w:vAlign w:val="center"/>
                </w:tcPr>
                <w:p w14:paraId="647FF252">
                  <w:pPr>
                    <w:snapToGrid w:val="0"/>
                    <w:spacing w:line="240" w:lineRule="auto"/>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严格落实国家和地方产品VOCs含量限值标准。大力推进低（无）VOCs含量原辅材料替代。企业应建立原辅材料台账，记录VOCs原辅材料名称、成分、VOCs含量、采购量、使用量、库存量、回收方式、回收量等信息，并保存相关证明材料。</w:t>
                  </w:r>
                </w:p>
              </w:tc>
              <w:tc>
                <w:tcPr>
                  <w:tcW w:w="1405" w:type="pct"/>
                  <w:noWrap w:val="0"/>
                  <w:vAlign w:val="center"/>
                </w:tcPr>
                <w:p w14:paraId="68FB38D9">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w:t>
                  </w:r>
                  <w:r>
                    <w:rPr>
                      <w:rFonts w:hint="eastAsia"/>
                      <w:color w:val="000000" w:themeColor="text1"/>
                      <w:sz w:val="21"/>
                      <w:szCs w:val="21"/>
                      <w:lang w:eastAsia="zh-CN"/>
                      <w14:textFill>
                        <w14:solidFill>
                          <w14:schemeClr w14:val="tx1"/>
                        </w14:solidFill>
                      </w14:textFill>
                    </w:rPr>
                    <w:t>实验室建设项目，</w:t>
                  </w:r>
                  <w:r>
                    <w:rPr>
                      <w:color w:val="000000" w:themeColor="text1"/>
                      <w:sz w:val="21"/>
                      <w:szCs w:val="21"/>
                      <w14:textFill>
                        <w14:solidFill>
                          <w14:schemeClr w14:val="tx1"/>
                        </w14:solidFill>
                      </w14:textFill>
                    </w:rPr>
                    <w:t>企业在投产后将建立原辅</w:t>
                  </w:r>
                  <w:r>
                    <w:rPr>
                      <w:color w:val="000000" w:themeColor="text1"/>
                      <w:spacing w:val="-6"/>
                      <w:sz w:val="21"/>
                      <w:szCs w:val="21"/>
                      <w14:textFill>
                        <w14:solidFill>
                          <w14:schemeClr w14:val="tx1"/>
                        </w14:solidFill>
                      </w14:textFill>
                    </w:rPr>
                    <w:t>材料台账，记录</w:t>
                  </w:r>
                  <w:r>
                    <w:rPr>
                      <w:rFonts w:hint="eastAsia"/>
                      <w:color w:val="000000" w:themeColor="text1"/>
                      <w:spacing w:val="-6"/>
                      <w:sz w:val="21"/>
                      <w:szCs w:val="21"/>
                      <w14:textFill>
                        <w14:solidFill>
                          <w14:schemeClr w14:val="tx1"/>
                        </w14:solidFill>
                      </w14:textFill>
                    </w:rPr>
                    <w:t>涉及</w:t>
                  </w:r>
                  <w:r>
                    <w:rPr>
                      <w:color w:val="000000" w:themeColor="text1"/>
                      <w:spacing w:val="-6"/>
                      <w:sz w:val="21"/>
                      <w:szCs w:val="21"/>
                      <w14:textFill>
                        <w14:solidFill>
                          <w14:schemeClr w14:val="tx1"/>
                        </w14:solidFill>
                      </w14:textFill>
                    </w:rPr>
                    <w:t>VOCs原辅材料名称、成分、VOCs含量、采购量、使用量、库存量、回收方式、回收量等信息，并保存相关证明材料，符合文件要求。</w:t>
                  </w:r>
                </w:p>
              </w:tc>
              <w:tc>
                <w:tcPr>
                  <w:tcW w:w="325" w:type="pct"/>
                  <w:noWrap w:val="0"/>
                  <w:vAlign w:val="center"/>
                </w:tcPr>
                <w:p w14:paraId="0BE1B161">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3C1D7B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06" w:hRule="atLeast"/>
              </w:trPr>
              <w:tc>
                <w:tcPr>
                  <w:tcW w:w="800" w:type="pct"/>
                  <w:vMerge w:val="continue"/>
                  <w:noWrap w:val="0"/>
                  <w:vAlign w:val="center"/>
                </w:tcPr>
                <w:p w14:paraId="5B1063BB">
                  <w:pPr>
                    <w:pStyle w:val="7"/>
                    <w:spacing w:before="0" w:after="0" w:line="240" w:lineRule="auto"/>
                    <w:ind w:right="0"/>
                    <w:jc w:val="center"/>
                    <w:rPr>
                      <w:bCs/>
                      <w:color w:val="000000" w:themeColor="text1"/>
                      <w:sz w:val="21"/>
                      <w:szCs w:val="21"/>
                      <w:lang w:val="en-US" w:eastAsia="zh-CN"/>
                      <w14:textFill>
                        <w14:solidFill>
                          <w14:schemeClr w14:val="tx1"/>
                        </w14:solidFill>
                      </w14:textFill>
                    </w:rPr>
                  </w:pPr>
                </w:p>
              </w:tc>
              <w:tc>
                <w:tcPr>
                  <w:tcW w:w="584" w:type="pct"/>
                  <w:noWrap w:val="0"/>
                  <w:vAlign w:val="center"/>
                </w:tcPr>
                <w:p w14:paraId="6A83602B">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二、全面落实标准要求，强化无组织排放控制</w:t>
                  </w:r>
                </w:p>
              </w:tc>
              <w:tc>
                <w:tcPr>
                  <w:tcW w:w="1883" w:type="pct"/>
                  <w:noWrap w:val="0"/>
                  <w:vAlign w:val="center"/>
                </w:tcPr>
                <w:p w14:paraId="177407EE">
                  <w:pPr>
                    <w:snapToGrid w:val="0"/>
                    <w:spacing w:line="240" w:lineRule="auto"/>
                    <w:jc w:val="left"/>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2020年7月1日起，全面执行《挥发性有机物无组织排放控制标准》</w:t>
                  </w:r>
                  <w:r>
                    <w:rPr>
                      <w:rFonts w:hint="eastAsia"/>
                      <w:color w:val="000000" w:themeColor="text1"/>
                      <w:sz w:val="21"/>
                      <w:szCs w:val="21"/>
                      <w:lang w:eastAsia="zh-CN"/>
                      <w14:textFill>
                        <w14:solidFill>
                          <w14:schemeClr w14:val="tx1"/>
                        </w14:solidFill>
                      </w14:textFill>
                    </w:rPr>
                    <w:t>。</w:t>
                  </w:r>
                </w:p>
              </w:tc>
              <w:tc>
                <w:tcPr>
                  <w:tcW w:w="1405" w:type="pct"/>
                  <w:noWrap w:val="0"/>
                  <w:vAlign w:val="center"/>
                </w:tcPr>
                <w:p w14:paraId="6EB4059B">
                  <w:pPr>
                    <w:snapToGrid w:val="0"/>
                    <w:spacing w:line="240" w:lineRule="auto"/>
                    <w:jc w:val="center"/>
                    <w:rPr>
                      <w:rFonts w:hint="eastAsia" w:eastAsia="宋体"/>
                      <w:color w:val="000000" w:themeColor="text1"/>
                      <w:kern w:val="32"/>
                      <w:sz w:val="21"/>
                      <w:szCs w:val="21"/>
                      <w:lang w:eastAsia="zh-CN"/>
                      <w14:textFill>
                        <w14:solidFill>
                          <w14:schemeClr w14:val="tx1"/>
                        </w14:solidFill>
                      </w14:textFill>
                    </w:rPr>
                  </w:pPr>
                  <w:r>
                    <w:rPr>
                      <w:rFonts w:hint="eastAsia"/>
                      <w:color w:val="000000" w:themeColor="text1"/>
                      <w:kern w:val="32"/>
                      <w:sz w:val="21"/>
                      <w:szCs w:val="21"/>
                      <w14:textFill>
                        <w14:solidFill>
                          <w14:schemeClr w14:val="tx1"/>
                        </w14:solidFill>
                      </w14:textFill>
                    </w:rPr>
                    <w:t>厂区无组织废气执行《</w:t>
                  </w:r>
                  <w:r>
                    <w:rPr>
                      <w:rFonts w:hint="eastAsia"/>
                      <w:color w:val="000000" w:themeColor="text1"/>
                      <w:kern w:val="32"/>
                      <w:sz w:val="21"/>
                      <w:szCs w:val="21"/>
                      <w:lang w:val="en-US" w:eastAsia="zh-CN"/>
                      <w14:textFill>
                        <w14:solidFill>
                          <w14:schemeClr w14:val="tx1"/>
                        </w14:solidFill>
                      </w14:textFill>
                    </w:rPr>
                    <w:t>大气污染物综合排放标准</w:t>
                  </w:r>
                  <w:r>
                    <w:rPr>
                      <w:rFonts w:hint="eastAsia"/>
                      <w:color w:val="000000" w:themeColor="text1"/>
                      <w:kern w:val="32"/>
                      <w:sz w:val="21"/>
                      <w:szCs w:val="21"/>
                      <w14:textFill>
                        <w14:solidFill>
                          <w14:schemeClr w14:val="tx1"/>
                        </w14:solidFill>
                      </w14:textFill>
                    </w:rPr>
                    <w:t>》</w:t>
                  </w:r>
                  <w:r>
                    <w:rPr>
                      <w:rFonts w:hint="eastAsia"/>
                      <w:color w:val="000000" w:themeColor="text1"/>
                      <w:kern w:val="32"/>
                      <w:sz w:val="21"/>
                      <w:szCs w:val="21"/>
                      <w14:textFill>
                        <w14:solidFill>
                          <w14:schemeClr w14:val="tx1"/>
                        </w14:solidFill>
                      </w14:textFill>
                    </w:rPr>
                    <w:fldChar w:fldCharType="begin"/>
                  </w:r>
                  <w:r>
                    <w:rPr>
                      <w:rFonts w:hint="eastAsia"/>
                      <w:color w:val="000000" w:themeColor="text1"/>
                      <w:kern w:val="32"/>
                      <w:sz w:val="21"/>
                      <w:szCs w:val="21"/>
                      <w14:textFill>
                        <w14:solidFill>
                          <w14:schemeClr w14:val="tx1"/>
                        </w14:solidFill>
                      </w14:textFill>
                    </w:rPr>
                    <w:instrText xml:space="preserve"> HYPERLINK "https://www.mee.gov.cn/ywgz/fgbz/bz/bzwb/dqhjbh/dqgdwrywrwpfbz/201906/W020190606592479623239.pdf" </w:instrText>
                  </w:r>
                  <w:r>
                    <w:rPr>
                      <w:rFonts w:hint="eastAsia"/>
                      <w:color w:val="000000" w:themeColor="text1"/>
                      <w:kern w:val="32"/>
                      <w:sz w:val="21"/>
                      <w:szCs w:val="21"/>
                      <w14:textFill>
                        <w14:solidFill>
                          <w14:schemeClr w14:val="tx1"/>
                        </w14:solidFill>
                      </w14:textFill>
                    </w:rPr>
                    <w:fldChar w:fldCharType="separate"/>
                  </w:r>
                  <w:r>
                    <w:rPr>
                      <w:rFonts w:hint="eastAsia"/>
                      <w:color w:val="000000" w:themeColor="text1"/>
                      <w:kern w:val="32"/>
                      <w:sz w:val="21"/>
                      <w:szCs w:val="21"/>
                      <w14:textFill>
                        <w14:solidFill>
                          <w14:schemeClr w14:val="tx1"/>
                        </w14:solidFill>
                      </w14:textFill>
                    </w:rPr>
                    <w:t>（</w:t>
                  </w:r>
                  <w:r>
                    <w:rPr>
                      <w:rFonts w:hint="eastAsia"/>
                      <w:color w:val="000000" w:themeColor="text1"/>
                      <w:kern w:val="32"/>
                      <w:sz w:val="21"/>
                      <w:szCs w:val="21"/>
                      <w:lang w:val="en-US" w:eastAsia="zh-CN"/>
                      <w14:textFill>
                        <w14:solidFill>
                          <w14:schemeClr w14:val="tx1"/>
                        </w14:solidFill>
                      </w14:textFill>
                    </w:rPr>
                    <w:t>DB32/4041—2021</w:t>
                  </w:r>
                  <w:r>
                    <w:rPr>
                      <w:rFonts w:hint="eastAsia"/>
                      <w:color w:val="000000" w:themeColor="text1"/>
                      <w:kern w:val="32"/>
                      <w:sz w:val="21"/>
                      <w:szCs w:val="21"/>
                      <w14:textFill>
                        <w14:solidFill>
                          <w14:schemeClr w14:val="tx1"/>
                        </w14:solidFill>
                      </w14:textFill>
                    </w:rPr>
                    <w:t>）</w:t>
                  </w:r>
                  <w:r>
                    <w:rPr>
                      <w:rFonts w:hint="eastAsia"/>
                      <w:color w:val="000000" w:themeColor="text1"/>
                      <w:kern w:val="32"/>
                      <w:sz w:val="21"/>
                      <w:szCs w:val="21"/>
                      <w14:textFill>
                        <w14:solidFill>
                          <w14:schemeClr w14:val="tx1"/>
                        </w14:solidFill>
                      </w14:textFill>
                    </w:rPr>
                    <w:fldChar w:fldCharType="end"/>
                  </w:r>
                  <w:r>
                    <w:rPr>
                      <w:rFonts w:hint="eastAsia"/>
                      <w:color w:val="000000" w:themeColor="text1"/>
                      <w:kern w:val="32"/>
                      <w:sz w:val="21"/>
                      <w:szCs w:val="21"/>
                      <w:lang w:eastAsia="zh-CN"/>
                      <w14:textFill>
                        <w14:solidFill>
                          <w14:schemeClr w14:val="tx1"/>
                        </w14:solidFill>
                      </w14:textFill>
                    </w:rPr>
                    <w:t>。</w:t>
                  </w:r>
                </w:p>
              </w:tc>
              <w:tc>
                <w:tcPr>
                  <w:tcW w:w="325" w:type="pct"/>
                  <w:noWrap w:val="0"/>
                  <w:vAlign w:val="center"/>
                </w:tcPr>
                <w:p w14:paraId="39AF8E91">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1A8EC3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restart"/>
                  <w:noWrap w:val="0"/>
                  <w:vAlign w:val="center"/>
                </w:tcPr>
                <w:p w14:paraId="37DDA4F3">
                  <w:pPr>
                    <w:pStyle w:val="7"/>
                    <w:spacing w:before="0" w:after="0" w:line="240" w:lineRule="auto"/>
                    <w:ind w:right="0"/>
                    <w:jc w:val="center"/>
                    <w:rPr>
                      <w:bCs/>
                      <w:color w:val="000000" w:themeColor="text1"/>
                      <w:sz w:val="21"/>
                      <w:szCs w:val="21"/>
                      <w:lang w:val="en-US" w:eastAsia="zh-CN"/>
                      <w14:textFill>
                        <w14:solidFill>
                          <w14:schemeClr w14:val="tx1"/>
                        </w14:solidFill>
                      </w14:textFill>
                    </w:rPr>
                  </w:pPr>
                  <w:r>
                    <w:rPr>
                      <w:bCs/>
                      <w:color w:val="000000" w:themeColor="text1"/>
                      <w:sz w:val="21"/>
                      <w:szCs w:val="21"/>
                      <w:lang w:val="en-US" w:eastAsia="zh-CN"/>
                      <w14:textFill>
                        <w14:solidFill>
                          <w14:schemeClr w14:val="tx1"/>
                        </w14:solidFill>
                      </w14:textFill>
                    </w:rPr>
                    <w:t>《2022年常州市深入打好污染防治攻坚战专项行动方案》</w:t>
                  </w:r>
                </w:p>
              </w:tc>
              <w:tc>
                <w:tcPr>
                  <w:tcW w:w="584" w:type="pct"/>
                  <w:noWrap w:val="0"/>
                  <w:vAlign w:val="center"/>
                </w:tcPr>
                <w:p w14:paraId="4AF204D9">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着力打好臭氧污染防治攻坚战</w:t>
                  </w:r>
                </w:p>
              </w:tc>
              <w:tc>
                <w:tcPr>
                  <w:tcW w:w="1883" w:type="pct"/>
                  <w:noWrap w:val="0"/>
                  <w:vAlign w:val="center"/>
                </w:tcPr>
                <w:p w14:paraId="192B712E">
                  <w:pPr>
                    <w:snapToGrid w:val="0"/>
                    <w:spacing w:line="240" w:lineRule="auto"/>
                    <w:jc w:val="left"/>
                    <w:rPr>
                      <w:color w:val="000000" w:themeColor="text1"/>
                      <w:kern w:val="32"/>
                      <w:sz w:val="21"/>
                      <w:szCs w:val="21"/>
                      <w14:textFill>
                        <w14:solidFill>
                          <w14:schemeClr w14:val="tx1"/>
                        </w14:solidFill>
                      </w14:textFill>
                    </w:rPr>
                  </w:pPr>
                  <w:r>
                    <w:rPr>
                      <w:color w:val="000000" w:themeColor="text1"/>
                      <w:kern w:val="32"/>
                      <w:sz w:val="21"/>
                      <w:szCs w:val="21"/>
                      <w14:textFill>
                        <w14:solidFill>
                          <w14:schemeClr w14:val="tx1"/>
                        </w14:solidFill>
                      </w14:textFill>
                    </w:rPr>
                    <w:t>以化工、涂装、医药、包装印刷、油品储运等行业领域为重点，实施原辅材料和产品源头替代工程。结合产业结构分布，培育源头替代示范型企业。对照国家强制性标准，每季度开展1次各类涂料、油墨、胶黏剂、清洗剂等产品VOCS含量限值标准执行情况的监督检查。</w:t>
                  </w:r>
                </w:p>
              </w:tc>
              <w:tc>
                <w:tcPr>
                  <w:tcW w:w="1405" w:type="pct"/>
                  <w:noWrap w:val="0"/>
                  <w:vAlign w:val="center"/>
                </w:tcPr>
                <w:p w14:paraId="5DFA0118">
                  <w:pPr>
                    <w:snapToGrid w:val="0"/>
                    <w:spacing w:line="240" w:lineRule="auto"/>
                    <w:jc w:val="center"/>
                    <w:rPr>
                      <w:rFonts w:hint="eastAsia" w:eastAsia="宋体"/>
                      <w:color w:val="000000" w:themeColor="text1"/>
                      <w:kern w:val="32"/>
                      <w:sz w:val="21"/>
                      <w:szCs w:val="21"/>
                      <w:lang w:eastAsia="zh-CN"/>
                      <w14:textFill>
                        <w14:solidFill>
                          <w14:schemeClr w14:val="tx1"/>
                        </w14:solidFill>
                      </w14:textFill>
                    </w:rPr>
                  </w:pPr>
                  <w:r>
                    <w:rPr>
                      <w:color w:val="000000" w:themeColor="text1"/>
                      <w:kern w:val="32"/>
                      <w:sz w:val="21"/>
                      <w:szCs w:val="21"/>
                      <w14:textFill>
                        <w14:solidFill>
                          <w14:schemeClr w14:val="tx1"/>
                        </w14:solidFill>
                      </w14:textFill>
                    </w:rPr>
                    <w:t>本项目不使用溶剂型涂料、油墨及胶粘剂等</w:t>
                  </w:r>
                  <w:r>
                    <w:rPr>
                      <w:rFonts w:hint="eastAsia"/>
                      <w:color w:val="000000" w:themeColor="text1"/>
                      <w:kern w:val="32"/>
                      <w:sz w:val="21"/>
                      <w:szCs w:val="21"/>
                      <w:lang w:eastAsia="zh-CN"/>
                      <w14:textFill>
                        <w14:solidFill>
                          <w14:schemeClr w14:val="tx1"/>
                        </w14:solidFill>
                      </w14:textFill>
                    </w:rPr>
                    <w:t>。</w:t>
                  </w:r>
                </w:p>
              </w:tc>
              <w:tc>
                <w:tcPr>
                  <w:tcW w:w="325" w:type="pct"/>
                  <w:noWrap w:val="0"/>
                  <w:vAlign w:val="center"/>
                </w:tcPr>
                <w:p w14:paraId="6758EC65">
                  <w:pPr>
                    <w:snapToGrid w:val="0"/>
                    <w:spacing w:line="240" w:lineRule="auto"/>
                    <w:jc w:val="left"/>
                    <w:rPr>
                      <w:color w:val="000000" w:themeColor="text1"/>
                      <w:kern w:val="32"/>
                      <w:sz w:val="21"/>
                      <w:szCs w:val="21"/>
                      <w14:textFill>
                        <w14:solidFill>
                          <w14:schemeClr w14:val="tx1"/>
                        </w14:solidFill>
                      </w14:textFill>
                    </w:rPr>
                  </w:pPr>
                  <w:r>
                    <w:rPr>
                      <w:color w:val="000000" w:themeColor="text1"/>
                      <w:kern w:val="32"/>
                      <w:sz w:val="21"/>
                      <w:szCs w:val="21"/>
                      <w14:textFill>
                        <w14:solidFill>
                          <w14:schemeClr w14:val="tx1"/>
                        </w14:solidFill>
                      </w14:textFill>
                    </w:rPr>
                    <w:t>符合</w:t>
                  </w:r>
                </w:p>
              </w:tc>
            </w:tr>
            <w:tr w14:paraId="39702F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continue"/>
                  <w:noWrap w:val="0"/>
                  <w:vAlign w:val="center"/>
                </w:tcPr>
                <w:p w14:paraId="67B5A048">
                  <w:pPr>
                    <w:pStyle w:val="7"/>
                    <w:spacing w:before="0" w:after="0" w:line="240" w:lineRule="auto"/>
                    <w:ind w:right="0"/>
                    <w:jc w:val="center"/>
                    <w:rPr>
                      <w:bCs/>
                      <w:color w:val="000000" w:themeColor="text1"/>
                      <w:sz w:val="21"/>
                      <w:szCs w:val="21"/>
                      <w:lang w:val="en-US" w:eastAsia="zh-CN"/>
                      <w14:textFill>
                        <w14:solidFill>
                          <w14:schemeClr w14:val="tx1"/>
                        </w14:solidFill>
                      </w14:textFill>
                    </w:rPr>
                  </w:pPr>
                </w:p>
              </w:tc>
              <w:tc>
                <w:tcPr>
                  <w:tcW w:w="584" w:type="pct"/>
                  <w:noWrap w:val="0"/>
                  <w:vAlign w:val="center"/>
                </w:tcPr>
                <w:p w14:paraId="634459B1">
                  <w:pPr>
                    <w:snapToGrid w:val="0"/>
                    <w:spacing w:line="240" w:lineRule="auto"/>
                    <w:jc w:val="center"/>
                    <w:rPr>
                      <w:color w:val="000000" w:themeColor="text1"/>
                      <w:sz w:val="21"/>
                      <w:szCs w:val="21"/>
                      <w14:textFill>
                        <w14:solidFill>
                          <w14:schemeClr w14:val="tx1"/>
                        </w14:solidFill>
                      </w14:textFill>
                    </w:rPr>
                  </w:pPr>
                  <w:r>
                    <w:rPr>
                      <w:color w:val="000000" w:themeColor="text1"/>
                      <w:spacing w:val="-6"/>
                      <w:kern w:val="32"/>
                      <w:sz w:val="21"/>
                      <w:szCs w:val="21"/>
                      <w14:textFill>
                        <w14:solidFill>
                          <w14:schemeClr w14:val="tx1"/>
                        </w14:solidFill>
                      </w14:textFill>
                    </w:rPr>
                    <w:t>持续打好太湖治理攻坚战</w:t>
                  </w:r>
                </w:p>
              </w:tc>
              <w:tc>
                <w:tcPr>
                  <w:tcW w:w="1883" w:type="pct"/>
                  <w:noWrap w:val="0"/>
                  <w:vAlign w:val="center"/>
                </w:tcPr>
                <w:p w14:paraId="36DF9865">
                  <w:pPr>
                    <w:snapToGrid w:val="0"/>
                    <w:spacing w:line="240" w:lineRule="auto"/>
                    <w:jc w:val="left"/>
                    <w:rPr>
                      <w:color w:val="000000" w:themeColor="text1"/>
                      <w:kern w:val="32"/>
                      <w:sz w:val="21"/>
                      <w:szCs w:val="21"/>
                      <w14:textFill>
                        <w14:solidFill>
                          <w14:schemeClr w14:val="tx1"/>
                        </w14:solidFill>
                      </w14:textFill>
                    </w:rPr>
                  </w:pPr>
                  <w:r>
                    <w:rPr>
                      <w:color w:val="000000" w:themeColor="text1"/>
                      <w:spacing w:val="-6"/>
                      <w:kern w:val="32"/>
                      <w:sz w:val="21"/>
                      <w:szCs w:val="21"/>
                      <w14:textFill>
                        <w14:solidFill>
                          <w14:schemeClr w14:val="tx1"/>
                        </w14:solidFill>
                      </w14:textFill>
                    </w:rPr>
                    <w:t>依托涉水企业事故排放应急处置设施专项督查行动，全力推进企业雨水排口、应急排口整治工作，开展工业园区水污染防治专项行动，推进园区工业类专业化集中式污水分质处理设施建设。开展涉酚、涉氟企业专项整治，严防工业特征污染物超标现象。持续推进涉磷企业标准化、规范化整治。推进工业污水退出市政管网，溧阳市、金坛区、武进区推进工业污水处理厂建设。</w:t>
                  </w:r>
                </w:p>
              </w:tc>
              <w:tc>
                <w:tcPr>
                  <w:tcW w:w="1405" w:type="pct"/>
                  <w:noWrap w:val="0"/>
                  <w:vAlign w:val="center"/>
                </w:tcPr>
                <w:p w14:paraId="6B9E917C">
                  <w:pPr>
                    <w:snapToGrid w:val="0"/>
                    <w:spacing w:line="240" w:lineRule="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本项目生活污水接入区域污水管网进</w:t>
                  </w:r>
                  <w:r>
                    <w:rPr>
                      <w:rFonts w:hint="eastAsia"/>
                      <w:color w:val="000000" w:themeColor="text1"/>
                      <w:sz w:val="21"/>
                      <w:szCs w:val="21"/>
                      <w:lang w:val="en-US" w:eastAsia="zh-CN"/>
                      <w14:textFill>
                        <w14:solidFill>
                          <w14:schemeClr w14:val="tx1"/>
                        </w14:solidFill>
                      </w14:textFill>
                    </w:rPr>
                    <w:t>入常州市</w:t>
                  </w:r>
                  <w:r>
                    <w:rPr>
                      <w:rFonts w:hint="eastAsia"/>
                      <w:color w:val="000000" w:themeColor="text1"/>
                      <w:sz w:val="21"/>
                      <w:szCs w:val="21"/>
                      <w14:textFill>
                        <w14:solidFill>
                          <w14:schemeClr w14:val="tx1"/>
                        </w14:solidFill>
                      </w14:textFill>
                    </w:rPr>
                    <w:t>金坛区第二污水处理有限公司处理后达</w:t>
                  </w:r>
                  <w:r>
                    <w:rPr>
                      <w:color w:val="000000" w:themeColor="text1"/>
                      <w:sz w:val="21"/>
                      <w:szCs w:val="21"/>
                      <w14:textFill>
                        <w14:solidFill>
                          <w14:schemeClr w14:val="tx1"/>
                        </w14:solidFill>
                      </w14:textFill>
                    </w:rPr>
                    <w:t>标排放</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本次申报的</w:t>
                  </w:r>
                  <w:r>
                    <w:rPr>
                      <w:rFonts w:hint="eastAsia"/>
                      <w:color w:val="000000" w:themeColor="text1"/>
                      <w:sz w:val="21"/>
                      <w:szCs w:val="21"/>
                      <w:lang w:eastAsia="zh-CN"/>
                      <w14:textFill>
                        <w14:solidFill>
                          <w14:schemeClr w14:val="tx1"/>
                        </w14:solidFill>
                      </w14:textFill>
                    </w:rPr>
                    <w:t>实验室建设项目；</w:t>
                  </w:r>
                  <w:r>
                    <w:rPr>
                      <w:rFonts w:hint="eastAsia"/>
                      <w:color w:val="000000" w:themeColor="text1"/>
                      <w:sz w:val="21"/>
                      <w:szCs w:val="21"/>
                      <w14:textFill>
                        <w14:solidFill>
                          <w14:schemeClr w14:val="tx1"/>
                        </w14:solidFill>
                      </w14:textFill>
                    </w:rPr>
                    <w:t>对照《江苏省太湖流域战略性新兴产业类别目录（2018 年本）》，本项目生产的产品主要用于伤口填充及修复，仍属于战略性新兴产业项目中“</w:t>
                  </w:r>
                  <w:r>
                    <w:rPr>
                      <w:rFonts w:hint="eastAsia" w:ascii="Times New Roman" w:hAnsi="Times New Roman" w:eastAsia="宋体"/>
                      <w:color w:val="000000" w:themeColor="text1"/>
                      <w:kern w:val="2"/>
                      <w:sz w:val="21"/>
                      <w:szCs w:val="21"/>
                      <w14:textFill>
                        <w14:solidFill>
                          <w14:schemeClr w14:val="tx1"/>
                        </w14:solidFill>
                      </w14:textFill>
                    </w:rPr>
                    <w:t>三、生物技术和</w:t>
                  </w:r>
                  <w:r>
                    <w:rPr>
                      <w:rFonts w:hint="eastAsia"/>
                      <w:color w:val="000000" w:themeColor="text1"/>
                      <w:kern w:val="2"/>
                      <w:sz w:val="21"/>
                      <w:szCs w:val="21"/>
                      <w:lang w:eastAsia="zh-CN"/>
                      <w14:textFill>
                        <w14:solidFill>
                          <w14:schemeClr w14:val="tx1"/>
                        </w14:solidFill>
                      </w14:textFill>
                    </w:rPr>
                    <w:t>生命健康产业</w:t>
                  </w:r>
                  <w:r>
                    <w:rPr>
                      <w:rFonts w:hint="eastAsia" w:ascii="Times New Roman" w:hAnsi="Times New Roman" w:eastAsia="宋体"/>
                      <w:color w:val="000000" w:themeColor="text1"/>
                      <w:kern w:val="2"/>
                      <w:sz w:val="21"/>
                      <w:szCs w:val="21"/>
                      <w14:textFill>
                        <w14:solidFill>
                          <w14:schemeClr w14:val="tx1"/>
                        </w14:solidFill>
                      </w14:textFill>
                    </w:rPr>
                    <w:t>的”的“</w:t>
                  </w:r>
                  <w:r>
                    <w:rPr>
                      <w:rFonts w:hint="eastAsia" w:ascii="Times New Roman" w:hAnsi="Times New Roman" w:eastAsia="宋体"/>
                      <w:color w:val="000000" w:themeColor="text1"/>
                      <w:kern w:val="2"/>
                      <w:sz w:val="21"/>
                      <w:szCs w:val="21"/>
                      <w:lang w:val="en-US" w:eastAsia="zh-CN"/>
                      <w14:textFill>
                        <w14:solidFill>
                          <w14:schemeClr w14:val="tx1"/>
                        </w14:solidFill>
                      </w14:textFill>
                    </w:rPr>
                    <w:t>32</w:t>
                  </w:r>
                  <w:r>
                    <w:rPr>
                      <w:rFonts w:hint="eastAsia" w:ascii="Times New Roman" w:hAnsi="Times New Roman" w:eastAsia="宋体"/>
                      <w:color w:val="000000" w:themeColor="text1"/>
                      <w:kern w:val="2"/>
                      <w:sz w:val="21"/>
                      <w:szCs w:val="21"/>
                      <w14:textFill>
                        <w14:solidFill>
                          <w14:schemeClr w14:val="tx1"/>
                        </w14:solidFill>
                      </w14:textFill>
                    </w:rPr>
                    <w:t>.</w:t>
                  </w:r>
                  <w:r>
                    <w:rPr>
                      <w:rFonts w:hint="eastAsia" w:ascii="Times New Roman" w:hAnsi="Times New Roman" w:eastAsia="宋体"/>
                      <w:color w:val="000000" w:themeColor="text1"/>
                      <w:kern w:val="2"/>
                      <w:sz w:val="21"/>
                      <w:szCs w:val="21"/>
                      <w:lang w:val="en-US" w:eastAsia="zh-CN"/>
                      <w14:textFill>
                        <w14:solidFill>
                          <w14:schemeClr w14:val="tx1"/>
                        </w14:solidFill>
                      </w14:textFill>
                    </w:rPr>
                    <w:t>分子改良与高分泌表达、养分高效活化利用、微生物功能调控等技术的开发与应用</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生产废水中氨氮、总氮、总磷排放总量从本区域通过产业关闭方式获得的指标中取得，且按照年排放总量的1.1倍实施了减量替代。</w:t>
                  </w:r>
                </w:p>
              </w:tc>
              <w:tc>
                <w:tcPr>
                  <w:tcW w:w="325" w:type="pct"/>
                  <w:noWrap w:val="0"/>
                  <w:vAlign w:val="center"/>
                </w:tcPr>
                <w:p w14:paraId="5375DB1D">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6FA95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continue"/>
                  <w:noWrap w:val="0"/>
                  <w:vAlign w:val="center"/>
                </w:tcPr>
                <w:p w14:paraId="39D046CB">
                  <w:pPr>
                    <w:pStyle w:val="7"/>
                    <w:spacing w:before="0" w:after="0" w:line="240" w:lineRule="auto"/>
                    <w:ind w:right="0"/>
                    <w:jc w:val="center"/>
                    <w:rPr>
                      <w:bCs/>
                      <w:color w:val="000000" w:themeColor="text1"/>
                      <w:sz w:val="21"/>
                      <w:szCs w:val="21"/>
                      <w:lang w:val="en-US" w:eastAsia="zh-CN"/>
                      <w14:textFill>
                        <w14:solidFill>
                          <w14:schemeClr w14:val="tx1"/>
                        </w14:solidFill>
                      </w14:textFill>
                    </w:rPr>
                  </w:pPr>
                </w:p>
              </w:tc>
              <w:tc>
                <w:tcPr>
                  <w:tcW w:w="584" w:type="pct"/>
                  <w:noWrap w:val="0"/>
                  <w:vAlign w:val="center"/>
                </w:tcPr>
                <w:p w14:paraId="7DE48EEE">
                  <w:pPr>
                    <w:snapToGrid w:val="0"/>
                    <w:spacing w:line="240" w:lineRule="auto"/>
                    <w:jc w:val="center"/>
                    <w:rPr>
                      <w:color w:val="000000" w:themeColor="text1"/>
                      <w:sz w:val="21"/>
                      <w:szCs w:val="21"/>
                      <w14:textFill>
                        <w14:solidFill>
                          <w14:schemeClr w14:val="tx1"/>
                        </w14:solidFill>
                      </w14:textFill>
                    </w:rPr>
                  </w:pPr>
                  <w:r>
                    <w:rPr>
                      <w:color w:val="000000" w:themeColor="text1"/>
                      <w:spacing w:val="-6"/>
                      <w:sz w:val="21"/>
                      <w:szCs w:val="21"/>
                      <w14:textFill>
                        <w14:solidFill>
                          <w14:schemeClr w14:val="tx1"/>
                        </w14:solidFill>
                      </w14:textFill>
                    </w:rPr>
                    <w:t>着力打好噪音污染治理攻坚战</w:t>
                  </w:r>
                </w:p>
              </w:tc>
              <w:tc>
                <w:tcPr>
                  <w:tcW w:w="1883" w:type="pct"/>
                  <w:noWrap w:val="0"/>
                  <w:vAlign w:val="center"/>
                </w:tcPr>
                <w:p w14:paraId="394B6574">
                  <w:pPr>
                    <w:snapToGrid w:val="0"/>
                    <w:spacing w:line="240" w:lineRule="auto"/>
                    <w:jc w:val="left"/>
                    <w:rPr>
                      <w:color w:val="000000" w:themeColor="text1"/>
                      <w:kern w:val="32"/>
                      <w:sz w:val="21"/>
                      <w:szCs w:val="21"/>
                      <w14:textFill>
                        <w14:solidFill>
                          <w14:schemeClr w14:val="tx1"/>
                        </w14:solidFill>
                      </w14:textFill>
                    </w:rPr>
                  </w:pPr>
                  <w:r>
                    <w:rPr>
                      <w:color w:val="000000" w:themeColor="text1"/>
                      <w:spacing w:val="-6"/>
                      <w:kern w:val="32"/>
                      <w:sz w:val="21"/>
                      <w:szCs w:val="21"/>
                      <w14:textFill>
                        <w14:solidFill>
                          <w14:schemeClr w14:val="tx1"/>
                        </w14:solidFill>
                      </w14:textFill>
                    </w:rPr>
                    <w:t>实施噪声污染防治行动，开展声环境功能区评估与调整，强化声环境功能区管理。</w:t>
                  </w:r>
                </w:p>
              </w:tc>
              <w:tc>
                <w:tcPr>
                  <w:tcW w:w="1405" w:type="pct"/>
                  <w:noWrap w:val="0"/>
                  <w:vAlign w:val="center"/>
                </w:tcPr>
                <w:p w14:paraId="361ABC75">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本项目将采取隔声、减震等综合降噪措施，并加强生产管理和设备维护以减少噪声对环境的影响。</w:t>
                  </w:r>
                </w:p>
              </w:tc>
              <w:tc>
                <w:tcPr>
                  <w:tcW w:w="325" w:type="pct"/>
                  <w:noWrap w:val="0"/>
                  <w:vAlign w:val="center"/>
                </w:tcPr>
                <w:p w14:paraId="0B68C26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3C9F92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9" w:hRule="atLeast"/>
              </w:trPr>
              <w:tc>
                <w:tcPr>
                  <w:tcW w:w="1385" w:type="pct"/>
                  <w:gridSpan w:val="2"/>
                  <w:noWrap w:val="0"/>
                  <w:vAlign w:val="center"/>
                </w:tcPr>
                <w:p w14:paraId="205592C2">
                  <w:pPr>
                    <w:snapToGrid w:val="0"/>
                    <w:spacing w:line="240" w:lineRule="auto"/>
                    <w:jc w:val="center"/>
                    <w:rPr>
                      <w:rFonts w:hint="eastAsia" w:eastAsia="宋体"/>
                      <w:color w:val="000000" w:themeColor="text1"/>
                      <w:spacing w:val="-6"/>
                      <w:sz w:val="21"/>
                      <w:szCs w:val="21"/>
                      <w:lang w:eastAsia="zh-CN"/>
                      <w14:textFill>
                        <w14:solidFill>
                          <w14:schemeClr w14:val="tx1"/>
                        </w14:solidFill>
                      </w14:textFill>
                    </w:rPr>
                  </w:pPr>
                  <w:r>
                    <w:rPr>
                      <w:rFonts w:ascii="Times New Roman" w:hAnsi="Times New Roman" w:eastAsia="宋体" w:cs="Times New Roman"/>
                      <w:color w:val="000000" w:themeColor="text1"/>
                      <w:spacing w:val="-6"/>
                      <w:kern w:val="32"/>
                      <w:sz w:val="21"/>
                      <w:szCs w:val="21"/>
                      <w14:textFill>
                        <w14:solidFill>
                          <w14:schemeClr w14:val="tx1"/>
                        </w14:solidFill>
                      </w14:textFill>
                    </w:rPr>
                    <w:t>《关于加强实验室类污染环境监管的通知》</w:t>
                  </w:r>
                  <w:r>
                    <w:rPr>
                      <w:rFonts w:hint="eastAsia" w:ascii="Times New Roman" w:hAnsi="Times New Roman" w:eastAsia="宋体" w:cs="Times New Roman"/>
                      <w:color w:val="000000" w:themeColor="text1"/>
                      <w:spacing w:val="-6"/>
                      <w:kern w:val="32"/>
                      <w:sz w:val="21"/>
                      <w:szCs w:val="21"/>
                      <w:lang w:eastAsia="zh-CN"/>
                      <w14:textFill>
                        <w14:solidFill>
                          <w14:schemeClr w14:val="tx1"/>
                        </w14:solidFill>
                      </w14:textFill>
                    </w:rPr>
                    <w:t>（</w:t>
                  </w:r>
                  <w:r>
                    <w:rPr>
                      <w:rFonts w:hint="eastAsia" w:ascii="Times New Roman" w:hAnsi="Times New Roman" w:eastAsia="宋体" w:cs="Times New Roman"/>
                      <w:color w:val="000000" w:themeColor="text1"/>
                      <w:spacing w:val="-6"/>
                      <w:kern w:val="32"/>
                      <w:sz w:val="21"/>
                      <w:szCs w:val="21"/>
                      <w:lang w:val="en-US" w:eastAsia="zh-CN"/>
                      <w14:textFill>
                        <w14:solidFill>
                          <w14:schemeClr w14:val="tx1"/>
                        </w14:solidFill>
                      </w14:textFill>
                    </w:rPr>
                    <w:t>环办[2024]15号</w:t>
                  </w:r>
                  <w:r>
                    <w:rPr>
                      <w:rFonts w:hint="eastAsia" w:ascii="Times New Roman" w:hAnsi="Times New Roman" w:eastAsia="宋体" w:cs="Times New Roman"/>
                      <w:color w:val="000000" w:themeColor="text1"/>
                      <w:spacing w:val="-6"/>
                      <w:kern w:val="32"/>
                      <w:sz w:val="21"/>
                      <w:szCs w:val="21"/>
                      <w:lang w:eastAsia="zh-CN"/>
                      <w14:textFill>
                        <w14:solidFill>
                          <w14:schemeClr w14:val="tx1"/>
                        </w14:solidFill>
                      </w14:textFill>
                    </w:rPr>
                    <w:t>）</w:t>
                  </w:r>
                </w:p>
              </w:tc>
              <w:tc>
                <w:tcPr>
                  <w:tcW w:w="1883" w:type="pct"/>
                  <w:noWrap w:val="0"/>
                  <w:vAlign w:val="center"/>
                </w:tcPr>
                <w:p w14:paraId="35D89CD1">
                  <w:pPr>
                    <w:numPr>
                      <w:ilvl w:val="0"/>
                      <w:numId w:val="0"/>
                    </w:numPr>
                    <w:snapToGrid w:val="0"/>
                    <w:spacing w:line="240" w:lineRule="auto"/>
                    <w:ind w:leftChars="0"/>
                    <w:jc w:val="left"/>
                    <w:rPr>
                      <w:color w:val="000000" w:themeColor="text1"/>
                      <w:spacing w:val="-6"/>
                      <w:kern w:val="32"/>
                      <w:sz w:val="21"/>
                      <w:szCs w:val="21"/>
                      <w14:textFill>
                        <w14:solidFill>
                          <w14:schemeClr w14:val="tx1"/>
                        </w14:solidFill>
                      </w14:textFill>
                    </w:rPr>
                  </w:pPr>
                  <w:r>
                    <w:rPr>
                      <w:rFonts w:hint="eastAsia"/>
                      <w:color w:val="000000" w:themeColor="text1"/>
                      <w:spacing w:val="-6"/>
                      <w:kern w:val="32"/>
                      <w:sz w:val="21"/>
                      <w:szCs w:val="21"/>
                      <w:lang w:val="en-US" w:eastAsia="zh-CN"/>
                      <w14:textFill>
                        <w14:solidFill>
                          <w14:schemeClr w14:val="tx1"/>
                        </w14:solidFill>
                      </w14:textFill>
                    </w:rPr>
                    <w:t>1、</w:t>
                  </w:r>
                  <w:r>
                    <w:rPr>
                      <w:color w:val="000000" w:themeColor="text1"/>
                      <w:spacing w:val="-6"/>
                      <w:kern w:val="32"/>
                      <w:sz w:val="21"/>
                      <w:szCs w:val="21"/>
                      <w14:textFill>
                        <w14:solidFill>
                          <w14:schemeClr w14:val="tx1"/>
                        </w14:solidFill>
                      </w14:textFill>
                    </w:rPr>
                    <w:t>对使用性质调整、改变或废弃的实验室、化验室、试验场，应在彻底消除污染隐患后,向当地环境保护部门登记备案，禁止将废弃药品以及已受污染的场地、建筑物、设备、器皿等转移给不具备污染治理条件的企业、单位或个人使用，禁止随意丢弃有毒有害固体废物、废液等。       　　　　</w:t>
                  </w:r>
                </w:p>
                <w:p w14:paraId="72BD0D3E">
                  <w:pPr>
                    <w:numPr>
                      <w:ilvl w:val="0"/>
                      <w:numId w:val="0"/>
                    </w:numPr>
                    <w:snapToGrid w:val="0"/>
                    <w:spacing w:line="240" w:lineRule="auto"/>
                    <w:jc w:val="left"/>
                    <w:rPr>
                      <w:color w:val="000000" w:themeColor="text1"/>
                      <w:spacing w:val="-6"/>
                      <w:kern w:val="32"/>
                      <w:sz w:val="21"/>
                      <w:szCs w:val="21"/>
                      <w14:textFill>
                        <w14:solidFill>
                          <w14:schemeClr w14:val="tx1"/>
                        </w14:solidFill>
                      </w14:textFill>
                    </w:rPr>
                  </w:pPr>
                  <w:r>
                    <w:rPr>
                      <w:rFonts w:hint="eastAsia"/>
                      <w:color w:val="000000" w:themeColor="text1"/>
                      <w:spacing w:val="-6"/>
                      <w:kern w:val="32"/>
                      <w:sz w:val="21"/>
                      <w:szCs w:val="21"/>
                      <w:lang w:val="en-US" w:eastAsia="zh-CN"/>
                      <w14:textFill>
                        <w14:solidFill>
                          <w14:schemeClr w14:val="tx1"/>
                        </w14:solidFill>
                      </w14:textFill>
                    </w:rPr>
                    <w:t>2、</w:t>
                  </w:r>
                  <w:r>
                    <w:rPr>
                      <w:color w:val="000000" w:themeColor="text1"/>
                      <w:spacing w:val="-6"/>
                      <w:kern w:val="32"/>
                      <w:sz w:val="21"/>
                      <w:szCs w:val="21"/>
                      <w14:textFill>
                        <w14:solidFill>
                          <w14:schemeClr w14:val="tx1"/>
                        </w14:solidFill>
                      </w14:textFill>
                    </w:rPr>
                    <w:t xml:space="preserve">新建、改建、扩建或使用性质调整、改变的实验室、化验室、试验场，必须严格执行建设项目环境保护审批制度，未经批准不得建设或使用。       </w:t>
                  </w:r>
                </w:p>
                <w:p w14:paraId="5A528E7E">
                  <w:pPr>
                    <w:numPr>
                      <w:ilvl w:val="0"/>
                      <w:numId w:val="0"/>
                    </w:numPr>
                    <w:snapToGrid w:val="0"/>
                    <w:spacing w:line="240" w:lineRule="auto"/>
                    <w:ind w:leftChars="0"/>
                    <w:jc w:val="left"/>
                    <w:rPr>
                      <w:color w:val="000000" w:themeColor="text1"/>
                      <w:spacing w:val="-6"/>
                      <w:kern w:val="32"/>
                      <w:sz w:val="21"/>
                      <w:szCs w:val="21"/>
                      <w14:textFill>
                        <w14:solidFill>
                          <w14:schemeClr w14:val="tx1"/>
                        </w14:solidFill>
                      </w14:textFill>
                    </w:rPr>
                  </w:pPr>
                  <w:r>
                    <w:rPr>
                      <w:rFonts w:hint="eastAsia"/>
                      <w:color w:val="000000" w:themeColor="text1"/>
                      <w:spacing w:val="-6"/>
                      <w:kern w:val="32"/>
                      <w:sz w:val="21"/>
                      <w:szCs w:val="21"/>
                      <w:lang w:val="en-US" w:eastAsia="zh-CN"/>
                      <w14:textFill>
                        <w14:solidFill>
                          <w14:schemeClr w14:val="tx1"/>
                        </w14:solidFill>
                      </w14:textFill>
                    </w:rPr>
                    <w:t>3、</w:t>
                  </w:r>
                  <w:r>
                    <w:rPr>
                      <w:color w:val="000000" w:themeColor="text1"/>
                      <w:spacing w:val="-6"/>
                      <w:kern w:val="32"/>
                      <w:sz w:val="21"/>
                      <w:szCs w:val="21"/>
                      <w14:textFill>
                        <w14:solidFill>
                          <w14:schemeClr w14:val="tx1"/>
                        </w14:solidFill>
                      </w14:textFill>
                    </w:rPr>
                    <w:t>建立实验室、化验室、试验场污染事故预防和应急体系及上报机制，防止此类污染事故的发生和对群众健康造成损害。       　　</w:t>
                  </w:r>
                </w:p>
                <w:p w14:paraId="2385A567">
                  <w:pPr>
                    <w:numPr>
                      <w:ilvl w:val="0"/>
                      <w:numId w:val="0"/>
                    </w:numPr>
                    <w:snapToGrid w:val="0"/>
                    <w:spacing w:line="240" w:lineRule="auto"/>
                    <w:ind w:leftChars="0"/>
                    <w:jc w:val="left"/>
                    <w:rPr>
                      <w:color w:val="000000" w:themeColor="text1"/>
                      <w:spacing w:val="-6"/>
                      <w:kern w:val="32"/>
                      <w:sz w:val="21"/>
                      <w:szCs w:val="21"/>
                      <w14:textFill>
                        <w14:solidFill>
                          <w14:schemeClr w14:val="tx1"/>
                        </w14:solidFill>
                      </w14:textFill>
                    </w:rPr>
                  </w:pPr>
                  <w:r>
                    <w:rPr>
                      <w:rFonts w:hint="eastAsia"/>
                      <w:color w:val="000000" w:themeColor="text1"/>
                      <w:spacing w:val="-6"/>
                      <w:kern w:val="32"/>
                      <w:sz w:val="21"/>
                      <w:szCs w:val="21"/>
                      <w:lang w:val="en-US" w:eastAsia="zh-CN"/>
                      <w14:textFill>
                        <w14:solidFill>
                          <w14:schemeClr w14:val="tx1"/>
                        </w14:solidFill>
                      </w14:textFill>
                    </w:rPr>
                    <w:t>4、</w:t>
                  </w:r>
                  <w:r>
                    <w:rPr>
                      <w:color w:val="000000" w:themeColor="text1"/>
                      <w:spacing w:val="-6"/>
                      <w:kern w:val="32"/>
                      <w:sz w:val="21"/>
                      <w:szCs w:val="21"/>
                      <w14:textFill>
                        <w14:solidFill>
                          <w14:schemeClr w14:val="tx1"/>
                        </w14:solidFill>
                      </w14:textFill>
                    </w:rPr>
                    <w:t>各级环境保护部门应积极研究实验室、化验室、试验场污染监管工作，并以此带动各类少量、分散污染物尤其是感光材料等危险废物的收集和集中处置。</w:t>
                  </w:r>
                </w:p>
              </w:tc>
              <w:tc>
                <w:tcPr>
                  <w:tcW w:w="1405" w:type="pct"/>
                  <w:noWrap w:val="0"/>
                  <w:vAlign w:val="center"/>
                </w:tcPr>
                <w:p w14:paraId="5C2C3342">
                  <w:pPr>
                    <w:keepNext w:val="0"/>
                    <w:keepLines w:val="0"/>
                    <w:pageBreakBefore w:val="0"/>
                    <w:kinsoku/>
                    <w:wordWrap/>
                    <w:overflowPunct/>
                    <w:topLinePunct w:val="0"/>
                    <w:autoSpaceDE/>
                    <w:autoSpaceDN/>
                    <w:bidi w:val="0"/>
                    <w:adjustRightInd/>
                    <w:snapToGrid w:val="0"/>
                    <w:spacing w:line="240" w:lineRule="auto"/>
                    <w:ind w:right="0"/>
                    <w:jc w:val="center"/>
                    <w:textAlignment w:val="auto"/>
                    <w:rPr>
                      <w:rFonts w:hint="eastAsia"/>
                      <w:color w:val="000000" w:themeColor="text1"/>
                      <w:spacing w:val="-6"/>
                      <w:kern w:val="32"/>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（1）本项目为新建实验室，不属于</w:t>
                  </w:r>
                  <w:r>
                    <w:rPr>
                      <w:color w:val="000000" w:themeColor="text1"/>
                      <w:spacing w:val="-6"/>
                      <w:kern w:val="32"/>
                      <w:sz w:val="21"/>
                      <w:szCs w:val="21"/>
                      <w14:textFill>
                        <w14:solidFill>
                          <w14:schemeClr w14:val="tx1"/>
                        </w14:solidFill>
                      </w14:textFill>
                    </w:rPr>
                    <w:t>使用性质调整、改变或废弃的实验室、化验室、试验场</w:t>
                  </w:r>
                  <w:r>
                    <w:rPr>
                      <w:rFonts w:hint="eastAsia"/>
                      <w:color w:val="000000" w:themeColor="text1"/>
                      <w:spacing w:val="-6"/>
                      <w:kern w:val="32"/>
                      <w:sz w:val="21"/>
                      <w:szCs w:val="21"/>
                      <w:lang w:eastAsia="zh-CN"/>
                      <w14:textFill>
                        <w14:solidFill>
                          <w14:schemeClr w14:val="tx1"/>
                        </w14:solidFill>
                      </w14:textFill>
                    </w:rPr>
                    <w:t>；</w:t>
                  </w:r>
                </w:p>
                <w:p w14:paraId="06AD4F51">
                  <w:pPr>
                    <w:pStyle w:val="7"/>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olor w:val="000000" w:themeColor="text1"/>
                      <w:spacing w:val="-6"/>
                      <w:kern w:val="32"/>
                      <w:sz w:val="21"/>
                      <w:szCs w:val="21"/>
                      <w:lang w:val="en-US" w:eastAsia="zh-CN"/>
                      <w14:textFill>
                        <w14:solidFill>
                          <w14:schemeClr w14:val="tx1"/>
                        </w14:solidFill>
                      </w14:textFill>
                    </w:rPr>
                  </w:pPr>
                  <w:r>
                    <w:rPr>
                      <w:rFonts w:hint="eastAsia"/>
                      <w:color w:val="000000" w:themeColor="text1"/>
                      <w:spacing w:val="-6"/>
                      <w:kern w:val="32"/>
                      <w:sz w:val="21"/>
                      <w:szCs w:val="21"/>
                      <w:lang w:eastAsia="zh-CN"/>
                      <w14:textFill>
                        <w14:solidFill>
                          <w14:schemeClr w14:val="tx1"/>
                        </w14:solidFill>
                      </w14:textFill>
                    </w:rPr>
                    <w:t>（</w:t>
                  </w:r>
                  <w:r>
                    <w:rPr>
                      <w:rFonts w:hint="eastAsia"/>
                      <w:color w:val="000000" w:themeColor="text1"/>
                      <w:spacing w:val="-6"/>
                      <w:kern w:val="32"/>
                      <w:sz w:val="21"/>
                      <w:szCs w:val="21"/>
                      <w:lang w:val="en-US" w:eastAsia="zh-CN"/>
                      <w14:textFill>
                        <w14:solidFill>
                          <w14:schemeClr w14:val="tx1"/>
                        </w14:solidFill>
                      </w14:textFill>
                    </w:rPr>
                    <w:t>2</w:t>
                  </w:r>
                  <w:r>
                    <w:rPr>
                      <w:rFonts w:hint="eastAsia"/>
                      <w:color w:val="000000" w:themeColor="text1"/>
                      <w:spacing w:val="-6"/>
                      <w:kern w:val="32"/>
                      <w:sz w:val="21"/>
                      <w:szCs w:val="21"/>
                      <w:lang w:eastAsia="zh-CN"/>
                      <w14:textFill>
                        <w14:solidFill>
                          <w14:schemeClr w14:val="tx1"/>
                        </w14:solidFill>
                      </w14:textFill>
                    </w:rPr>
                    <w:t>）</w:t>
                  </w:r>
                  <w:r>
                    <w:rPr>
                      <w:rFonts w:hint="eastAsia"/>
                      <w:color w:val="000000" w:themeColor="text1"/>
                      <w:spacing w:val="-6"/>
                      <w:kern w:val="32"/>
                      <w:sz w:val="21"/>
                      <w:szCs w:val="21"/>
                      <w:lang w:val="en-US" w:eastAsia="zh-CN"/>
                      <w14:textFill>
                        <w14:solidFill>
                          <w14:schemeClr w14:val="tx1"/>
                        </w14:solidFill>
                      </w14:textFill>
                    </w:rPr>
                    <w:t>本项目环评正在编写中；</w:t>
                  </w:r>
                </w:p>
                <w:p w14:paraId="1703B394">
                  <w:pPr>
                    <w:keepNext w:val="0"/>
                    <w:keepLines w:val="0"/>
                    <w:pageBreakBefore w:val="0"/>
                    <w:kinsoku/>
                    <w:wordWrap/>
                    <w:overflowPunct/>
                    <w:topLinePunct w:val="0"/>
                    <w:autoSpaceDE/>
                    <w:autoSpaceDN/>
                    <w:bidi w:val="0"/>
                    <w:adjustRightInd/>
                    <w:spacing w:line="240" w:lineRule="auto"/>
                    <w:ind w:right="0"/>
                    <w:textAlignment w:val="auto"/>
                    <w:rPr>
                      <w:rFonts w:hint="default"/>
                      <w:color w:val="000000" w:themeColor="text1"/>
                      <w:lang w:val="en-US" w:eastAsia="zh-CN"/>
                      <w14:textFill>
                        <w14:solidFill>
                          <w14:schemeClr w14:val="tx1"/>
                        </w14:solidFill>
                      </w14:textFill>
                    </w:rPr>
                  </w:pPr>
                  <w:r>
                    <w:rPr>
                      <w:rFonts w:hint="eastAsia"/>
                      <w:color w:val="000000" w:themeColor="text1"/>
                      <w:spacing w:val="-6"/>
                      <w:kern w:val="32"/>
                      <w:sz w:val="21"/>
                      <w:szCs w:val="21"/>
                      <w:lang w:val="en-US" w:eastAsia="zh-CN"/>
                      <w14:textFill>
                        <w14:solidFill>
                          <w14:schemeClr w14:val="tx1"/>
                        </w14:solidFill>
                      </w14:textFill>
                    </w:rPr>
                    <w:t>（3）本项目危废委托有资质单位处置。</w:t>
                  </w:r>
                </w:p>
                <w:p w14:paraId="4A05F88D">
                  <w:pPr>
                    <w:rPr>
                      <w:rFonts w:hint="default"/>
                      <w:lang w:val="en-US" w:eastAsia="zh-CN"/>
                    </w:rPr>
                  </w:pPr>
                </w:p>
              </w:tc>
              <w:tc>
                <w:tcPr>
                  <w:tcW w:w="325" w:type="pct"/>
                  <w:noWrap w:val="0"/>
                  <w:vAlign w:val="center"/>
                </w:tcPr>
                <w:p w14:paraId="10B5B131">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相符</w:t>
                  </w:r>
                </w:p>
              </w:tc>
            </w:tr>
            <w:tr w14:paraId="1DDC14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restart"/>
                  <w:noWrap w:val="0"/>
                  <w:vAlign w:val="center"/>
                </w:tcPr>
                <w:p w14:paraId="7838057E">
                  <w:pPr>
                    <w:pStyle w:val="7"/>
                    <w:spacing w:before="0" w:after="0" w:line="240" w:lineRule="auto"/>
                    <w:ind w:right="0"/>
                    <w:jc w:val="cente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bookmarkStart w:id="20" w:name="OLE_LINK64"/>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w:t>
                  </w:r>
                  <w: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实验室挥发性有机物污染防治技术指南</w:t>
                  </w: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》（T/ACEF001-2020）</w:t>
                  </w:r>
                  <w:bookmarkEnd w:id="20"/>
                </w:p>
              </w:tc>
              <w:tc>
                <w:tcPr>
                  <w:tcW w:w="584" w:type="pct"/>
                  <w:noWrap w:val="0"/>
                  <w:vAlign w:val="center"/>
                </w:tcPr>
                <w:p w14:paraId="5DD6D3E7">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基本要求</w:t>
                  </w:r>
                </w:p>
              </w:tc>
              <w:tc>
                <w:tcPr>
                  <w:tcW w:w="1883" w:type="pct"/>
                  <w:noWrap w:val="0"/>
                  <w:vAlign w:val="center"/>
                </w:tcPr>
                <w:p w14:paraId="1ABC98B3">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1、实验室单位应建立有机溶剂使用登记和管理制度，编制实验操作规范，选择有效的废气收集和净化装置，减少 VOCs排放，防止污染周边环境。</w:t>
                  </w:r>
                </w:p>
                <w:p w14:paraId="51012BE1">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2、 产生 VOCs废气应进行收集，排放至 VOCs废气收集装置</w:t>
                  </w:r>
                  <w:r>
                    <w:rPr>
                      <w:rFonts w:hint="eastAsia" w:cs="Times New Roman"/>
                      <w:color w:val="000000" w:themeColor="text1"/>
                      <w:spacing w:val="-6"/>
                      <w:kern w:val="32"/>
                      <w:sz w:val="21"/>
                      <w:szCs w:val="21"/>
                      <w:lang w:val="en-US" w:eastAsia="zh-CN" w:bidi="ar-SA"/>
                      <w14:textFill>
                        <w14:solidFill>
                          <w14:schemeClr w14:val="tx1"/>
                        </w14:solidFill>
                      </w14:textFill>
                    </w:rPr>
                    <w:t>。</w:t>
                  </w:r>
                </w:p>
                <w:p w14:paraId="572EDA27">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3、实验室有组织 VOC 宣经过净化处理后方可排放。综合考虑场地、实验室类型等因素，因地制宜地采用有效的 VOCs 净化装置。经过净化后的废气应符合排放标准后方可排放，净化过程避免产生二次污染。</w:t>
                  </w:r>
                </w:p>
                <w:p w14:paraId="363097C9">
                  <w:pPr>
                    <w:snapToGrid w:val="0"/>
                    <w:spacing w:line="240" w:lineRule="auto"/>
                    <w:jc w:val="left"/>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4、废气收集和净化装置应保证与实验操作同时正常运行。</w:t>
                  </w:r>
                </w:p>
              </w:tc>
              <w:tc>
                <w:tcPr>
                  <w:tcW w:w="1405" w:type="pct"/>
                  <w:noWrap w:val="0"/>
                  <w:vAlign w:val="center"/>
                </w:tcPr>
                <w:p w14:paraId="650AAA68">
                  <w:pPr>
                    <w:snapToGrid w:val="0"/>
                    <w:spacing w:line="240" w:lineRule="auto"/>
                    <w:jc w:val="cente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14:textFill>
                        <w14:solidFill>
                          <w14:schemeClr w14:val="tx1"/>
                        </w14:solidFill>
                      </w14:textFill>
                    </w:rPr>
                    <w:t>本项目产生的非甲烷总烃和</w:t>
                  </w:r>
                  <w:r>
                    <w:rPr>
                      <w:rFonts w:hint="eastAsia" w:cs="Times New Roman"/>
                      <w:color w:val="000000" w:themeColor="text1"/>
                      <w:spacing w:val="-6"/>
                      <w:kern w:val="32"/>
                      <w:sz w:val="21"/>
                      <w:szCs w:val="21"/>
                      <w:lang w:val="en-US" w:eastAsia="zh-CN"/>
                      <w14:textFill>
                        <w14:solidFill>
                          <w14:schemeClr w14:val="tx1"/>
                        </w14:solidFill>
                      </w14:textFill>
                    </w:rPr>
                    <w:t>氨</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经</w:t>
                  </w:r>
                  <w:r>
                    <w:rPr>
                      <w:rFonts w:hint="eastAsia"/>
                      <w:color w:val="auto"/>
                      <w:sz w:val="21"/>
                      <w:szCs w:val="21"/>
                      <w:lang w:val="en-US" w:eastAsia="zh-CN"/>
                    </w:rPr>
                    <w:t>内置活性炭吸附装置无管道通风橱处置后，车间无组织排放</w:t>
                  </w:r>
                  <w:r>
                    <w:rPr>
                      <w:rFonts w:hint="eastAsia" w:ascii="Times New Roman" w:hAnsi="Times New Roman" w:eastAsia="宋体" w:cs="Times New Roman"/>
                      <w:color w:val="000000" w:themeColor="text1"/>
                      <w:spacing w:val="-6"/>
                      <w:kern w:val="32"/>
                      <w:sz w:val="21"/>
                      <w:szCs w:val="21"/>
                      <w:lang w:val="en-US" w:eastAsia="zh-CN"/>
                      <w14:textFill>
                        <w14:solidFill>
                          <w14:schemeClr w14:val="tx1"/>
                        </w14:solidFill>
                      </w14:textFill>
                    </w:rPr>
                    <w:t>。</w:t>
                  </w:r>
                </w:p>
              </w:tc>
              <w:tc>
                <w:tcPr>
                  <w:tcW w:w="325" w:type="pct"/>
                  <w:noWrap w:val="0"/>
                  <w:vAlign w:val="center"/>
                </w:tcPr>
                <w:p w14:paraId="7F01F8C8">
                  <w:pPr>
                    <w:spacing w:line="240" w:lineRule="auto"/>
                    <w:jc w:val="cente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相符</w:t>
                  </w:r>
                </w:p>
              </w:tc>
            </w:tr>
            <w:tr w14:paraId="1CC561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continue"/>
                  <w:noWrap w:val="0"/>
                  <w:vAlign w:val="center"/>
                </w:tcPr>
                <w:p w14:paraId="0146BDCB">
                  <w:pPr>
                    <w:pStyle w:val="7"/>
                    <w:spacing w:before="0" w:after="0" w:line="240" w:lineRule="auto"/>
                    <w:ind w:right="0"/>
                    <w:jc w:val="cente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p>
              </w:tc>
              <w:tc>
                <w:tcPr>
                  <w:tcW w:w="584" w:type="pct"/>
                  <w:noWrap w:val="0"/>
                  <w:vAlign w:val="center"/>
                </w:tcPr>
                <w:p w14:paraId="1062A095">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有机溶剂使用及操作规范</w:t>
                  </w:r>
                </w:p>
              </w:tc>
              <w:tc>
                <w:tcPr>
                  <w:tcW w:w="1883" w:type="pct"/>
                  <w:noWrap w:val="0"/>
                  <w:vAlign w:val="center"/>
                </w:tcPr>
                <w:p w14:paraId="5CFAF6EA">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1、实验室单位应加强对有机溶剂采购、储存和使用管理，建立有机溶剂(常见的有机溶剂种类参见附录 A)购置和使用登记制度，记录实验空所购买及使用的有机溶剂种类、数量(参见附录 B)，购置发票或复印件和相关台账记录保存三年。</w:t>
                  </w:r>
                </w:p>
                <w:p w14:paraId="4A4A9A7A">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2、在实验条件允许的情况下，宣使用低挥发性的有机溶剂。</w:t>
                  </w:r>
                </w:p>
                <w:p w14:paraId="3F1E02CC">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3、有机溶剂及其废液应储存在专门场所，避免露天存放；使用密封容器盛装，严禁敞口存放。</w:t>
                  </w:r>
                </w:p>
                <w:p w14:paraId="67393F0A">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4、实验空单位应编制有机溶剂实验操作规范，涉及有机溶剂使用且具有非密闭环节的实验操作应在具有废气收集的装置中进行，避免在开放空间中进行。</w:t>
                  </w:r>
                </w:p>
                <w:p w14:paraId="342CCA1E">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5、实验室单元应配备足量的吸附剂，对于操作过程中不慎造成的有机溶剂酒落，应及时使用吸附剂处理，并用密封袋或棕色玻璃瓶封存。</w:t>
                  </w:r>
                </w:p>
              </w:tc>
              <w:tc>
                <w:tcPr>
                  <w:tcW w:w="1405" w:type="pct"/>
                  <w:noWrap w:val="0"/>
                  <w:vAlign w:val="center"/>
                </w:tcPr>
                <w:p w14:paraId="3670246E">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本项目使用的有机溶剂为乙醇，存放于防爆柜内，用于实验设备消毒。</w:t>
                  </w:r>
                  <w:r>
                    <w:rPr>
                      <w:rFonts w:hint="eastAsia" w:cs="Times New Roman"/>
                      <w:color w:val="000000" w:themeColor="text1"/>
                      <w:spacing w:val="-6"/>
                      <w:kern w:val="32"/>
                      <w:sz w:val="21"/>
                      <w:szCs w:val="21"/>
                      <w:lang w:val="en-US" w:eastAsia="zh-CN" w:bidi="ar-SA"/>
                      <w14:textFill>
                        <w14:solidFill>
                          <w14:schemeClr w14:val="tx1"/>
                        </w14:solidFill>
                      </w14:textFill>
                    </w:rPr>
                    <w:t>加强对乙醇的采购、储存和使用的管理。</w:t>
                  </w:r>
                </w:p>
              </w:tc>
              <w:tc>
                <w:tcPr>
                  <w:tcW w:w="325" w:type="pct"/>
                  <w:noWrap w:val="0"/>
                  <w:vAlign w:val="center"/>
                </w:tcPr>
                <w:p w14:paraId="0A88398E">
                  <w:pPr>
                    <w:spacing w:line="240" w:lineRule="auto"/>
                    <w:jc w:val="cente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相符</w:t>
                  </w:r>
                </w:p>
              </w:tc>
            </w:tr>
            <w:tr w14:paraId="0A9A6E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continue"/>
                  <w:noWrap w:val="0"/>
                  <w:vAlign w:val="center"/>
                </w:tcPr>
                <w:p w14:paraId="32795DE1">
                  <w:pPr>
                    <w:pStyle w:val="7"/>
                    <w:spacing w:before="0" w:after="0" w:line="240" w:lineRule="auto"/>
                    <w:ind w:right="0"/>
                    <w:jc w:val="cente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p>
              </w:tc>
              <w:tc>
                <w:tcPr>
                  <w:tcW w:w="584" w:type="pct"/>
                  <w:noWrap w:val="0"/>
                  <w:vAlign w:val="center"/>
                </w:tcPr>
                <w:p w14:paraId="66F75516">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有机废气收集</w:t>
                  </w:r>
                </w:p>
              </w:tc>
              <w:tc>
                <w:tcPr>
                  <w:tcW w:w="1883" w:type="pct"/>
                  <w:noWrap w:val="0"/>
                  <w:vAlign w:val="center"/>
                </w:tcPr>
                <w:p w14:paraId="0351E72E">
                  <w:pPr>
                    <w:numPr>
                      <w:ilvl w:val="0"/>
                      <w:numId w:val="10"/>
                    </w:num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应根据有机溶剂的使用情况，统筹考虑废气收集装置。</w:t>
                  </w:r>
                </w:p>
                <w:p w14:paraId="0EA33F84">
                  <w:pPr>
                    <w:numPr>
                      <w:ilvl w:val="0"/>
                      <w:numId w:val="10"/>
                    </w:num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 xml:space="preserve"> 有机溶剂年使用量&lt;0.1吨的实验室单元，可选用内置高效过滤器的无管道通风柜。有机溶剂年使用量大于 </w:t>
                  </w:r>
                  <w:r>
                    <w:rPr>
                      <w:rFonts w:hint="eastAsia" w:cs="Times New Roman"/>
                      <w:color w:val="000000" w:themeColor="text1"/>
                      <w:spacing w:val="-6"/>
                      <w:kern w:val="32"/>
                      <w:sz w:val="21"/>
                      <w:szCs w:val="21"/>
                      <w:lang w:val="en-US" w:eastAsia="zh-CN" w:bidi="ar-SA"/>
                      <w14:textFill>
                        <w14:solidFill>
                          <w14:schemeClr w14:val="tx1"/>
                        </w14:solidFill>
                      </w14:textFill>
                    </w:rPr>
                    <w:t>0.</w:t>
                  </w: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1吨，小于1吨的实验室单元，宜选用有管道的通风柜。有机溶剂年使用量21吨的实验空单元，整体应安装废气收集装置，并保持微负压，避免无组织废气逸散。</w:t>
                  </w:r>
                </w:p>
                <w:p w14:paraId="3C8FDDE2">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3、使用有机溶剂作为进样的仪器，应在其上方安装废气收集系统排风，其设置应符合 GB/T 16758的规定，按 GB/T16758、AQ/T 4274 规定的方法测量控制风速，测量点应选取在距排风罩开口面最远处，控制风速不应低于0.3ms。</w:t>
                  </w:r>
                </w:p>
                <w:p w14:paraId="2E2BE025">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4、废气收集装置材质应防腐防锈，每月定期维护，存在泄漏时停止实验并及时修复。</w:t>
                  </w:r>
                </w:p>
              </w:tc>
              <w:tc>
                <w:tcPr>
                  <w:tcW w:w="1405" w:type="pct"/>
                  <w:noWrap w:val="0"/>
                  <w:vAlign w:val="center"/>
                </w:tcPr>
                <w:p w14:paraId="5522E30F">
                  <w:pPr>
                    <w:snapToGrid w:val="0"/>
                    <w:spacing w:line="240" w:lineRule="auto"/>
                    <w:jc w:val="cente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本项目使用的有机溶剂为乙醇，用于实验设备消毒，产生的非甲烷总烃</w:t>
                  </w:r>
                  <w:r>
                    <w:rPr>
                      <w:rFonts w:hint="eastAsia" w:cs="Times New Roman" w:eastAsiaTheme="minorEastAsia"/>
                      <w:b w:val="0"/>
                      <w:bCs w:val="0"/>
                      <w:color w:val="000000" w:themeColor="text1"/>
                      <w:kern w:val="0"/>
                      <w:sz w:val="21"/>
                      <w:szCs w:val="21"/>
                      <w:vertAlign w:val="baseline"/>
                      <w:lang w:val="en-US" w:eastAsia="zh-CN"/>
                      <w14:textFill>
                        <w14:solidFill>
                          <w14:schemeClr w14:val="tx1"/>
                        </w14:solidFill>
                      </w14:textFill>
                    </w:rPr>
                    <w:t>经</w:t>
                  </w:r>
                  <w:r>
                    <w:rPr>
                      <w:rFonts w:hint="eastAsia"/>
                      <w:color w:val="auto"/>
                      <w:sz w:val="21"/>
                      <w:szCs w:val="21"/>
                      <w:lang w:val="en-US" w:eastAsia="zh-CN"/>
                    </w:rPr>
                    <w:t>内置活性炭吸附装置无管道通风橱处置后，车间无组织排放</w:t>
                  </w:r>
                  <w:r>
                    <w:rPr>
                      <w:rFonts w:hint="eastAsia" w:ascii="Times New Roman" w:hAnsi="Times New Roman" w:eastAsia="宋体" w:cs="Times New Roman"/>
                      <w:color w:val="000000" w:themeColor="text1"/>
                      <w:spacing w:val="-6"/>
                      <w:kern w:val="32"/>
                      <w:sz w:val="21"/>
                      <w:szCs w:val="21"/>
                      <w:lang w:val="en-US" w:eastAsia="zh-CN"/>
                      <w14:textFill>
                        <w14:solidFill>
                          <w14:schemeClr w14:val="tx1"/>
                        </w14:solidFill>
                      </w14:textFill>
                    </w:rPr>
                    <w:t>。</w:t>
                  </w:r>
                </w:p>
              </w:tc>
              <w:tc>
                <w:tcPr>
                  <w:tcW w:w="325" w:type="pct"/>
                  <w:noWrap w:val="0"/>
                  <w:vAlign w:val="center"/>
                </w:tcPr>
                <w:p w14:paraId="728EEA44">
                  <w:pPr>
                    <w:spacing w:line="240" w:lineRule="auto"/>
                    <w:jc w:val="cente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相符</w:t>
                  </w:r>
                </w:p>
              </w:tc>
            </w:tr>
            <w:tr w14:paraId="45697F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continue"/>
                  <w:noWrap w:val="0"/>
                  <w:vAlign w:val="center"/>
                </w:tcPr>
                <w:p w14:paraId="4F925FA0">
                  <w:pPr>
                    <w:pStyle w:val="7"/>
                    <w:spacing w:before="0" w:after="0" w:line="240" w:lineRule="auto"/>
                    <w:ind w:right="0"/>
                    <w:jc w:val="cente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p>
              </w:tc>
              <w:tc>
                <w:tcPr>
                  <w:tcW w:w="584" w:type="pct"/>
                  <w:noWrap w:val="0"/>
                  <w:vAlign w:val="center"/>
                </w:tcPr>
                <w:p w14:paraId="7A7C4B4F">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净化技术选择</w:t>
                  </w:r>
                </w:p>
              </w:tc>
              <w:tc>
                <w:tcPr>
                  <w:tcW w:w="1883" w:type="pct"/>
                  <w:noWrap w:val="0"/>
                  <w:vAlign w:val="center"/>
                </w:tcPr>
                <w:p w14:paraId="1174DE47">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1、实验室单元在保障安全的情况下可采用吸附法等技术对 VOCs进行净化，根据技术发展鼓励采取更加高效的技术手段。</w:t>
                  </w:r>
                </w:p>
                <w:p w14:paraId="69C2B379">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2、吸附法可采用活性炭、活性炭纤维、分子筛等作为吸附介质。吸附剂的性能参数应符合 GBI7701.1和HJ2026 的相应要求，具体技术要求和参数包括；</w:t>
                  </w:r>
                </w:p>
                <w:p w14:paraId="0187E1D3">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a）吸附设施的风量按照最大废气排放量的 120%进行设计。</w:t>
                  </w:r>
                </w:p>
                <w:p w14:paraId="50A348E0">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b)选定吸附剂后，吸附床层的有效工作时间与吸附剂用量，应根据废气处理量、污染物浓度和吸附剂的动态吸附量确定。更换周期应综合考虑有机溶剂的使用量和实验强度等因素，原则上不应长于6个月。</w:t>
                  </w:r>
                </w:p>
                <w:p w14:paraId="014406D4">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c）采用纤维状吸附剂时，吸附单元的压力损失直低于4kPa；采用其他形态吸附剂时，吸附单元的压力损失宣低于2.51Pa。</w:t>
                  </w:r>
                </w:p>
                <w:p w14:paraId="5085724E">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d）固定床吸附装置吸附层的气体流速应根据吸附剂的形态确定。采用颗粒状吸附剂时，气体流速宣低于 0.60m/s；采用纤维状吸附剂(活性纤维)时，气体流速直低于0.15m/s；采用蜂窝状吸附剂时，气体流速直低于 1.20m/s。</w:t>
                  </w:r>
                </w:p>
              </w:tc>
              <w:tc>
                <w:tcPr>
                  <w:tcW w:w="1405" w:type="pct"/>
                  <w:noWrap w:val="0"/>
                  <w:vAlign w:val="center"/>
                </w:tcPr>
                <w:p w14:paraId="0113E6BB">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本项目产生的非甲烷总体和</w:t>
                  </w:r>
                  <w:r>
                    <w:rPr>
                      <w:rFonts w:hint="eastAsia" w:cs="Times New Roman"/>
                      <w:color w:val="000000" w:themeColor="text1"/>
                      <w:spacing w:val="-6"/>
                      <w:kern w:val="32"/>
                      <w:sz w:val="21"/>
                      <w:szCs w:val="21"/>
                      <w:lang w:val="en-US" w:eastAsia="zh-CN" w:bidi="ar-SA"/>
                      <w14:textFill>
                        <w14:solidFill>
                          <w14:schemeClr w14:val="tx1"/>
                        </w14:solidFill>
                      </w14:textFill>
                    </w:rPr>
                    <w:t>氨经经内置活性炭吸附装置无管道通风橱处置后，车间无组织排放</w:t>
                  </w:r>
                  <w:r>
                    <w:rPr>
                      <w:rFonts w:hint="eastAsia" w:ascii="Times New Roman" w:hAnsi="Times New Roman" w:eastAsia="宋体" w:cs="Times New Roman"/>
                      <w:color w:val="000000" w:themeColor="text1"/>
                      <w:spacing w:val="-6"/>
                      <w:kern w:val="32"/>
                      <w:sz w:val="21"/>
                      <w:szCs w:val="21"/>
                      <w:lang w:val="en-US" w:eastAsia="zh-CN"/>
                      <w14:textFill>
                        <w14:solidFill>
                          <w14:schemeClr w14:val="tx1"/>
                        </w14:solidFill>
                      </w14:textFill>
                    </w:rPr>
                    <w:t>；每个3月更换一次活性炭。</w:t>
                  </w:r>
                </w:p>
              </w:tc>
              <w:tc>
                <w:tcPr>
                  <w:tcW w:w="325" w:type="pct"/>
                  <w:noWrap w:val="0"/>
                  <w:vAlign w:val="center"/>
                </w:tcPr>
                <w:p w14:paraId="0A936D77">
                  <w:pPr>
                    <w:spacing w:line="240" w:lineRule="auto"/>
                    <w:jc w:val="cente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相符</w:t>
                  </w:r>
                </w:p>
              </w:tc>
            </w:tr>
            <w:tr w14:paraId="0B266C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continue"/>
                  <w:noWrap w:val="0"/>
                  <w:vAlign w:val="center"/>
                </w:tcPr>
                <w:p w14:paraId="792FDC2A">
                  <w:pPr>
                    <w:pStyle w:val="7"/>
                    <w:spacing w:before="0" w:after="0" w:line="240" w:lineRule="auto"/>
                    <w:ind w:right="0"/>
                    <w:jc w:val="cente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p>
              </w:tc>
              <w:tc>
                <w:tcPr>
                  <w:tcW w:w="584" w:type="pct"/>
                  <w:noWrap w:val="0"/>
                  <w:vAlign w:val="center"/>
                </w:tcPr>
                <w:p w14:paraId="0E5DB701">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净化装置建设及运行要求</w:t>
                  </w:r>
                </w:p>
              </w:tc>
              <w:tc>
                <w:tcPr>
                  <w:tcW w:w="1883" w:type="pct"/>
                  <w:noWrap w:val="0"/>
                  <w:vAlign w:val="center"/>
                </w:tcPr>
                <w:p w14:paraId="0C4F1D66">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1、净化装置应在产生 VOCs 的实验前开启、在实验结束后篇继续开启十分钟，保证 VOCs 处理完全，再停机，并实现联动控制。净化装置运行过程中发生故障，应及时停用检修。净化装置建设方应提供净化装置的使用要求和操作规程。</w:t>
                  </w:r>
                </w:p>
                <w:p w14:paraId="0D9AA6EA">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2、净化装置的管理应纳入实验室日常管理中，配备专业管理人员和技术人员，掌握应急情况下的处理措施。</w:t>
                  </w:r>
                </w:p>
                <w:p w14:paraId="3175DB99">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3、</w:t>
                  </w:r>
                  <w:bookmarkStart w:id="21" w:name="OLE_LINK29"/>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建立运行、维护和操作规程，明确设施的检查周期，建立主要设备运行状况的台账制度，保证设施正常运行</w:t>
                  </w:r>
                  <w:bookmarkEnd w:id="21"/>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w:t>
                  </w:r>
                </w:p>
                <w:p w14:paraId="26FFCEF2">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4、建立净化装宣运行状况、设施维护等的记录制度，主要维护记录内容(参见附录C)包括:</w:t>
                  </w:r>
                </w:p>
                <w:p w14:paraId="464975D8">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a) 净化装置的启动、停止时间:</w:t>
                  </w:r>
                </w:p>
                <w:p w14:paraId="62062308">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b) 吸附剂更换时间:</w:t>
                  </w:r>
                </w:p>
                <w:p w14:paraId="564FADC0">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c）净化装置运行工艺控制参数，至少包括净化装置进、出口浓度；</w:t>
                  </w:r>
                </w:p>
                <w:p w14:paraId="02DE1330">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d)主要设备维修情况；</w:t>
                  </w:r>
                </w:p>
                <w:p w14:paraId="63AF0EAB">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e)运行事故及维修情况。</w:t>
                  </w:r>
                </w:p>
                <w:p w14:paraId="762C1C37">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5、排气简应设置永久性采样口，采样口的设登应符合 HI/T397 要求</w:t>
                  </w:r>
                </w:p>
              </w:tc>
              <w:tc>
                <w:tcPr>
                  <w:tcW w:w="1405" w:type="pct"/>
                  <w:noWrap w:val="0"/>
                  <w:vAlign w:val="center"/>
                </w:tcPr>
                <w:p w14:paraId="597E8F2B">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本项目产生的非甲烷总体和</w:t>
                  </w:r>
                  <w:r>
                    <w:rPr>
                      <w:rFonts w:hint="eastAsia" w:cs="Times New Roman"/>
                      <w:color w:val="000000" w:themeColor="text1"/>
                      <w:spacing w:val="-6"/>
                      <w:kern w:val="32"/>
                      <w:sz w:val="21"/>
                      <w:szCs w:val="21"/>
                      <w:lang w:val="en-US" w:eastAsia="zh-CN" w:bidi="ar-SA"/>
                      <w14:textFill>
                        <w14:solidFill>
                          <w14:schemeClr w14:val="tx1"/>
                        </w14:solidFill>
                      </w14:textFill>
                    </w:rPr>
                    <w:t>氨经经内置活性炭吸附装置无管道通风橱处置后，车间无组织排放</w:t>
                  </w:r>
                  <w:r>
                    <w:rPr>
                      <w:rFonts w:hint="eastAsia" w:ascii="Times New Roman" w:hAnsi="Times New Roman" w:eastAsia="宋体" w:cs="Times New Roman"/>
                      <w:color w:val="000000" w:themeColor="text1"/>
                      <w:spacing w:val="-6"/>
                      <w:kern w:val="32"/>
                      <w:sz w:val="21"/>
                      <w:szCs w:val="21"/>
                      <w:lang w:val="en-US" w:eastAsia="zh-CN"/>
                      <w14:textFill>
                        <w14:solidFill>
                          <w14:schemeClr w14:val="tx1"/>
                        </w14:solidFill>
                      </w14:textFill>
                    </w:rPr>
                    <w:t>；</w:t>
                  </w:r>
                  <w:r>
                    <w:rPr>
                      <w:rFonts w:hint="eastAsia" w:cs="Times New Roman"/>
                      <w:color w:val="000000" w:themeColor="text1"/>
                      <w:spacing w:val="-6"/>
                      <w:kern w:val="32"/>
                      <w:sz w:val="21"/>
                      <w:szCs w:val="21"/>
                      <w:lang w:val="en-US" w:eastAsia="zh-CN"/>
                      <w14:textFill>
                        <w14:solidFill>
                          <w14:schemeClr w14:val="tx1"/>
                        </w14:solidFill>
                      </w14:textFill>
                    </w:rPr>
                    <w:t>按</w:t>
                  </w:r>
                  <w:r>
                    <w:rPr>
                      <w:rFonts w:hint="eastAsia" w:ascii="Times New Roman" w:hAnsi="Times New Roman" w:eastAsia="宋体" w:cs="Times New Roman"/>
                      <w:color w:val="000000" w:themeColor="text1"/>
                      <w:spacing w:val="-6"/>
                      <w:kern w:val="32"/>
                      <w:sz w:val="21"/>
                      <w:szCs w:val="21"/>
                      <w:lang w:val="en-US" w:eastAsia="zh-CN"/>
                      <w14:textFill>
                        <w14:solidFill>
                          <w14:schemeClr w14:val="tx1"/>
                        </w14:solidFill>
                      </w14:textFill>
                    </w:rPr>
                    <w:t>照要求开启二级活性炭吸附装置，</w:t>
                  </w: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建立运行、维护和操作规程，明确设施的检查周期，建立主要设备运行状况的台账制度，保证设施正常运行</w:t>
                  </w:r>
                  <w:r>
                    <w:rPr>
                      <w:rFonts w:hint="eastAsia" w:cs="Times New Roman"/>
                      <w:color w:val="000000" w:themeColor="text1"/>
                      <w:spacing w:val="-6"/>
                      <w:kern w:val="32"/>
                      <w:sz w:val="21"/>
                      <w:szCs w:val="21"/>
                      <w:lang w:val="en-US" w:eastAsia="zh-CN" w:bidi="ar-SA"/>
                      <w14:textFill>
                        <w14:solidFill>
                          <w14:schemeClr w14:val="tx1"/>
                        </w14:solidFill>
                      </w14:textFill>
                    </w:rPr>
                    <w:t>。</w:t>
                  </w:r>
                </w:p>
              </w:tc>
              <w:tc>
                <w:tcPr>
                  <w:tcW w:w="325" w:type="pct"/>
                  <w:noWrap w:val="0"/>
                  <w:vAlign w:val="center"/>
                </w:tcPr>
                <w:p w14:paraId="6E1358E2">
                  <w:pPr>
                    <w:spacing w:line="240" w:lineRule="auto"/>
                    <w:jc w:val="cente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相符</w:t>
                  </w:r>
                </w:p>
              </w:tc>
            </w:tr>
            <w:tr w14:paraId="63EF27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00" w:type="pct"/>
                  <w:vMerge w:val="continue"/>
                  <w:noWrap w:val="0"/>
                  <w:vAlign w:val="center"/>
                </w:tcPr>
                <w:p w14:paraId="3E3143B7">
                  <w:pPr>
                    <w:pStyle w:val="7"/>
                    <w:spacing w:before="0" w:after="0" w:line="240" w:lineRule="auto"/>
                    <w:ind w:right="0"/>
                    <w:jc w:val="cente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p>
              </w:tc>
              <w:tc>
                <w:tcPr>
                  <w:tcW w:w="584" w:type="pct"/>
                  <w:noWrap w:val="0"/>
                  <w:vAlign w:val="center"/>
                </w:tcPr>
                <w:p w14:paraId="05FA227F">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危险废物管理</w:t>
                  </w:r>
                </w:p>
              </w:tc>
              <w:tc>
                <w:tcPr>
                  <w:tcW w:w="1883" w:type="pct"/>
                  <w:noWrap w:val="0"/>
                  <w:vAlign w:val="center"/>
                </w:tcPr>
                <w:p w14:paraId="6F45BE31">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1、吸附剂废弃后，应根据《国家危险废物名录》确认是否属于危险废物:如果属于危险废物，应按GB 18597 等危险废物贮存、转移、处置等相关要求进行环境管理。</w:t>
                  </w:r>
                </w:p>
                <w:p w14:paraId="027EA768">
                  <w:pPr>
                    <w:snapToGrid w:val="0"/>
                    <w:spacing w:line="240" w:lineRule="auto"/>
                    <w:jc w:val="left"/>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2、鼓励吸附剂循环再生利用。</w:t>
                  </w:r>
                </w:p>
              </w:tc>
              <w:tc>
                <w:tcPr>
                  <w:tcW w:w="1405" w:type="pct"/>
                  <w:noWrap w:val="0"/>
                  <w:vAlign w:val="center"/>
                </w:tcPr>
                <w:p w14:paraId="01D770A0">
                  <w:pPr>
                    <w:snapToGrid w:val="0"/>
                    <w:spacing w:line="240" w:lineRule="auto"/>
                    <w:jc w:val="center"/>
                    <w:rPr>
                      <w:rFonts w:hint="default"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t>本项目废气处理设施产生的危废为废活性炭，委托有资质单位处置。</w:t>
                  </w:r>
                </w:p>
              </w:tc>
              <w:tc>
                <w:tcPr>
                  <w:tcW w:w="325" w:type="pct"/>
                  <w:noWrap w:val="0"/>
                  <w:vAlign w:val="center"/>
                </w:tcPr>
                <w:p w14:paraId="11D45BDF">
                  <w:pPr>
                    <w:spacing w:line="240" w:lineRule="auto"/>
                    <w:jc w:val="center"/>
                    <w:rPr>
                      <w:rFonts w:ascii="Times New Roman" w:hAnsi="Times New Roman" w:eastAsia="宋体" w:cs="Times New Roman"/>
                      <w:color w:val="000000" w:themeColor="text1"/>
                      <w:spacing w:val="-6"/>
                      <w:kern w:val="3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相符</w:t>
                  </w:r>
                </w:p>
              </w:tc>
            </w:tr>
          </w:tbl>
          <w:p w14:paraId="1B6F2B3A">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auto"/>
                <w:kern w:val="0"/>
                <w:sz w:val="24"/>
                <w:szCs w:val="24"/>
              </w:rPr>
            </w:pPr>
            <w:r>
              <w:rPr>
                <w:b/>
                <w:bCs/>
                <w:color w:val="auto"/>
                <w:kern w:val="0"/>
                <w:sz w:val="24"/>
                <w:szCs w:val="24"/>
              </w:rPr>
              <w:t>与环评审批工作的相符性分析</w:t>
            </w:r>
          </w:p>
          <w:p w14:paraId="2DACEC63">
            <w:pPr>
              <w:keepNext w:val="0"/>
              <w:keepLines w:val="0"/>
              <w:pageBreakBefore w:val="0"/>
              <w:widowControl w:val="0"/>
              <w:kinsoku/>
              <w:wordWrap/>
              <w:overflowPunct/>
              <w:topLinePunct w:val="0"/>
              <w:bidi w:val="0"/>
              <w:spacing w:line="480" w:lineRule="exact"/>
              <w:ind w:firstLine="480" w:firstLineChars="200"/>
              <w:textAlignment w:val="auto"/>
              <w:rPr>
                <w:color w:val="auto"/>
                <w:sz w:val="24"/>
                <w:szCs w:val="24"/>
              </w:rPr>
            </w:pPr>
            <w:r>
              <w:rPr>
                <w:color w:val="auto"/>
                <w:sz w:val="24"/>
                <w:szCs w:val="24"/>
              </w:rPr>
              <w:t>1、与“省生态环境厅关于进一步做好建设项目环评审批工作的通知（苏环办[2019]36号）”相符性分析</w:t>
            </w:r>
          </w:p>
          <w:p w14:paraId="3AA9B39D">
            <w:pPr>
              <w:snapToGrid w:val="0"/>
              <w:spacing w:before="72" w:beforeLines="30" w:line="360" w:lineRule="exact"/>
              <w:jc w:val="center"/>
              <w:rPr>
                <w:b/>
                <w:bCs/>
                <w:color w:val="auto"/>
                <w:sz w:val="21"/>
                <w:szCs w:val="21"/>
              </w:rPr>
            </w:pPr>
          </w:p>
          <w:p w14:paraId="5C9D6EE5">
            <w:pPr>
              <w:snapToGrid w:val="0"/>
              <w:spacing w:before="72" w:beforeLines="30" w:line="360" w:lineRule="exact"/>
              <w:jc w:val="center"/>
              <w:rPr>
                <w:b/>
                <w:bCs/>
                <w:color w:val="auto"/>
                <w:sz w:val="21"/>
                <w:szCs w:val="21"/>
              </w:rPr>
            </w:pPr>
          </w:p>
          <w:p w14:paraId="3F8629EA">
            <w:pPr>
              <w:snapToGrid w:val="0"/>
              <w:spacing w:before="72" w:beforeLines="30" w:line="360" w:lineRule="exact"/>
              <w:jc w:val="center"/>
              <w:rPr>
                <w:b/>
                <w:bCs/>
                <w:color w:val="auto"/>
                <w:sz w:val="24"/>
                <w:szCs w:val="24"/>
              </w:rPr>
            </w:pPr>
            <w:r>
              <w:rPr>
                <w:b/>
                <w:bCs/>
                <w:color w:val="auto"/>
                <w:sz w:val="21"/>
                <w:szCs w:val="21"/>
              </w:rPr>
              <w:t>表1-</w:t>
            </w:r>
            <w:r>
              <w:rPr>
                <w:rFonts w:hint="eastAsia"/>
                <w:b/>
                <w:bCs/>
                <w:color w:val="auto"/>
                <w:sz w:val="21"/>
                <w:szCs w:val="21"/>
                <w:lang w:val="en-US" w:eastAsia="zh-CN"/>
              </w:rPr>
              <w:t>10</w:t>
            </w:r>
            <w:r>
              <w:rPr>
                <w:b/>
                <w:bCs/>
                <w:color w:val="auto"/>
                <w:sz w:val="21"/>
                <w:szCs w:val="21"/>
              </w:rPr>
              <w:t xml:space="preserve"> 与苏环办[2019]36号对照分析</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055"/>
              <w:gridCol w:w="3861"/>
              <w:gridCol w:w="925"/>
            </w:tblGrid>
            <w:tr w14:paraId="488FBE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jc w:val="center"/>
              </w:trPr>
              <w:tc>
                <w:tcPr>
                  <w:tcW w:w="3136" w:type="pct"/>
                  <w:noWrap w:val="0"/>
                  <w:vAlign w:val="center"/>
                </w:tcPr>
                <w:p w14:paraId="6C972BBE">
                  <w:pPr>
                    <w:adjustRightInd w:val="0"/>
                    <w:snapToGrid w:val="0"/>
                    <w:spacing w:line="240" w:lineRule="auto"/>
                    <w:jc w:val="center"/>
                    <w:rPr>
                      <w:b/>
                      <w:color w:val="auto"/>
                      <w:sz w:val="21"/>
                      <w:szCs w:val="21"/>
                    </w:rPr>
                  </w:pPr>
                  <w:r>
                    <w:rPr>
                      <w:b/>
                      <w:color w:val="auto"/>
                      <w:sz w:val="21"/>
                      <w:szCs w:val="21"/>
                    </w:rPr>
                    <w:t>文件要求</w:t>
                  </w:r>
                </w:p>
              </w:tc>
              <w:tc>
                <w:tcPr>
                  <w:tcW w:w="1503" w:type="pct"/>
                  <w:noWrap w:val="0"/>
                  <w:vAlign w:val="center"/>
                </w:tcPr>
                <w:p w14:paraId="3C10B761">
                  <w:pPr>
                    <w:adjustRightInd w:val="0"/>
                    <w:snapToGrid w:val="0"/>
                    <w:spacing w:line="240" w:lineRule="auto"/>
                    <w:jc w:val="center"/>
                    <w:rPr>
                      <w:b/>
                      <w:color w:val="auto"/>
                      <w:sz w:val="21"/>
                      <w:szCs w:val="21"/>
                    </w:rPr>
                  </w:pPr>
                  <w:r>
                    <w:rPr>
                      <w:b/>
                      <w:color w:val="auto"/>
                      <w:sz w:val="21"/>
                      <w:szCs w:val="21"/>
                    </w:rPr>
                    <w:t>本项目</w:t>
                  </w:r>
                </w:p>
              </w:tc>
              <w:tc>
                <w:tcPr>
                  <w:tcW w:w="360" w:type="pct"/>
                  <w:noWrap w:val="0"/>
                  <w:vAlign w:val="center"/>
                </w:tcPr>
                <w:p w14:paraId="7EF5504F">
                  <w:pPr>
                    <w:pStyle w:val="13"/>
                    <w:spacing w:after="0" w:line="240" w:lineRule="auto"/>
                    <w:ind w:left="0" w:leftChars="0"/>
                    <w:jc w:val="center"/>
                    <w:rPr>
                      <w:b/>
                      <w:color w:val="auto"/>
                      <w:sz w:val="21"/>
                      <w:szCs w:val="21"/>
                    </w:rPr>
                  </w:pPr>
                  <w:r>
                    <w:rPr>
                      <w:b/>
                      <w:color w:val="auto"/>
                      <w:sz w:val="21"/>
                      <w:szCs w:val="21"/>
                    </w:rPr>
                    <w:t>相符性论证</w:t>
                  </w:r>
                </w:p>
              </w:tc>
            </w:tr>
            <w:tr w14:paraId="58C1F2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36" w:type="pct"/>
                  <w:noWrap w:val="0"/>
                  <w:vAlign w:val="center"/>
                </w:tcPr>
                <w:p w14:paraId="3081F8D2">
                  <w:pPr>
                    <w:pStyle w:val="13"/>
                    <w:spacing w:after="0" w:line="240" w:lineRule="auto"/>
                    <w:ind w:left="0" w:leftChars="0" w:firstLine="420" w:firstLineChars="200"/>
                    <w:jc w:val="left"/>
                    <w:rPr>
                      <w:color w:val="auto"/>
                      <w:sz w:val="21"/>
                      <w:szCs w:val="21"/>
                    </w:rPr>
                  </w:pPr>
                  <w:r>
                    <w:rPr>
                      <w:color w:val="auto"/>
                      <w:sz w:val="21"/>
                      <w:szCs w:val="21"/>
                    </w:rPr>
                    <w:t>有下列情形之一的，不予批准：(1)建设项目类型及其选址、布局、规模等不符合</w:t>
                  </w:r>
                  <w:r>
                    <w:rPr>
                      <w:color w:val="auto"/>
                      <w:sz w:val="21"/>
                      <w:szCs w:val="21"/>
                    </w:rPr>
                    <w:fldChar w:fldCharType="begin"/>
                  </w:r>
                  <w:r>
                    <w:rPr>
                      <w:color w:val="auto"/>
                      <w:sz w:val="21"/>
                      <w:szCs w:val="21"/>
                    </w:rPr>
                    <w:instrText xml:space="preserve"> HYPERLINK "https://www.eqxun.com/news/78.html" \t "https://www.eqxun.com/news/_blank" </w:instrText>
                  </w:r>
                  <w:r>
                    <w:rPr>
                      <w:color w:val="auto"/>
                      <w:sz w:val="21"/>
                      <w:szCs w:val="21"/>
                    </w:rPr>
                    <w:fldChar w:fldCharType="separate"/>
                  </w:r>
                  <w:r>
                    <w:rPr>
                      <w:color w:val="auto"/>
                      <w:sz w:val="21"/>
                      <w:szCs w:val="21"/>
                    </w:rPr>
                    <w:t>环境保护法</w:t>
                  </w:r>
                  <w:r>
                    <w:rPr>
                      <w:color w:val="auto"/>
                      <w:sz w:val="21"/>
                      <w:szCs w:val="21"/>
                    </w:rPr>
                    <w:fldChar w:fldCharType="end"/>
                  </w:r>
                  <w:r>
                    <w:rPr>
                      <w:color w:val="auto"/>
                      <w:sz w:val="21"/>
                      <w:szCs w:val="21"/>
                    </w:rPr>
                    <w:t>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w:t>
                  </w:r>
                  <w:r>
                    <w:rPr>
                      <w:color w:val="auto"/>
                      <w:sz w:val="21"/>
                      <w:szCs w:val="21"/>
                    </w:rPr>
                    <w:fldChar w:fldCharType="begin"/>
                  </w:r>
                  <w:r>
                    <w:rPr>
                      <w:color w:val="auto"/>
                      <w:sz w:val="21"/>
                      <w:szCs w:val="21"/>
                    </w:rPr>
                    <w:instrText xml:space="preserve"> HYPERLINK "https://www.eqxun.com/news/1819.html" \t "https://www.eqxun.com/news/_blank" </w:instrText>
                  </w:r>
                  <w:r>
                    <w:rPr>
                      <w:color w:val="auto"/>
                      <w:sz w:val="21"/>
                      <w:szCs w:val="21"/>
                    </w:rPr>
                    <w:fldChar w:fldCharType="separate"/>
                  </w:r>
                  <w:r>
                    <w:rPr>
                      <w:color w:val="auto"/>
                      <w:sz w:val="21"/>
                      <w:szCs w:val="21"/>
                    </w:rPr>
                    <w:t>环境污染</w:t>
                  </w:r>
                  <w:r>
                    <w:rPr>
                      <w:color w:val="auto"/>
                      <w:sz w:val="21"/>
                      <w:szCs w:val="21"/>
                    </w:rPr>
                    <w:fldChar w:fldCharType="end"/>
                  </w:r>
                  <w:r>
                    <w:rPr>
                      <w:color w:val="auto"/>
                      <w:sz w:val="21"/>
                      <w:szCs w:val="21"/>
                    </w:rPr>
                    <w:t>和生态破坏提出有效防止措施；(5)建设项目的环境影响报告书、环境影响报告表的基础资料数据明显不实，内容存在重大缺陷、遗漏，或者环境影响评价结论不明确、不合理。</w:t>
                  </w:r>
                </w:p>
                <w:p w14:paraId="62D74303">
                  <w:pPr>
                    <w:pStyle w:val="13"/>
                    <w:spacing w:after="0" w:line="240" w:lineRule="auto"/>
                    <w:ind w:left="0" w:leftChars="0"/>
                    <w:rPr>
                      <w:color w:val="auto"/>
                      <w:kern w:val="32"/>
                      <w:sz w:val="21"/>
                      <w:szCs w:val="21"/>
                    </w:rPr>
                  </w:pPr>
                  <w:r>
                    <w:rPr>
                      <w:color w:val="auto"/>
                      <w:sz w:val="21"/>
                      <w:szCs w:val="21"/>
                    </w:rPr>
                    <w:t>——《建设项目环境保护管理条例》</w:t>
                  </w:r>
                </w:p>
              </w:tc>
              <w:tc>
                <w:tcPr>
                  <w:tcW w:w="1503" w:type="pct"/>
                  <w:noWrap w:val="0"/>
                  <w:vAlign w:val="center"/>
                </w:tcPr>
                <w:p w14:paraId="027B9639">
                  <w:pPr>
                    <w:pStyle w:val="13"/>
                    <w:spacing w:after="0" w:line="240" w:lineRule="auto"/>
                    <w:ind w:left="0" w:leftChars="0"/>
                    <w:jc w:val="center"/>
                    <w:rPr>
                      <w:rFonts w:hint="eastAsia" w:eastAsia="宋体"/>
                      <w:color w:val="auto"/>
                      <w:sz w:val="21"/>
                      <w:szCs w:val="21"/>
                      <w:lang w:eastAsia="zh-CN"/>
                    </w:rPr>
                  </w:pPr>
                  <w:r>
                    <w:rPr>
                      <w:color w:val="auto"/>
                      <w:sz w:val="21"/>
                      <w:szCs w:val="21"/>
                    </w:rPr>
                    <w:t>本项目为</w:t>
                  </w:r>
                  <w:r>
                    <w:rPr>
                      <w:rFonts w:hint="eastAsia"/>
                      <w:color w:val="auto"/>
                      <w:sz w:val="21"/>
                      <w:szCs w:val="21"/>
                      <w:lang w:eastAsia="zh-CN"/>
                    </w:rPr>
                    <w:t>实验室建设项目</w:t>
                  </w:r>
                  <w:r>
                    <w:rPr>
                      <w:color w:val="auto"/>
                      <w:sz w:val="21"/>
                      <w:szCs w:val="21"/>
                    </w:rPr>
                    <w:t>，位于常州市金坛区</w:t>
                  </w:r>
                  <w:r>
                    <w:rPr>
                      <w:rFonts w:hint="eastAsia"/>
                      <w:color w:val="auto"/>
                      <w:sz w:val="21"/>
                      <w:szCs w:val="21"/>
                      <w:lang w:eastAsia="zh-CN"/>
                    </w:rPr>
                    <w:t>西城路118号</w:t>
                  </w:r>
                  <w:r>
                    <w:rPr>
                      <w:color w:val="auto"/>
                      <w:sz w:val="21"/>
                      <w:szCs w:val="21"/>
                    </w:rPr>
                    <w:t>，对照“</w:t>
                  </w:r>
                  <w:r>
                    <w:rPr>
                      <w:rFonts w:hint="eastAsia"/>
                      <w:color w:val="auto"/>
                      <w:sz w:val="21"/>
                      <w:szCs w:val="21"/>
                    </w:rPr>
                    <w:t>金坛金城科技产业园土地利用规划图</w:t>
                  </w:r>
                  <w:r>
                    <w:rPr>
                      <w:color w:val="auto"/>
                      <w:sz w:val="21"/>
                      <w:szCs w:val="21"/>
                    </w:rPr>
                    <w:t>”，项目所在地为工业用地；项目所在地为非达标区，目前区域内进行了削减措施；本项目采取了污染防治措施后，可满足大气污染物排放标准与上述内容相符</w:t>
                  </w:r>
                  <w:r>
                    <w:rPr>
                      <w:rFonts w:hint="eastAsia"/>
                      <w:color w:val="auto"/>
                      <w:sz w:val="21"/>
                      <w:szCs w:val="21"/>
                      <w:lang w:eastAsia="zh-CN"/>
                    </w:rPr>
                    <w:t>。</w:t>
                  </w:r>
                </w:p>
              </w:tc>
              <w:tc>
                <w:tcPr>
                  <w:tcW w:w="360" w:type="pct"/>
                  <w:noWrap w:val="0"/>
                  <w:vAlign w:val="center"/>
                </w:tcPr>
                <w:p w14:paraId="5580B181">
                  <w:pPr>
                    <w:pStyle w:val="13"/>
                    <w:spacing w:after="0" w:line="240" w:lineRule="auto"/>
                    <w:ind w:left="0" w:leftChars="0"/>
                    <w:jc w:val="center"/>
                    <w:rPr>
                      <w:color w:val="auto"/>
                      <w:sz w:val="21"/>
                      <w:szCs w:val="21"/>
                    </w:rPr>
                  </w:pPr>
                  <w:r>
                    <w:rPr>
                      <w:color w:val="auto"/>
                      <w:sz w:val="21"/>
                      <w:szCs w:val="21"/>
                    </w:rPr>
                    <w:t>相符</w:t>
                  </w:r>
                </w:p>
              </w:tc>
            </w:tr>
            <w:tr w14:paraId="253377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36" w:type="pct"/>
                  <w:noWrap w:val="0"/>
                  <w:vAlign w:val="center"/>
                </w:tcPr>
                <w:p w14:paraId="23A50750">
                  <w:pPr>
                    <w:pStyle w:val="13"/>
                    <w:spacing w:after="0" w:line="240" w:lineRule="auto"/>
                    <w:ind w:left="0" w:leftChars="0" w:firstLine="420" w:firstLineChars="200"/>
                    <w:jc w:val="left"/>
                    <w:rPr>
                      <w:color w:val="auto"/>
                      <w:sz w:val="21"/>
                      <w:szCs w:val="21"/>
                    </w:rPr>
                  </w:pPr>
                  <w:r>
                    <w:rPr>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p w14:paraId="3FBE7B7F">
                  <w:pPr>
                    <w:pStyle w:val="13"/>
                    <w:spacing w:after="0" w:line="240" w:lineRule="auto"/>
                    <w:ind w:left="0" w:leftChars="0"/>
                    <w:jc w:val="left"/>
                    <w:rPr>
                      <w:color w:val="auto"/>
                      <w:kern w:val="32"/>
                      <w:sz w:val="21"/>
                      <w:szCs w:val="21"/>
                    </w:rPr>
                  </w:pPr>
                  <w:r>
                    <w:rPr>
                      <w:color w:val="auto"/>
                      <w:sz w:val="21"/>
                      <w:szCs w:val="21"/>
                    </w:rPr>
                    <w:t>——《农用地土壤环境管理办法(试行)》(环境保护部农业部令第46号)</w:t>
                  </w:r>
                </w:p>
              </w:tc>
              <w:tc>
                <w:tcPr>
                  <w:tcW w:w="1503" w:type="pct"/>
                  <w:noWrap w:val="0"/>
                  <w:vAlign w:val="center"/>
                </w:tcPr>
                <w:p w14:paraId="33FBF362">
                  <w:pPr>
                    <w:spacing w:line="240" w:lineRule="auto"/>
                    <w:jc w:val="center"/>
                    <w:rPr>
                      <w:color w:val="auto"/>
                      <w:sz w:val="21"/>
                      <w:szCs w:val="21"/>
                    </w:rPr>
                  </w:pPr>
                  <w:r>
                    <w:rPr>
                      <w:color w:val="000000" w:themeColor="text1"/>
                      <w:sz w:val="21"/>
                      <w:szCs w:val="21"/>
                      <w14:textFill>
                        <w14:solidFill>
                          <w14:schemeClr w14:val="tx1"/>
                        </w14:solidFill>
                      </w14:textFill>
                    </w:rPr>
                    <w:t>本项目为</w:t>
                  </w:r>
                  <w:r>
                    <w:rPr>
                      <w:rFonts w:hint="eastAsia"/>
                      <w:color w:val="000000" w:themeColor="text1"/>
                      <w:sz w:val="21"/>
                      <w:szCs w:val="21"/>
                      <w:lang w:eastAsia="zh-CN"/>
                      <w14:textFill>
                        <w14:solidFill>
                          <w14:schemeClr w14:val="tx1"/>
                        </w14:solidFill>
                      </w14:textFill>
                    </w:rPr>
                    <w:t>实验室建设项目</w:t>
                  </w:r>
                  <w:r>
                    <w:rPr>
                      <w:color w:val="000000" w:themeColor="text1"/>
                      <w:sz w:val="21"/>
                      <w:szCs w:val="21"/>
                      <w14:textFill>
                        <w14:solidFill>
                          <w14:schemeClr w14:val="tx1"/>
                        </w14:solidFill>
                      </w14:textFill>
                    </w:rPr>
                    <w:t>，位于常州市金坛区</w:t>
                  </w:r>
                  <w:r>
                    <w:rPr>
                      <w:rFonts w:hint="eastAsia"/>
                      <w:color w:val="000000" w:themeColor="text1"/>
                      <w:sz w:val="21"/>
                      <w:szCs w:val="21"/>
                      <w:lang w:eastAsia="zh-CN"/>
                      <w14:textFill>
                        <w14:solidFill>
                          <w14:schemeClr w14:val="tx1"/>
                        </w14:solidFill>
                      </w14:textFill>
                    </w:rPr>
                    <w:t>西城路118号</w:t>
                  </w:r>
                  <w:r>
                    <w:rPr>
                      <w:color w:val="000000" w:themeColor="text1"/>
                      <w:sz w:val="21"/>
                      <w:szCs w:val="21"/>
                      <w14:textFill>
                        <w14:solidFill>
                          <w14:schemeClr w14:val="tx1"/>
                        </w14:solidFill>
                      </w14:textFill>
                    </w:rPr>
                    <w:t>，对照“</w:t>
                  </w:r>
                  <w:r>
                    <w:rPr>
                      <w:rFonts w:hint="eastAsia"/>
                      <w:color w:val="000000" w:themeColor="text1"/>
                      <w:sz w:val="21"/>
                      <w:szCs w:val="21"/>
                      <w14:textFill>
                        <w14:solidFill>
                          <w14:schemeClr w14:val="tx1"/>
                        </w14:solidFill>
                      </w14:textFill>
                    </w:rPr>
                    <w:t>金坛金城科技产业园土地利用规划图</w:t>
                  </w:r>
                  <w:r>
                    <w:rPr>
                      <w:color w:val="000000" w:themeColor="text1"/>
                      <w:sz w:val="21"/>
                      <w:szCs w:val="21"/>
                      <w14:textFill>
                        <w14:solidFill>
                          <w14:schemeClr w14:val="tx1"/>
                        </w14:solidFill>
                      </w14:textFill>
                    </w:rPr>
                    <w:t>”，项目所在地为工业用地；属于</w:t>
                  </w:r>
                  <w:r>
                    <w:rPr>
                      <w:rFonts w:hint="eastAsia"/>
                      <w:color w:val="000000" w:themeColor="text1"/>
                      <w:sz w:val="21"/>
                      <w:szCs w:val="21"/>
                      <w:lang w:eastAsia="zh-CN"/>
                      <w14:textFill>
                        <w14:solidFill>
                          <w14:schemeClr w14:val="tx1"/>
                        </w14:solidFill>
                      </w14:textFill>
                    </w:rPr>
                    <w:t>M7320工程和技术研究和试验发展</w:t>
                  </w:r>
                  <w:r>
                    <w:rPr>
                      <w:color w:val="000000" w:themeColor="text1"/>
                      <w:sz w:val="21"/>
                      <w:szCs w:val="21"/>
                      <w14:textFill>
                        <w14:solidFill>
                          <w14:schemeClr w14:val="tx1"/>
                        </w14:solidFill>
                      </w14:textFill>
                    </w:rPr>
                    <w:t>，不属于有色金属冶炼、石油加工、化工、焦化、电镀、制革等行业企业，不属于上述不予审批的建设项目。</w:t>
                  </w:r>
                </w:p>
              </w:tc>
              <w:tc>
                <w:tcPr>
                  <w:tcW w:w="360" w:type="pct"/>
                  <w:noWrap w:val="0"/>
                  <w:vAlign w:val="center"/>
                </w:tcPr>
                <w:p w14:paraId="6FB1C917">
                  <w:pPr>
                    <w:pStyle w:val="13"/>
                    <w:spacing w:after="0" w:line="240" w:lineRule="auto"/>
                    <w:ind w:left="0" w:leftChars="0"/>
                    <w:jc w:val="center"/>
                    <w:rPr>
                      <w:color w:val="auto"/>
                      <w:sz w:val="21"/>
                      <w:szCs w:val="21"/>
                    </w:rPr>
                  </w:pPr>
                  <w:r>
                    <w:rPr>
                      <w:color w:val="auto"/>
                      <w:sz w:val="21"/>
                      <w:szCs w:val="21"/>
                    </w:rPr>
                    <w:t>相符</w:t>
                  </w:r>
                </w:p>
              </w:tc>
            </w:tr>
            <w:tr w14:paraId="483192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81" w:hRule="atLeast"/>
                <w:jc w:val="center"/>
              </w:trPr>
              <w:tc>
                <w:tcPr>
                  <w:tcW w:w="3136" w:type="pct"/>
                  <w:noWrap w:val="0"/>
                  <w:vAlign w:val="center"/>
                </w:tcPr>
                <w:p w14:paraId="09357F21">
                  <w:pPr>
                    <w:pStyle w:val="13"/>
                    <w:spacing w:after="0" w:line="240" w:lineRule="auto"/>
                    <w:ind w:left="0" w:leftChars="0" w:firstLine="420" w:firstLineChars="200"/>
                    <w:jc w:val="left"/>
                    <w:rPr>
                      <w:color w:val="auto"/>
                      <w:sz w:val="21"/>
                      <w:szCs w:val="21"/>
                    </w:rPr>
                  </w:pPr>
                  <w:r>
                    <w:rPr>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p w14:paraId="00EF05CD">
                  <w:pPr>
                    <w:pStyle w:val="13"/>
                    <w:spacing w:after="0" w:line="240" w:lineRule="auto"/>
                    <w:ind w:left="0" w:leftChars="0"/>
                    <w:jc w:val="left"/>
                    <w:rPr>
                      <w:color w:val="auto"/>
                      <w:sz w:val="21"/>
                      <w:szCs w:val="21"/>
                    </w:rPr>
                  </w:pPr>
                  <w:r>
                    <w:rPr>
                      <w:color w:val="auto"/>
                      <w:sz w:val="21"/>
                      <w:szCs w:val="21"/>
                    </w:rPr>
                    <w:t>——</w:t>
                  </w:r>
                  <w:r>
                    <w:rPr>
                      <w:color w:val="auto"/>
                      <w:spacing w:val="-6"/>
                      <w:sz w:val="21"/>
                      <w:szCs w:val="21"/>
                    </w:rPr>
                    <w:t>《关于印发&lt;建设项目主要污染物排放总量指标审核及管理暂行办法&gt;的通知》(环发〔2014〕197号)</w:t>
                  </w:r>
                </w:p>
              </w:tc>
              <w:tc>
                <w:tcPr>
                  <w:tcW w:w="1503" w:type="pct"/>
                  <w:noWrap w:val="0"/>
                  <w:vAlign w:val="center"/>
                </w:tcPr>
                <w:p w14:paraId="1A00CF9E">
                  <w:pPr>
                    <w:pStyle w:val="13"/>
                    <w:spacing w:after="0" w:line="240" w:lineRule="auto"/>
                    <w:ind w:left="0" w:leftChars="0"/>
                    <w:jc w:val="center"/>
                    <w:rPr>
                      <w:color w:val="auto"/>
                      <w:sz w:val="21"/>
                      <w:szCs w:val="21"/>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生产</w:t>
                  </w:r>
                  <w:r>
                    <w:rPr>
                      <w:color w:val="000000" w:themeColor="text1"/>
                      <w:sz w:val="21"/>
                      <w:szCs w:val="21"/>
                      <w14:textFill>
                        <w14:solidFill>
                          <w14:schemeClr w14:val="tx1"/>
                        </w14:solidFill>
                      </w14:textFill>
                    </w:rPr>
                    <w:t>过程中产生的污染物在区域内进行平衡。</w:t>
                  </w:r>
                </w:p>
              </w:tc>
              <w:tc>
                <w:tcPr>
                  <w:tcW w:w="360" w:type="pct"/>
                  <w:noWrap w:val="0"/>
                  <w:vAlign w:val="center"/>
                </w:tcPr>
                <w:p w14:paraId="40FFDB71">
                  <w:pPr>
                    <w:pStyle w:val="13"/>
                    <w:spacing w:after="0" w:line="240" w:lineRule="auto"/>
                    <w:ind w:left="0" w:leftChars="0"/>
                    <w:jc w:val="center"/>
                    <w:rPr>
                      <w:color w:val="auto"/>
                      <w:sz w:val="21"/>
                      <w:szCs w:val="21"/>
                    </w:rPr>
                  </w:pPr>
                  <w:r>
                    <w:rPr>
                      <w:color w:val="auto"/>
                      <w:sz w:val="21"/>
                      <w:szCs w:val="21"/>
                    </w:rPr>
                    <w:t>相符</w:t>
                  </w:r>
                </w:p>
              </w:tc>
            </w:tr>
            <w:tr w14:paraId="690197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1" w:hRule="atLeast"/>
                <w:jc w:val="center"/>
              </w:trPr>
              <w:tc>
                <w:tcPr>
                  <w:tcW w:w="3136" w:type="pct"/>
                  <w:noWrap w:val="0"/>
                  <w:vAlign w:val="center"/>
                </w:tcPr>
                <w:p w14:paraId="52399010">
                  <w:pPr>
                    <w:pStyle w:val="13"/>
                    <w:spacing w:after="0" w:line="240" w:lineRule="auto"/>
                    <w:ind w:left="0" w:leftChars="0" w:firstLine="420" w:firstLineChars="200"/>
                    <w:jc w:val="left"/>
                    <w:rPr>
                      <w:color w:val="auto"/>
                      <w:sz w:val="21"/>
                      <w:szCs w:val="21"/>
                    </w:rPr>
                  </w:pPr>
                  <w:r>
                    <w:rPr>
                      <w:color w:val="auto"/>
                      <w:sz w:val="21"/>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w:t>
                  </w:r>
                  <w:r>
                    <w:rPr>
                      <w:color w:val="auto"/>
                      <w:sz w:val="21"/>
                      <w:szCs w:val="21"/>
                    </w:rPr>
                    <w:fldChar w:fldCharType="begin"/>
                  </w:r>
                  <w:r>
                    <w:rPr>
                      <w:color w:val="auto"/>
                      <w:sz w:val="21"/>
                      <w:szCs w:val="21"/>
                    </w:rPr>
                    <w:instrText xml:space="preserve"> HYPERLINK "https://www.eqxun.com/news/1314.html" \t "https://www.eqxun.com/news/_blank" </w:instrText>
                  </w:r>
                  <w:r>
                    <w:rPr>
                      <w:color w:val="auto"/>
                      <w:sz w:val="21"/>
                      <w:szCs w:val="21"/>
                    </w:rPr>
                    <w:fldChar w:fldCharType="separate"/>
                  </w:r>
                  <w:r>
                    <w:rPr>
                      <w:color w:val="auto"/>
                      <w:sz w:val="21"/>
                      <w:szCs w:val="21"/>
                    </w:rPr>
                    <w:t>节能减排</w:t>
                  </w:r>
                  <w:r>
                    <w:rPr>
                      <w:color w:val="auto"/>
                      <w:sz w:val="21"/>
                      <w:szCs w:val="21"/>
                    </w:rPr>
                    <w:fldChar w:fldCharType="end"/>
                  </w:r>
                  <w:r>
                    <w:rPr>
                      <w:color w:val="auto"/>
                      <w:sz w:val="21"/>
                      <w:szCs w:val="21"/>
                    </w:rPr>
                    <w:t>项目外，依法暂停审批该地区新增排放相应重点污染物的项目环评文件。</w:t>
                  </w:r>
                </w:p>
                <w:p w14:paraId="1071FF5D">
                  <w:pPr>
                    <w:pStyle w:val="13"/>
                    <w:spacing w:after="0" w:line="240" w:lineRule="auto"/>
                    <w:ind w:left="0" w:leftChars="0" w:firstLine="420" w:firstLineChars="200"/>
                    <w:jc w:val="left"/>
                    <w:rPr>
                      <w:color w:val="auto"/>
                      <w:sz w:val="21"/>
                      <w:szCs w:val="21"/>
                    </w:rPr>
                  </w:pPr>
                  <w:r>
                    <w:rPr>
                      <w:color w:val="auto"/>
                      <w:sz w:val="21"/>
                      <w:szCs w:val="21"/>
                    </w:rPr>
                    <w:t>除受自然条件限制、确实无法避让的铁路、公路、航道、防洪、管道、干渠、通讯、输变电等重要基础设施项目外，在生态保护红线范围内，严控各类开发建设活动，依法不予审批新建工业项目和矿产开发项目的环评文件。</w:t>
                  </w:r>
                </w:p>
                <w:p w14:paraId="26BCDD81">
                  <w:pPr>
                    <w:pStyle w:val="13"/>
                    <w:spacing w:after="0" w:line="240" w:lineRule="auto"/>
                    <w:ind w:left="0" w:leftChars="0"/>
                    <w:jc w:val="left"/>
                    <w:rPr>
                      <w:color w:val="auto"/>
                      <w:kern w:val="32"/>
                      <w:sz w:val="21"/>
                      <w:szCs w:val="21"/>
                    </w:rPr>
                  </w:pPr>
                  <w:r>
                    <w:rPr>
                      <w:color w:val="auto"/>
                      <w:spacing w:val="-11"/>
                      <w:sz w:val="21"/>
                      <w:szCs w:val="21"/>
                    </w:rPr>
                    <w:t>—</w:t>
                  </w:r>
                  <w:r>
                    <w:rPr>
                      <w:color w:val="auto"/>
                      <w:sz w:val="21"/>
                      <w:szCs w:val="21"/>
                    </w:rPr>
                    <w:t>—《关于以改善环境质量为核心加强环境影响评价管理的通知》(环环评〔2016〕150号)</w:t>
                  </w:r>
                </w:p>
              </w:tc>
              <w:tc>
                <w:tcPr>
                  <w:tcW w:w="1503" w:type="pct"/>
                  <w:noWrap w:val="0"/>
                  <w:vAlign w:val="center"/>
                </w:tcPr>
                <w:p w14:paraId="69D0B5A7">
                  <w:pPr>
                    <w:pStyle w:val="13"/>
                    <w:spacing w:after="0" w:line="240" w:lineRule="auto"/>
                    <w:ind w:left="0" w:leftChars="0"/>
                    <w:jc w:val="center"/>
                    <w:rPr>
                      <w:color w:val="auto"/>
                      <w:sz w:val="21"/>
                      <w:szCs w:val="21"/>
                    </w:rPr>
                  </w:pPr>
                  <w:r>
                    <w:rPr>
                      <w:color w:val="auto"/>
                      <w:sz w:val="21"/>
                      <w:szCs w:val="21"/>
                    </w:rPr>
                    <w:t>本项目为</w:t>
                  </w:r>
                  <w:r>
                    <w:rPr>
                      <w:rFonts w:hint="eastAsia"/>
                      <w:color w:val="auto"/>
                      <w:sz w:val="21"/>
                      <w:szCs w:val="21"/>
                      <w:lang w:eastAsia="zh-CN"/>
                    </w:rPr>
                    <w:t>实验室建设项目</w:t>
                  </w:r>
                  <w:r>
                    <w:rPr>
                      <w:color w:val="auto"/>
                      <w:sz w:val="21"/>
                      <w:szCs w:val="21"/>
                    </w:rPr>
                    <w:t>，位于常州市金坛区</w:t>
                  </w:r>
                  <w:r>
                    <w:rPr>
                      <w:rFonts w:hint="eastAsia"/>
                      <w:color w:val="auto"/>
                      <w:sz w:val="21"/>
                      <w:szCs w:val="21"/>
                      <w:lang w:eastAsia="zh-CN"/>
                    </w:rPr>
                    <w:t>西城路118号</w:t>
                  </w:r>
                  <w:r>
                    <w:rPr>
                      <w:color w:val="auto"/>
                      <w:sz w:val="21"/>
                      <w:szCs w:val="21"/>
                    </w:rPr>
                    <w:t>，对照“</w:t>
                  </w:r>
                  <w:r>
                    <w:rPr>
                      <w:rFonts w:hint="eastAsia"/>
                      <w:color w:val="auto"/>
                      <w:sz w:val="21"/>
                      <w:szCs w:val="21"/>
                    </w:rPr>
                    <w:t>金坛金城科技产业园土地利用规划图</w:t>
                  </w:r>
                  <w:r>
                    <w:rPr>
                      <w:color w:val="auto"/>
                      <w:sz w:val="21"/>
                      <w:szCs w:val="21"/>
                    </w:rPr>
                    <w:t>”，项目所在地为工业用地；项目所在地为非达标区；项目所在地不在生态空间管控区域内。</w:t>
                  </w:r>
                </w:p>
              </w:tc>
              <w:tc>
                <w:tcPr>
                  <w:tcW w:w="360" w:type="pct"/>
                  <w:noWrap w:val="0"/>
                  <w:vAlign w:val="center"/>
                </w:tcPr>
                <w:p w14:paraId="6C8AFA20">
                  <w:pPr>
                    <w:pStyle w:val="13"/>
                    <w:spacing w:after="0" w:line="240" w:lineRule="auto"/>
                    <w:ind w:left="0" w:leftChars="0"/>
                    <w:jc w:val="center"/>
                    <w:rPr>
                      <w:color w:val="auto"/>
                      <w:sz w:val="21"/>
                      <w:szCs w:val="21"/>
                    </w:rPr>
                  </w:pPr>
                  <w:r>
                    <w:rPr>
                      <w:color w:val="auto"/>
                      <w:sz w:val="21"/>
                      <w:szCs w:val="21"/>
                    </w:rPr>
                    <w:t>相符</w:t>
                  </w:r>
                </w:p>
              </w:tc>
            </w:tr>
            <w:tr w14:paraId="2E3F34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36" w:type="pct"/>
                  <w:noWrap w:val="0"/>
                  <w:vAlign w:val="center"/>
                </w:tcPr>
                <w:p w14:paraId="3344DE57">
                  <w:pPr>
                    <w:pStyle w:val="13"/>
                    <w:spacing w:after="0" w:line="240" w:lineRule="auto"/>
                    <w:ind w:left="0" w:leftChars="0" w:firstLine="396" w:firstLineChars="200"/>
                    <w:jc w:val="left"/>
                    <w:rPr>
                      <w:color w:val="auto"/>
                      <w:spacing w:val="-6"/>
                      <w:sz w:val="21"/>
                      <w:szCs w:val="21"/>
                    </w:rPr>
                  </w:pPr>
                  <w:r>
                    <w:rPr>
                      <w:color w:val="auto"/>
                      <w:spacing w:val="-6"/>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p w14:paraId="12BFBAAF">
                  <w:pPr>
                    <w:pStyle w:val="13"/>
                    <w:spacing w:after="0" w:line="240" w:lineRule="auto"/>
                    <w:ind w:left="0" w:leftChars="0"/>
                    <w:jc w:val="left"/>
                    <w:rPr>
                      <w:color w:val="auto"/>
                      <w:sz w:val="21"/>
                      <w:szCs w:val="21"/>
                    </w:rPr>
                  </w:pPr>
                  <w:r>
                    <w:rPr>
                      <w:color w:val="auto"/>
                      <w:sz w:val="21"/>
                      <w:szCs w:val="21"/>
                    </w:rPr>
                    <w:t>——《关于全面加强生态环境保护坚决打好污染防治攻坚战的实施意见》(苏发〔2018〕24号)</w:t>
                  </w:r>
                </w:p>
              </w:tc>
              <w:tc>
                <w:tcPr>
                  <w:tcW w:w="1503" w:type="pct"/>
                  <w:noWrap w:val="0"/>
                  <w:vAlign w:val="center"/>
                </w:tcPr>
                <w:p w14:paraId="2AA1AC2C">
                  <w:pPr>
                    <w:pStyle w:val="13"/>
                    <w:spacing w:after="0" w:line="240" w:lineRule="auto"/>
                    <w:ind w:left="0" w:leftChars="0"/>
                    <w:jc w:val="center"/>
                    <w:rPr>
                      <w:color w:val="auto"/>
                      <w:sz w:val="21"/>
                      <w:szCs w:val="21"/>
                    </w:rPr>
                  </w:pPr>
                  <w:r>
                    <w:rPr>
                      <w:color w:val="auto"/>
                      <w:spacing w:val="-6"/>
                      <w:sz w:val="21"/>
                      <w:szCs w:val="21"/>
                    </w:rPr>
                    <w:t>本项目位于常州市金坛区</w:t>
                  </w:r>
                  <w:r>
                    <w:rPr>
                      <w:rFonts w:hint="eastAsia"/>
                      <w:color w:val="auto"/>
                      <w:spacing w:val="-6"/>
                      <w:sz w:val="21"/>
                      <w:szCs w:val="21"/>
                      <w:lang w:eastAsia="zh-CN"/>
                    </w:rPr>
                    <w:t>西城路118号</w:t>
                  </w:r>
                  <w:r>
                    <w:rPr>
                      <w:color w:val="auto"/>
                      <w:spacing w:val="-6"/>
                      <w:sz w:val="21"/>
                      <w:szCs w:val="21"/>
                    </w:rPr>
                    <w:t>，距离长江约</w:t>
                  </w:r>
                  <w:r>
                    <w:rPr>
                      <w:rFonts w:hint="eastAsia"/>
                      <w:color w:val="auto"/>
                      <w:spacing w:val="-6"/>
                      <w:sz w:val="21"/>
                      <w:szCs w:val="21"/>
                      <w:lang w:val="en-US" w:eastAsia="zh-CN"/>
                    </w:rPr>
                    <w:t>44.7</w:t>
                  </w:r>
                  <w:r>
                    <w:rPr>
                      <w:color w:val="auto"/>
                      <w:spacing w:val="-6"/>
                      <w:sz w:val="21"/>
                      <w:szCs w:val="21"/>
                    </w:rPr>
                    <w:t>km；属于</w:t>
                  </w:r>
                  <w:r>
                    <w:rPr>
                      <w:rFonts w:hint="eastAsia"/>
                      <w:color w:val="auto"/>
                      <w:spacing w:val="-6"/>
                      <w:sz w:val="21"/>
                      <w:szCs w:val="21"/>
                      <w:lang w:eastAsia="zh-CN"/>
                    </w:rPr>
                    <w:t>M7320工程和技术研究和试验发展</w:t>
                  </w:r>
                  <w:r>
                    <w:rPr>
                      <w:color w:val="auto"/>
                      <w:spacing w:val="-6"/>
                      <w:sz w:val="21"/>
                      <w:szCs w:val="21"/>
                    </w:rPr>
                    <w:t>，不属于三类中间体项目</w:t>
                  </w:r>
                  <w:r>
                    <w:rPr>
                      <w:color w:val="auto"/>
                      <w:sz w:val="21"/>
                      <w:szCs w:val="21"/>
                    </w:rPr>
                    <w:t>。</w:t>
                  </w:r>
                </w:p>
              </w:tc>
              <w:tc>
                <w:tcPr>
                  <w:tcW w:w="360" w:type="pct"/>
                  <w:noWrap w:val="0"/>
                  <w:vAlign w:val="center"/>
                </w:tcPr>
                <w:p w14:paraId="5F31EC4D">
                  <w:pPr>
                    <w:pStyle w:val="13"/>
                    <w:spacing w:after="0" w:line="240" w:lineRule="auto"/>
                    <w:ind w:left="0" w:leftChars="0"/>
                    <w:jc w:val="center"/>
                    <w:rPr>
                      <w:color w:val="auto"/>
                      <w:sz w:val="21"/>
                      <w:szCs w:val="21"/>
                    </w:rPr>
                  </w:pPr>
                  <w:r>
                    <w:rPr>
                      <w:color w:val="auto"/>
                      <w:sz w:val="21"/>
                      <w:szCs w:val="21"/>
                    </w:rPr>
                    <w:t>相符</w:t>
                  </w:r>
                </w:p>
              </w:tc>
            </w:tr>
            <w:tr w14:paraId="5445E9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36" w:type="pct"/>
                  <w:noWrap w:val="0"/>
                  <w:vAlign w:val="center"/>
                </w:tcPr>
                <w:p w14:paraId="00BCBE4F">
                  <w:pPr>
                    <w:pStyle w:val="13"/>
                    <w:spacing w:after="0" w:line="240" w:lineRule="auto"/>
                    <w:ind w:left="0" w:leftChars="0" w:firstLine="420" w:firstLineChars="200"/>
                    <w:jc w:val="left"/>
                    <w:rPr>
                      <w:color w:val="auto"/>
                      <w:sz w:val="21"/>
                      <w:szCs w:val="21"/>
                    </w:rPr>
                  </w:pPr>
                  <w:r>
                    <w:rPr>
                      <w:color w:val="auto"/>
                      <w:sz w:val="21"/>
                      <w:szCs w:val="21"/>
                    </w:rPr>
                    <w:t>禁止新建</w:t>
                  </w:r>
                  <w:r>
                    <w:rPr>
                      <w:color w:val="auto"/>
                      <w:sz w:val="21"/>
                      <w:szCs w:val="21"/>
                    </w:rPr>
                    <w:fldChar w:fldCharType="begin"/>
                  </w:r>
                  <w:r>
                    <w:rPr>
                      <w:color w:val="auto"/>
                      <w:sz w:val="21"/>
                      <w:szCs w:val="21"/>
                    </w:rPr>
                    <w:instrText xml:space="preserve"> HYPERLINK "https://www.eqxun.com/news/1301.html" \t "https://www.eqxun.com/news/_blank" </w:instrText>
                  </w:r>
                  <w:r>
                    <w:rPr>
                      <w:color w:val="auto"/>
                      <w:sz w:val="21"/>
                      <w:szCs w:val="21"/>
                    </w:rPr>
                    <w:fldChar w:fldCharType="separate"/>
                  </w:r>
                  <w:r>
                    <w:rPr>
                      <w:color w:val="auto"/>
                      <w:sz w:val="21"/>
                      <w:szCs w:val="21"/>
                    </w:rPr>
                    <w:t>燃煤</w:t>
                  </w:r>
                  <w:r>
                    <w:rPr>
                      <w:color w:val="auto"/>
                      <w:sz w:val="21"/>
                      <w:szCs w:val="21"/>
                    </w:rPr>
                    <w:fldChar w:fldCharType="end"/>
                  </w:r>
                  <w:r>
                    <w:rPr>
                      <w:color w:val="auto"/>
                      <w:sz w:val="21"/>
                      <w:szCs w:val="21"/>
                    </w:rPr>
                    <w:t>自备电厂。在重点地区执行《江苏省化工钢铁煤电行业环境准入和排放标准》。燃煤电厂2019年底前全部实行超低排放。</w:t>
                  </w:r>
                </w:p>
                <w:p w14:paraId="57C06836">
                  <w:pPr>
                    <w:pStyle w:val="13"/>
                    <w:spacing w:after="0" w:line="240" w:lineRule="auto"/>
                    <w:ind w:left="0" w:leftChars="0"/>
                    <w:jc w:val="left"/>
                    <w:rPr>
                      <w:color w:val="auto"/>
                      <w:sz w:val="21"/>
                      <w:szCs w:val="21"/>
                    </w:rPr>
                  </w:pPr>
                  <w:r>
                    <w:rPr>
                      <w:color w:val="auto"/>
                      <w:sz w:val="21"/>
                      <w:szCs w:val="21"/>
                    </w:rPr>
                    <w:t>——《关于加快全省化工钢铁煤电行业转型升级高质量发展的实施意见》(苏办发〔2018〕32号)</w:t>
                  </w:r>
                </w:p>
              </w:tc>
              <w:tc>
                <w:tcPr>
                  <w:tcW w:w="1503" w:type="pct"/>
                  <w:noWrap w:val="0"/>
                  <w:vAlign w:val="center"/>
                </w:tcPr>
                <w:p w14:paraId="7112985A">
                  <w:pPr>
                    <w:pStyle w:val="13"/>
                    <w:spacing w:after="0" w:line="240" w:lineRule="auto"/>
                    <w:ind w:left="0" w:leftChars="0"/>
                    <w:jc w:val="center"/>
                    <w:rPr>
                      <w:color w:val="auto"/>
                      <w:sz w:val="21"/>
                      <w:szCs w:val="21"/>
                    </w:rPr>
                  </w:pPr>
                  <w:r>
                    <w:rPr>
                      <w:color w:val="auto"/>
                      <w:spacing w:val="-6"/>
                      <w:sz w:val="21"/>
                      <w:szCs w:val="21"/>
                    </w:rPr>
                    <w:t>本项目采用电作为能源，由区域供电管网提供。</w:t>
                  </w:r>
                </w:p>
              </w:tc>
              <w:tc>
                <w:tcPr>
                  <w:tcW w:w="360" w:type="pct"/>
                  <w:noWrap w:val="0"/>
                  <w:vAlign w:val="center"/>
                </w:tcPr>
                <w:p w14:paraId="4AD77C6D">
                  <w:pPr>
                    <w:pStyle w:val="13"/>
                    <w:spacing w:after="0" w:line="240" w:lineRule="auto"/>
                    <w:ind w:left="0" w:leftChars="0"/>
                    <w:jc w:val="center"/>
                    <w:rPr>
                      <w:color w:val="auto"/>
                      <w:sz w:val="21"/>
                      <w:szCs w:val="21"/>
                    </w:rPr>
                  </w:pPr>
                  <w:r>
                    <w:rPr>
                      <w:color w:val="auto"/>
                      <w:sz w:val="21"/>
                      <w:szCs w:val="21"/>
                    </w:rPr>
                    <w:t>相符</w:t>
                  </w:r>
                </w:p>
              </w:tc>
            </w:tr>
            <w:tr w14:paraId="295D24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36" w:type="pct"/>
                  <w:noWrap w:val="0"/>
                  <w:vAlign w:val="center"/>
                </w:tcPr>
                <w:p w14:paraId="5C9F0D56">
                  <w:pPr>
                    <w:pStyle w:val="13"/>
                    <w:spacing w:after="0" w:line="240" w:lineRule="auto"/>
                    <w:ind w:left="0" w:leftChars="0" w:firstLine="420" w:firstLineChars="200"/>
                    <w:jc w:val="left"/>
                    <w:rPr>
                      <w:color w:val="auto"/>
                      <w:sz w:val="21"/>
                      <w:szCs w:val="21"/>
                    </w:rPr>
                  </w:pPr>
                  <w:r>
                    <w:rPr>
                      <w:color w:val="auto"/>
                      <w:sz w:val="21"/>
                      <w:szCs w:val="21"/>
                    </w:rPr>
                    <w:t>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w:t>
                  </w:r>
                </w:p>
                <w:p w14:paraId="6226A9E6">
                  <w:pPr>
                    <w:pStyle w:val="13"/>
                    <w:spacing w:after="0" w:line="240" w:lineRule="auto"/>
                    <w:ind w:left="0" w:leftChars="0" w:firstLine="420" w:firstLineChars="200"/>
                    <w:jc w:val="left"/>
                    <w:rPr>
                      <w:color w:val="auto"/>
                      <w:sz w:val="21"/>
                      <w:szCs w:val="21"/>
                    </w:rPr>
                  </w:pPr>
                  <w:r>
                    <w:rPr>
                      <w:color w:val="auto"/>
                      <w:sz w:val="21"/>
                      <w:szCs w:val="21"/>
                    </w:rPr>
                    <w:t>严禁在长江干流及主要支流岸线1公里范围内新建危化品码头。</w:t>
                  </w:r>
                </w:p>
                <w:p w14:paraId="5162621A">
                  <w:pPr>
                    <w:pStyle w:val="13"/>
                    <w:spacing w:after="0" w:line="240" w:lineRule="auto"/>
                    <w:ind w:left="0" w:leftChars="0"/>
                    <w:jc w:val="left"/>
                    <w:rPr>
                      <w:color w:val="auto"/>
                      <w:kern w:val="32"/>
                      <w:sz w:val="21"/>
                      <w:szCs w:val="21"/>
                    </w:rPr>
                  </w:pPr>
                  <w:r>
                    <w:rPr>
                      <w:color w:val="auto"/>
                      <w:spacing w:val="-6"/>
                      <w:sz w:val="21"/>
                      <w:szCs w:val="21"/>
                    </w:rPr>
                    <w:t>——《省政府关于深入推进全省化工行业转型发展的实施意见》(苏政发〔2016〕128号)</w:t>
                  </w:r>
                </w:p>
              </w:tc>
              <w:tc>
                <w:tcPr>
                  <w:tcW w:w="1503" w:type="pct"/>
                  <w:noWrap w:val="0"/>
                  <w:vAlign w:val="center"/>
                </w:tcPr>
                <w:p w14:paraId="09B85939">
                  <w:pPr>
                    <w:pStyle w:val="13"/>
                    <w:spacing w:after="0" w:line="240" w:lineRule="auto"/>
                    <w:ind w:left="0" w:leftChars="0"/>
                    <w:jc w:val="center"/>
                    <w:rPr>
                      <w:color w:val="auto"/>
                      <w:sz w:val="21"/>
                      <w:szCs w:val="21"/>
                    </w:rPr>
                  </w:pPr>
                  <w:r>
                    <w:rPr>
                      <w:color w:val="auto"/>
                      <w:sz w:val="21"/>
                      <w:szCs w:val="21"/>
                    </w:rPr>
                    <w:t>本项目为</w:t>
                  </w:r>
                  <w:r>
                    <w:rPr>
                      <w:rFonts w:hint="eastAsia"/>
                      <w:color w:val="auto"/>
                      <w:spacing w:val="-6"/>
                      <w:sz w:val="21"/>
                      <w:szCs w:val="21"/>
                      <w:lang w:eastAsia="zh-CN"/>
                    </w:rPr>
                    <w:t>实验室建设项目</w:t>
                  </w:r>
                  <w:r>
                    <w:rPr>
                      <w:color w:val="auto"/>
                      <w:sz w:val="21"/>
                      <w:szCs w:val="21"/>
                    </w:rPr>
                    <w:t>，不属于化工项目。</w:t>
                  </w:r>
                </w:p>
              </w:tc>
              <w:tc>
                <w:tcPr>
                  <w:tcW w:w="360" w:type="pct"/>
                  <w:noWrap w:val="0"/>
                  <w:vAlign w:val="center"/>
                </w:tcPr>
                <w:p w14:paraId="50431581">
                  <w:pPr>
                    <w:pStyle w:val="13"/>
                    <w:spacing w:after="0" w:line="240" w:lineRule="auto"/>
                    <w:ind w:left="0" w:leftChars="0"/>
                    <w:jc w:val="center"/>
                    <w:rPr>
                      <w:color w:val="auto"/>
                      <w:sz w:val="21"/>
                      <w:szCs w:val="21"/>
                    </w:rPr>
                  </w:pPr>
                  <w:r>
                    <w:rPr>
                      <w:color w:val="auto"/>
                      <w:sz w:val="21"/>
                      <w:szCs w:val="21"/>
                    </w:rPr>
                    <w:t>相符</w:t>
                  </w:r>
                </w:p>
              </w:tc>
            </w:tr>
            <w:tr w14:paraId="0260C1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42" w:hRule="atLeast"/>
                <w:jc w:val="center"/>
              </w:trPr>
              <w:tc>
                <w:tcPr>
                  <w:tcW w:w="3136" w:type="pct"/>
                  <w:noWrap w:val="0"/>
                  <w:vAlign w:val="center"/>
                </w:tcPr>
                <w:p w14:paraId="5CAE758A">
                  <w:pPr>
                    <w:pStyle w:val="13"/>
                    <w:spacing w:after="0" w:line="240" w:lineRule="auto"/>
                    <w:ind w:left="0" w:leftChars="0" w:firstLine="420" w:firstLineChars="200"/>
                    <w:jc w:val="left"/>
                    <w:rPr>
                      <w:color w:val="auto"/>
                      <w:sz w:val="21"/>
                      <w:szCs w:val="21"/>
                    </w:rPr>
                  </w:pPr>
                  <w:r>
                    <w:rPr>
                      <w:color w:val="auto"/>
                      <w:sz w:val="21"/>
                      <w:szCs w:val="21"/>
                    </w:rPr>
                    <w:t>生态保护红线原则上按禁止开发区域的要求进行管理，严禁不符合主体功能定位的各类开发活动，严禁任意改变用途。</w:t>
                  </w:r>
                </w:p>
                <w:p w14:paraId="6D2C9939">
                  <w:pPr>
                    <w:pStyle w:val="13"/>
                    <w:spacing w:after="0" w:line="240" w:lineRule="auto"/>
                    <w:ind w:left="0" w:leftChars="0"/>
                    <w:jc w:val="left"/>
                    <w:rPr>
                      <w:color w:val="auto"/>
                      <w:sz w:val="21"/>
                      <w:szCs w:val="21"/>
                    </w:rPr>
                  </w:pPr>
                  <w:r>
                    <w:rPr>
                      <w:color w:val="auto"/>
                      <w:spacing w:val="-6"/>
                      <w:sz w:val="21"/>
                      <w:szCs w:val="21"/>
                    </w:rPr>
                    <w:t>——《省政府关于印发江苏省国家级生态保护红线规划的通知》(苏政发〔2018〕74号)</w:t>
                  </w:r>
                </w:p>
              </w:tc>
              <w:tc>
                <w:tcPr>
                  <w:tcW w:w="1503" w:type="pct"/>
                  <w:noWrap w:val="0"/>
                  <w:vAlign w:val="center"/>
                </w:tcPr>
                <w:p w14:paraId="0EE2A7D0">
                  <w:pPr>
                    <w:pStyle w:val="13"/>
                    <w:spacing w:after="0" w:line="240" w:lineRule="auto"/>
                    <w:ind w:left="0" w:leftChars="0"/>
                    <w:jc w:val="center"/>
                    <w:rPr>
                      <w:color w:val="auto"/>
                      <w:sz w:val="21"/>
                      <w:szCs w:val="21"/>
                    </w:rPr>
                  </w:pPr>
                  <w:r>
                    <w:rPr>
                      <w:color w:val="auto"/>
                      <w:sz w:val="21"/>
                      <w:szCs w:val="21"/>
                    </w:rPr>
                    <w:t>本项目</w:t>
                  </w:r>
                  <w:r>
                    <w:rPr>
                      <w:rFonts w:hint="eastAsia"/>
                      <w:color w:val="auto"/>
                      <w:sz w:val="21"/>
                      <w:szCs w:val="21"/>
                    </w:rPr>
                    <w:t>最近的生态空间管控区为</w:t>
                  </w:r>
                  <w:r>
                    <w:rPr>
                      <w:rFonts w:hint="eastAsia"/>
                      <w:color w:val="auto"/>
                      <w:sz w:val="21"/>
                      <w:szCs w:val="21"/>
                      <w:lang w:val="en-US" w:eastAsia="zh-CN"/>
                    </w:rPr>
                    <w:t>3</w:t>
                  </w:r>
                  <w:r>
                    <w:rPr>
                      <w:rFonts w:hint="eastAsia"/>
                      <w:color w:val="auto"/>
                      <w:sz w:val="21"/>
                      <w:szCs w:val="21"/>
                    </w:rPr>
                    <w:t>km处的丹金溧漕河洪水调蓄区</w:t>
                  </w:r>
                  <w:r>
                    <w:rPr>
                      <w:color w:val="auto"/>
                      <w:sz w:val="21"/>
                      <w:szCs w:val="21"/>
                    </w:rPr>
                    <w:t>，不在生态空间管控区域内。</w:t>
                  </w:r>
                </w:p>
              </w:tc>
              <w:tc>
                <w:tcPr>
                  <w:tcW w:w="360" w:type="pct"/>
                  <w:noWrap w:val="0"/>
                  <w:vAlign w:val="center"/>
                </w:tcPr>
                <w:p w14:paraId="1F6E9E0D">
                  <w:pPr>
                    <w:pStyle w:val="13"/>
                    <w:spacing w:after="0" w:line="240" w:lineRule="auto"/>
                    <w:ind w:left="0" w:leftChars="0"/>
                    <w:jc w:val="center"/>
                    <w:rPr>
                      <w:color w:val="auto"/>
                      <w:sz w:val="21"/>
                      <w:szCs w:val="21"/>
                    </w:rPr>
                  </w:pPr>
                  <w:r>
                    <w:rPr>
                      <w:color w:val="auto"/>
                      <w:sz w:val="21"/>
                      <w:szCs w:val="21"/>
                    </w:rPr>
                    <w:t>相符</w:t>
                  </w:r>
                </w:p>
              </w:tc>
            </w:tr>
            <w:tr w14:paraId="08AA54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36" w:type="pct"/>
                  <w:noWrap w:val="0"/>
                  <w:vAlign w:val="center"/>
                </w:tcPr>
                <w:p w14:paraId="33A6628A">
                  <w:pPr>
                    <w:pStyle w:val="13"/>
                    <w:spacing w:after="0" w:line="240" w:lineRule="auto"/>
                    <w:ind w:left="0" w:leftChars="0" w:firstLine="420" w:firstLineChars="200"/>
                    <w:jc w:val="left"/>
                    <w:rPr>
                      <w:color w:val="auto"/>
                      <w:sz w:val="21"/>
                      <w:szCs w:val="21"/>
                    </w:rPr>
                  </w:pPr>
                  <w:r>
                    <w:rPr>
                      <w:color w:val="auto"/>
                      <w:sz w:val="21"/>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p w14:paraId="7DB240BA">
                  <w:pPr>
                    <w:pStyle w:val="13"/>
                    <w:spacing w:after="0" w:line="240" w:lineRule="auto"/>
                    <w:ind w:left="0" w:leftChars="0"/>
                    <w:jc w:val="left"/>
                    <w:rPr>
                      <w:color w:val="auto"/>
                      <w:spacing w:val="-6"/>
                      <w:sz w:val="21"/>
                      <w:szCs w:val="21"/>
                    </w:rPr>
                  </w:pPr>
                  <w:r>
                    <w:rPr>
                      <w:color w:val="auto"/>
                      <w:sz w:val="21"/>
                      <w:szCs w:val="21"/>
                    </w:rPr>
                    <w:t>——《关于发布长江经济带发展负面清单指南(试行)的通知》(推动长江经济带发展领导小组办公室文件第89号)</w:t>
                  </w:r>
                </w:p>
              </w:tc>
              <w:tc>
                <w:tcPr>
                  <w:tcW w:w="1503" w:type="pct"/>
                  <w:noWrap w:val="0"/>
                  <w:vAlign w:val="center"/>
                </w:tcPr>
                <w:p w14:paraId="5E2CEF08">
                  <w:pPr>
                    <w:pStyle w:val="13"/>
                    <w:spacing w:after="0" w:line="240" w:lineRule="auto"/>
                    <w:ind w:left="0" w:lef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为</w:t>
                  </w:r>
                  <w:r>
                    <w:rPr>
                      <w:rFonts w:hint="eastAsia"/>
                      <w:color w:val="000000" w:themeColor="text1"/>
                      <w:sz w:val="21"/>
                      <w:szCs w:val="21"/>
                      <w:lang w:eastAsia="zh-CN"/>
                      <w14:textFill>
                        <w14:solidFill>
                          <w14:schemeClr w14:val="tx1"/>
                        </w14:solidFill>
                      </w14:textFill>
                    </w:rPr>
                    <w:t>实验室建设项目</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不属于码头项目；</w:t>
                  </w:r>
                </w:p>
                <w:p w14:paraId="04D2DEAB">
                  <w:pPr>
                    <w:pStyle w:val="13"/>
                    <w:spacing w:after="0" w:line="240" w:lineRule="auto"/>
                    <w:ind w:left="0" w:lef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位于常州市金坛区</w:t>
                  </w:r>
                  <w:r>
                    <w:rPr>
                      <w:rFonts w:hint="eastAsia"/>
                      <w:color w:val="000000" w:themeColor="text1"/>
                      <w:sz w:val="21"/>
                      <w:szCs w:val="21"/>
                      <w:lang w:eastAsia="zh-CN"/>
                      <w14:textFill>
                        <w14:solidFill>
                          <w14:schemeClr w14:val="tx1"/>
                        </w14:solidFill>
                      </w14:textFill>
                    </w:rPr>
                    <w:t>西城路118号</w:t>
                  </w:r>
                  <w:r>
                    <w:rPr>
                      <w:color w:val="000000" w:themeColor="text1"/>
                      <w:sz w:val="21"/>
                      <w:szCs w:val="21"/>
                      <w14:textFill>
                        <w14:solidFill>
                          <w14:schemeClr w14:val="tx1"/>
                        </w14:solidFill>
                      </w14:textFill>
                    </w:rPr>
                    <w:t>，距离长江约</w:t>
                  </w:r>
                  <w:r>
                    <w:rPr>
                      <w:rFonts w:hint="eastAsia"/>
                      <w:color w:val="000000" w:themeColor="text1"/>
                      <w:sz w:val="21"/>
                      <w:szCs w:val="21"/>
                      <w:lang w:val="en-US" w:eastAsia="zh-CN"/>
                      <w14:textFill>
                        <w14:solidFill>
                          <w14:schemeClr w14:val="tx1"/>
                        </w14:solidFill>
                      </w14:textFill>
                    </w:rPr>
                    <w:t>44.7</w:t>
                  </w:r>
                  <w:r>
                    <w:rPr>
                      <w:color w:val="000000" w:themeColor="text1"/>
                      <w:sz w:val="21"/>
                      <w:szCs w:val="21"/>
                      <w14:textFill>
                        <w14:solidFill>
                          <w14:schemeClr w14:val="tx1"/>
                        </w14:solidFill>
                      </w14:textFill>
                    </w:rPr>
                    <w:t>km，</w:t>
                  </w:r>
                  <w:r>
                    <w:rPr>
                      <w:rFonts w:hint="eastAsia"/>
                      <w:color w:val="000000" w:themeColor="text1"/>
                      <w:sz w:val="21"/>
                      <w:szCs w:val="21"/>
                      <w:lang w:val="en-US" w:eastAsia="zh-CN"/>
                      <w14:textFill>
                        <w14:solidFill>
                          <w14:schemeClr w14:val="tx1"/>
                        </w14:solidFill>
                      </w14:textFill>
                    </w:rPr>
                    <w:t>距离生态管控区</w:t>
                  </w:r>
                  <w:r>
                    <w:rPr>
                      <w:rFonts w:hint="eastAsia"/>
                      <w:color w:val="000000" w:themeColor="text1"/>
                      <w:sz w:val="21"/>
                      <w:szCs w:val="21"/>
                      <w14:textFill>
                        <w14:solidFill>
                          <w14:schemeClr w14:val="tx1"/>
                        </w14:solidFill>
                      </w14:textFill>
                    </w:rPr>
                    <w:t>丹金溧漕河洪水调蓄区</w:t>
                  </w:r>
                  <w:r>
                    <w:rPr>
                      <w:rFonts w:hint="eastAsia"/>
                      <w:color w:val="000000" w:themeColor="text1"/>
                      <w:sz w:val="21"/>
                      <w:szCs w:val="21"/>
                      <w:lang w:val="en-US" w:eastAsia="zh-CN"/>
                      <w14:textFill>
                        <w14:solidFill>
                          <w14:schemeClr w14:val="tx1"/>
                        </w14:solidFill>
                      </w14:textFill>
                    </w:rPr>
                    <w:t>3km；</w:t>
                  </w:r>
                </w:p>
                <w:p w14:paraId="32F59AA6">
                  <w:pPr>
                    <w:pStyle w:val="13"/>
                    <w:spacing w:after="0" w:line="240" w:lineRule="auto"/>
                    <w:ind w:left="0" w:left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（3）本项目不在</w:t>
                  </w:r>
                  <w:r>
                    <w:rPr>
                      <w:color w:val="000000" w:themeColor="text1"/>
                      <w:sz w:val="21"/>
                      <w:szCs w:val="21"/>
                      <w14:textFill>
                        <w14:solidFill>
                          <w14:schemeClr w14:val="tx1"/>
                        </w14:solidFill>
                      </w14:textFill>
                    </w:rPr>
                    <w:t>饮用水水源一级保护区的岸线和河段范围内</w:t>
                  </w:r>
                  <w:r>
                    <w:rPr>
                      <w:rFonts w:hint="eastAsia"/>
                      <w:color w:val="000000" w:themeColor="text1"/>
                      <w:sz w:val="21"/>
                      <w:szCs w:val="21"/>
                      <w:lang w:eastAsia="zh-CN"/>
                      <w14:textFill>
                        <w14:solidFill>
                          <w14:schemeClr w14:val="tx1"/>
                        </w14:solidFill>
                      </w14:textFill>
                    </w:rPr>
                    <w:t>，</w:t>
                  </w:r>
                </w:p>
                <w:p w14:paraId="469827AE">
                  <w:pPr>
                    <w:pStyle w:val="13"/>
                    <w:spacing w:after="0" w:line="240" w:lineRule="auto"/>
                    <w:ind w:left="0" w:left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为</w:t>
                  </w:r>
                  <w:r>
                    <w:rPr>
                      <w:rFonts w:hint="eastAsia"/>
                      <w:color w:val="000000" w:themeColor="text1"/>
                      <w:sz w:val="21"/>
                      <w:szCs w:val="21"/>
                      <w:lang w:eastAsia="zh-CN"/>
                      <w14:textFill>
                        <w14:solidFill>
                          <w14:schemeClr w14:val="tx1"/>
                        </w14:solidFill>
                      </w14:textFill>
                    </w:rPr>
                    <w:t>实验室建设项目，</w:t>
                  </w:r>
                  <w:r>
                    <w:rPr>
                      <w:rFonts w:hint="eastAsia"/>
                      <w:color w:val="000000" w:themeColor="text1"/>
                      <w:sz w:val="21"/>
                      <w:szCs w:val="21"/>
                      <w:lang w:val="en-US" w:eastAsia="zh-CN"/>
                      <w14:textFill>
                        <w14:solidFill>
                          <w14:schemeClr w14:val="tx1"/>
                        </w14:solidFill>
                      </w14:textFill>
                    </w:rPr>
                    <w:t>距离生态管控区</w:t>
                  </w:r>
                  <w:r>
                    <w:rPr>
                      <w:rFonts w:hint="eastAsia"/>
                      <w:color w:val="000000" w:themeColor="text1"/>
                      <w:sz w:val="21"/>
                      <w:szCs w:val="21"/>
                      <w14:textFill>
                        <w14:solidFill>
                          <w14:schemeClr w14:val="tx1"/>
                        </w14:solidFill>
                      </w14:textFill>
                    </w:rPr>
                    <w:t>丹金溧漕河洪水调蓄区</w:t>
                  </w:r>
                  <w:r>
                    <w:rPr>
                      <w:rFonts w:hint="eastAsia"/>
                      <w:color w:val="000000" w:themeColor="text1"/>
                      <w:sz w:val="21"/>
                      <w:szCs w:val="21"/>
                      <w:lang w:val="en-US" w:eastAsia="zh-CN"/>
                      <w14:textFill>
                        <w14:solidFill>
                          <w14:schemeClr w14:val="tx1"/>
                        </w14:solidFill>
                      </w14:textFill>
                    </w:rPr>
                    <w:t>3km</w:t>
                  </w:r>
                  <w:r>
                    <w:rPr>
                      <w:rFonts w:hint="eastAsia"/>
                      <w:color w:val="000000" w:themeColor="text1"/>
                      <w:sz w:val="21"/>
                      <w:szCs w:val="21"/>
                      <w:lang w:eastAsia="zh-CN"/>
                      <w14:textFill>
                        <w14:solidFill>
                          <w14:schemeClr w14:val="tx1"/>
                        </w14:solidFill>
                      </w14:textFill>
                    </w:rPr>
                    <w:t>；</w:t>
                  </w:r>
                </w:p>
                <w:p w14:paraId="470AE55F">
                  <w:pPr>
                    <w:pStyle w:val="13"/>
                    <w:spacing w:after="0" w:line="240" w:lineRule="auto"/>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距离长江约</w:t>
                  </w:r>
                  <w:r>
                    <w:rPr>
                      <w:rFonts w:hint="eastAsia"/>
                      <w:color w:val="000000" w:themeColor="text1"/>
                      <w:sz w:val="21"/>
                      <w:szCs w:val="21"/>
                      <w:lang w:val="en-US" w:eastAsia="zh-CN"/>
                      <w14:textFill>
                        <w14:solidFill>
                          <w14:schemeClr w14:val="tx1"/>
                        </w14:solidFill>
                      </w14:textFill>
                    </w:rPr>
                    <w:t>44.7</w:t>
                  </w:r>
                  <w:r>
                    <w:rPr>
                      <w:color w:val="000000" w:themeColor="text1"/>
                      <w:sz w:val="21"/>
                      <w:szCs w:val="21"/>
                      <w14:textFill>
                        <w14:solidFill>
                          <w14:schemeClr w14:val="tx1"/>
                        </w14:solidFill>
                      </w14:textFill>
                    </w:rPr>
                    <w:t>km</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不在长江岸线保护区内；</w:t>
                  </w:r>
                </w:p>
                <w:p w14:paraId="3418F8AA">
                  <w:pPr>
                    <w:pStyle w:val="13"/>
                    <w:spacing w:after="0" w:line="240" w:lineRule="auto"/>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本项目为</w:t>
                  </w:r>
                  <w:r>
                    <w:rPr>
                      <w:rFonts w:hint="eastAsia"/>
                      <w:color w:val="000000" w:themeColor="text1"/>
                      <w:sz w:val="21"/>
                      <w:szCs w:val="21"/>
                      <w:lang w:eastAsia="zh-CN"/>
                      <w14:textFill>
                        <w14:solidFill>
                          <w14:schemeClr w14:val="tx1"/>
                        </w14:solidFill>
                      </w14:textFill>
                    </w:rPr>
                    <w:t>实验室建设项目</w:t>
                  </w:r>
                  <w:r>
                    <w:rPr>
                      <w:color w:val="000000" w:themeColor="text1"/>
                      <w:sz w:val="21"/>
                      <w:szCs w:val="21"/>
                      <w14:textFill>
                        <w14:solidFill>
                          <w14:schemeClr w14:val="tx1"/>
                        </w14:solidFill>
                      </w14:textFill>
                    </w:rPr>
                    <w:t>，位于常州市金坛区</w:t>
                  </w:r>
                  <w:r>
                    <w:rPr>
                      <w:rFonts w:hint="eastAsia"/>
                      <w:color w:val="000000" w:themeColor="text1"/>
                      <w:sz w:val="21"/>
                      <w:szCs w:val="21"/>
                      <w:lang w:eastAsia="zh-CN"/>
                      <w14:textFill>
                        <w14:solidFill>
                          <w14:schemeClr w14:val="tx1"/>
                        </w14:solidFill>
                      </w14:textFill>
                    </w:rPr>
                    <w:t>西城路118号，</w:t>
                  </w:r>
                  <w:r>
                    <w:rPr>
                      <w:rFonts w:hint="eastAsia"/>
                      <w:color w:val="000000" w:themeColor="text1"/>
                      <w:sz w:val="21"/>
                      <w:szCs w:val="21"/>
                      <w:lang w:val="en-US" w:eastAsia="zh-CN"/>
                      <w14:textFill>
                        <w14:solidFill>
                          <w14:schemeClr w14:val="tx1"/>
                        </w14:solidFill>
                      </w14:textFill>
                    </w:rPr>
                    <w:t>用</w:t>
                  </w:r>
                  <w:r>
                    <w:rPr>
                      <w:color w:val="000000" w:themeColor="text1"/>
                      <w:sz w:val="21"/>
                      <w:szCs w:val="21"/>
                      <w14:textFill>
                        <w14:solidFill>
                          <w14:schemeClr w14:val="tx1"/>
                        </w14:solidFill>
                      </w14:textFill>
                    </w:rPr>
                    <w:t>地</w:t>
                  </w:r>
                  <w:r>
                    <w:rPr>
                      <w:rFonts w:hint="eastAsia"/>
                      <w:color w:val="000000" w:themeColor="text1"/>
                      <w:sz w:val="21"/>
                      <w:szCs w:val="21"/>
                      <w:lang w:val="en-US" w:eastAsia="zh-CN"/>
                      <w14:textFill>
                        <w14:solidFill>
                          <w14:schemeClr w14:val="tx1"/>
                        </w14:solidFill>
                      </w14:textFill>
                    </w:rPr>
                    <w:t>性质</w:t>
                  </w:r>
                  <w:r>
                    <w:rPr>
                      <w:color w:val="000000" w:themeColor="text1"/>
                      <w:sz w:val="21"/>
                      <w:szCs w:val="21"/>
                      <w14:textFill>
                        <w14:solidFill>
                          <w14:schemeClr w14:val="tx1"/>
                        </w14:solidFill>
                      </w14:textFill>
                    </w:rPr>
                    <w:t>为工业用地</w:t>
                  </w:r>
                  <w:r>
                    <w:rPr>
                      <w:rFonts w:hint="eastAsia"/>
                      <w:color w:val="000000" w:themeColor="text1"/>
                      <w:sz w:val="21"/>
                      <w:szCs w:val="21"/>
                      <w:lang w:eastAsia="zh-CN"/>
                      <w14:textFill>
                        <w14:solidFill>
                          <w14:schemeClr w14:val="tx1"/>
                        </w14:solidFill>
                      </w14:textFill>
                    </w:rPr>
                    <w:t>；</w:t>
                  </w:r>
                </w:p>
                <w:p w14:paraId="30CA698C">
                  <w:pPr>
                    <w:pStyle w:val="13"/>
                    <w:spacing w:after="0" w:line="240" w:lineRule="auto"/>
                    <w:ind w:left="0" w:lef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7</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为</w:t>
                  </w:r>
                  <w:r>
                    <w:rPr>
                      <w:rFonts w:hint="eastAsia"/>
                      <w:color w:val="000000" w:themeColor="text1"/>
                      <w:sz w:val="21"/>
                      <w:szCs w:val="21"/>
                      <w:lang w:eastAsia="zh-CN"/>
                      <w14:textFill>
                        <w14:solidFill>
                          <w14:schemeClr w14:val="tx1"/>
                        </w14:solidFill>
                      </w14:textFill>
                    </w:rPr>
                    <w:t>实验室建设项目</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不属于化工项目；</w:t>
                  </w:r>
                </w:p>
                <w:p w14:paraId="345447D4">
                  <w:pPr>
                    <w:pStyle w:val="13"/>
                    <w:spacing w:after="0" w:line="240" w:lineRule="auto"/>
                    <w:ind w:left="0" w:lef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为</w:t>
                  </w:r>
                  <w:r>
                    <w:rPr>
                      <w:rFonts w:hint="eastAsia"/>
                      <w:color w:val="000000" w:themeColor="text1"/>
                      <w:sz w:val="21"/>
                      <w:szCs w:val="21"/>
                      <w:lang w:eastAsia="zh-CN"/>
                      <w14:textFill>
                        <w14:solidFill>
                          <w14:schemeClr w14:val="tx1"/>
                        </w14:solidFill>
                      </w14:textFill>
                    </w:rPr>
                    <w:t>实验室建设项目</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不属于</w:t>
                  </w:r>
                  <w:r>
                    <w:rPr>
                      <w:color w:val="000000" w:themeColor="text1"/>
                      <w:sz w:val="21"/>
                      <w:szCs w:val="21"/>
                      <w14:textFill>
                        <w14:solidFill>
                          <w14:schemeClr w14:val="tx1"/>
                        </w14:solidFill>
                      </w14:textFill>
                    </w:rPr>
                    <w:t>石化、现代煤化工</w:t>
                  </w:r>
                  <w:r>
                    <w:rPr>
                      <w:rFonts w:hint="eastAsia"/>
                      <w:color w:val="000000" w:themeColor="text1"/>
                      <w:sz w:val="21"/>
                      <w:szCs w:val="21"/>
                      <w:lang w:val="en-US" w:eastAsia="zh-CN"/>
                      <w14:textFill>
                        <w14:solidFill>
                          <w14:schemeClr w14:val="tx1"/>
                        </w14:solidFill>
                      </w14:textFill>
                    </w:rPr>
                    <w:t>项目；</w:t>
                  </w:r>
                </w:p>
                <w:p w14:paraId="7C520737">
                  <w:pPr>
                    <w:pStyle w:val="13"/>
                    <w:spacing w:after="0" w:line="240" w:lineRule="auto"/>
                    <w:ind w:left="0" w:left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（9）本项目不属于</w:t>
                  </w:r>
                  <w:r>
                    <w:rPr>
                      <w:color w:val="000000" w:themeColor="text1"/>
                      <w:sz w:val="21"/>
                      <w:szCs w:val="21"/>
                      <w14:textFill>
                        <w14:solidFill>
                          <w14:schemeClr w14:val="tx1"/>
                        </w14:solidFill>
                      </w14:textFill>
                    </w:rPr>
                    <w:t>落后产能项目</w:t>
                  </w:r>
                  <w:r>
                    <w:rPr>
                      <w:rFonts w:hint="eastAsia"/>
                      <w:color w:val="000000" w:themeColor="text1"/>
                      <w:sz w:val="21"/>
                      <w:szCs w:val="21"/>
                      <w:lang w:eastAsia="zh-CN"/>
                      <w14:textFill>
                        <w14:solidFill>
                          <w14:schemeClr w14:val="tx1"/>
                        </w14:solidFill>
                      </w14:textFill>
                    </w:rPr>
                    <w:t>；</w:t>
                  </w:r>
                </w:p>
                <w:p w14:paraId="3211E441">
                  <w:pPr>
                    <w:pStyle w:val="13"/>
                    <w:spacing w:after="0" w:line="240" w:lineRule="auto"/>
                    <w:ind w:left="0" w:leftChars="0"/>
                    <w:jc w:val="center"/>
                    <w:rPr>
                      <w:rFonts w:hint="eastAsia" w:eastAsia="宋体"/>
                      <w:color w:val="auto"/>
                      <w:sz w:val="21"/>
                      <w:szCs w:val="21"/>
                      <w:lang w:val="en-US" w:eastAsia="zh-CN"/>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本项目不属于</w:t>
                  </w:r>
                  <w:r>
                    <w:rPr>
                      <w:color w:val="000000" w:themeColor="text1"/>
                      <w:sz w:val="21"/>
                      <w:szCs w:val="21"/>
                      <w14:textFill>
                        <w14:solidFill>
                          <w14:schemeClr w14:val="tx1"/>
                        </w14:solidFill>
                      </w14:textFill>
                    </w:rPr>
                    <w:t>落后产能项目严重过剩产能行业的项目</w:t>
                  </w:r>
                  <w:r>
                    <w:rPr>
                      <w:rFonts w:hint="eastAsia"/>
                      <w:color w:val="000000" w:themeColor="text1"/>
                      <w:sz w:val="21"/>
                      <w:szCs w:val="21"/>
                      <w:lang w:eastAsia="zh-CN"/>
                      <w14:textFill>
                        <w14:solidFill>
                          <w14:schemeClr w14:val="tx1"/>
                        </w14:solidFill>
                      </w14:textFill>
                    </w:rPr>
                    <w:t>。</w:t>
                  </w:r>
                </w:p>
              </w:tc>
              <w:tc>
                <w:tcPr>
                  <w:tcW w:w="360" w:type="pct"/>
                  <w:noWrap w:val="0"/>
                  <w:vAlign w:val="center"/>
                </w:tcPr>
                <w:p w14:paraId="2261FB1D">
                  <w:pPr>
                    <w:pStyle w:val="13"/>
                    <w:spacing w:after="0" w:line="240" w:lineRule="auto"/>
                    <w:ind w:left="0" w:leftChars="0"/>
                    <w:jc w:val="center"/>
                    <w:rPr>
                      <w:color w:val="auto"/>
                      <w:sz w:val="21"/>
                      <w:szCs w:val="21"/>
                    </w:rPr>
                  </w:pPr>
                  <w:r>
                    <w:rPr>
                      <w:color w:val="auto"/>
                      <w:sz w:val="21"/>
                      <w:szCs w:val="21"/>
                    </w:rPr>
                    <w:t>相符</w:t>
                  </w:r>
                </w:p>
              </w:tc>
            </w:tr>
          </w:tbl>
          <w:p w14:paraId="3305CF06">
            <w:pPr>
              <w:pStyle w:val="11"/>
              <w:numPr>
                <w:ilvl w:val="0"/>
                <w:numId w:val="0"/>
              </w:numPr>
              <w:rPr>
                <w:color w:val="auto"/>
                <w:sz w:val="24"/>
                <w:szCs w:val="24"/>
              </w:rPr>
            </w:pPr>
          </w:p>
          <w:p w14:paraId="10B1407F">
            <w:pPr>
              <w:pStyle w:val="11"/>
              <w:numPr>
                <w:ilvl w:val="0"/>
                <w:numId w:val="0"/>
              </w:numPr>
              <w:rPr>
                <w:color w:val="auto"/>
                <w:sz w:val="24"/>
                <w:szCs w:val="24"/>
              </w:rPr>
            </w:pPr>
          </w:p>
          <w:p w14:paraId="464A466C">
            <w:pPr>
              <w:pStyle w:val="11"/>
              <w:numPr>
                <w:ilvl w:val="0"/>
                <w:numId w:val="0"/>
              </w:numPr>
              <w:rPr>
                <w:color w:val="auto"/>
                <w:sz w:val="24"/>
                <w:szCs w:val="24"/>
              </w:rPr>
            </w:pPr>
          </w:p>
          <w:p w14:paraId="3804A2B6">
            <w:pPr>
              <w:rPr>
                <w:color w:val="auto"/>
                <w:kern w:val="0"/>
                <w:sz w:val="24"/>
                <w:szCs w:val="24"/>
              </w:rPr>
            </w:pPr>
          </w:p>
        </w:tc>
      </w:tr>
    </w:tbl>
    <w:p w14:paraId="01B0EBEB">
      <w:pPr>
        <w:pStyle w:val="18"/>
        <w:jc w:val="center"/>
        <w:outlineLvl w:val="0"/>
        <w:rPr>
          <w:rFonts w:ascii="Times New Roman" w:hAnsi="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8320"/>
      </w:tblGrid>
      <w:tr w14:paraId="3264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top"/>
          </w:tcPr>
          <w:p w14:paraId="7FA3B2CB">
            <w:pPr>
              <w:pStyle w:val="18"/>
              <w:jc w:val="center"/>
              <w:outlineLvl w:val="0"/>
              <w:rPr>
                <w:rFonts w:ascii="Times New Roman" w:hAnsi="Times New Roman"/>
                <w:snapToGrid w:val="0"/>
                <w:color w:val="auto"/>
                <w:sz w:val="24"/>
                <w:szCs w:val="24"/>
                <w:lang w:val="en-US" w:eastAsia="zh-CN"/>
              </w:rPr>
            </w:pPr>
          </w:p>
        </w:tc>
        <w:tc>
          <w:tcPr>
            <w:tcW w:w="8320" w:type="dxa"/>
            <w:noWrap w:val="0"/>
            <w:vAlign w:val="top"/>
          </w:tcPr>
          <w:p w14:paraId="2F4419F8">
            <w:pPr>
              <w:spacing w:after="120" w:afterLines="50" w:line="360" w:lineRule="exact"/>
              <w:ind w:firstLine="480" w:firstLineChars="200"/>
              <w:rPr>
                <w:color w:val="auto"/>
                <w:sz w:val="24"/>
                <w:szCs w:val="24"/>
              </w:rPr>
            </w:pPr>
            <w:r>
              <w:rPr>
                <w:color w:val="auto"/>
                <w:sz w:val="24"/>
                <w:szCs w:val="24"/>
              </w:rPr>
              <w:t>2、与“</w:t>
            </w:r>
            <w:bookmarkStart w:id="22" w:name="OLE_LINK58"/>
            <w:r>
              <w:rPr>
                <w:color w:val="auto"/>
                <w:sz w:val="24"/>
                <w:szCs w:val="24"/>
              </w:rPr>
              <w:t>市生态环境局关于建设项目的审批指导意见（试行）</w:t>
            </w:r>
            <w:bookmarkEnd w:id="22"/>
            <w:r>
              <w:rPr>
                <w:color w:val="auto"/>
                <w:sz w:val="24"/>
                <w:szCs w:val="24"/>
              </w:rPr>
              <w:t>”相符性分析</w:t>
            </w:r>
          </w:p>
          <w:p w14:paraId="095B87FE">
            <w:pPr>
              <w:snapToGrid w:val="0"/>
              <w:spacing w:before="72" w:beforeLines="30" w:line="360" w:lineRule="exact"/>
              <w:jc w:val="center"/>
              <w:rPr>
                <w:b/>
                <w:bCs/>
                <w:color w:val="auto"/>
                <w:sz w:val="24"/>
                <w:szCs w:val="24"/>
              </w:rPr>
            </w:pPr>
            <w:r>
              <w:rPr>
                <w:b/>
                <w:bCs/>
                <w:color w:val="auto"/>
                <w:sz w:val="21"/>
                <w:szCs w:val="21"/>
              </w:rPr>
              <w:t>表1-</w:t>
            </w:r>
            <w:r>
              <w:rPr>
                <w:rFonts w:hint="eastAsia"/>
                <w:b/>
                <w:bCs/>
                <w:color w:val="auto"/>
                <w:sz w:val="21"/>
                <w:szCs w:val="21"/>
                <w:lang w:val="en-US" w:eastAsia="zh-CN"/>
              </w:rPr>
              <w:t>11</w:t>
            </w:r>
            <w:r>
              <w:rPr>
                <w:b/>
                <w:bCs/>
                <w:color w:val="auto"/>
                <w:sz w:val="21"/>
                <w:szCs w:val="21"/>
              </w:rPr>
              <w:t xml:space="preserve"> 与市生态环境局关于建设项目的审批指导意见（试行）对照分析</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968"/>
              <w:gridCol w:w="3377"/>
              <w:gridCol w:w="759"/>
            </w:tblGrid>
            <w:tr w14:paraId="281858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49" w:hRule="atLeast"/>
                <w:tblHeader/>
                <w:jc w:val="center"/>
              </w:trPr>
              <w:tc>
                <w:tcPr>
                  <w:tcW w:w="2447" w:type="pct"/>
                  <w:noWrap w:val="0"/>
                  <w:vAlign w:val="center"/>
                </w:tcPr>
                <w:p w14:paraId="79FABCFA">
                  <w:pPr>
                    <w:adjustRightInd w:val="0"/>
                    <w:snapToGrid w:val="0"/>
                    <w:spacing w:line="240" w:lineRule="auto"/>
                    <w:jc w:val="center"/>
                    <w:rPr>
                      <w:b/>
                      <w:color w:val="auto"/>
                      <w:sz w:val="21"/>
                      <w:szCs w:val="21"/>
                    </w:rPr>
                  </w:pPr>
                  <w:r>
                    <w:rPr>
                      <w:b/>
                      <w:color w:val="auto"/>
                      <w:sz w:val="21"/>
                      <w:szCs w:val="21"/>
                    </w:rPr>
                    <w:t>文件要求</w:t>
                  </w:r>
                </w:p>
              </w:tc>
              <w:tc>
                <w:tcPr>
                  <w:tcW w:w="2083" w:type="pct"/>
                  <w:noWrap w:val="0"/>
                  <w:vAlign w:val="center"/>
                </w:tcPr>
                <w:p w14:paraId="789AC1C2">
                  <w:pPr>
                    <w:adjustRightInd w:val="0"/>
                    <w:snapToGrid w:val="0"/>
                    <w:spacing w:line="240" w:lineRule="auto"/>
                    <w:jc w:val="center"/>
                    <w:rPr>
                      <w:b/>
                      <w:color w:val="auto"/>
                      <w:sz w:val="21"/>
                      <w:szCs w:val="21"/>
                    </w:rPr>
                  </w:pPr>
                  <w:r>
                    <w:rPr>
                      <w:b/>
                      <w:color w:val="auto"/>
                      <w:sz w:val="21"/>
                      <w:szCs w:val="21"/>
                    </w:rPr>
                    <w:t>本项目</w:t>
                  </w:r>
                </w:p>
              </w:tc>
              <w:tc>
                <w:tcPr>
                  <w:tcW w:w="468" w:type="pct"/>
                  <w:noWrap w:val="0"/>
                  <w:vAlign w:val="center"/>
                </w:tcPr>
                <w:p w14:paraId="63877284">
                  <w:pPr>
                    <w:pStyle w:val="13"/>
                    <w:spacing w:after="0" w:line="240" w:lineRule="auto"/>
                    <w:ind w:left="0" w:leftChars="0"/>
                    <w:jc w:val="center"/>
                    <w:rPr>
                      <w:b/>
                      <w:color w:val="auto"/>
                      <w:sz w:val="21"/>
                      <w:szCs w:val="21"/>
                    </w:rPr>
                  </w:pPr>
                  <w:r>
                    <w:rPr>
                      <w:b/>
                      <w:color w:val="auto"/>
                      <w:sz w:val="21"/>
                      <w:szCs w:val="21"/>
                    </w:rPr>
                    <w:t>相符性论证</w:t>
                  </w:r>
                </w:p>
              </w:tc>
            </w:tr>
            <w:tr w14:paraId="6C9ECF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447" w:type="pct"/>
                  <w:noWrap w:val="0"/>
                  <w:vAlign w:val="center"/>
                </w:tcPr>
                <w:p w14:paraId="47D9569C">
                  <w:pPr>
                    <w:pStyle w:val="13"/>
                    <w:spacing w:after="0" w:line="240" w:lineRule="auto"/>
                    <w:ind w:left="0" w:leftChars="0"/>
                    <w:jc w:val="center"/>
                    <w:rPr>
                      <w:color w:val="auto"/>
                      <w:sz w:val="21"/>
                      <w:szCs w:val="21"/>
                    </w:rPr>
                  </w:pPr>
                  <w:r>
                    <w:rPr>
                      <w:b/>
                      <w:bCs/>
                      <w:color w:val="auto"/>
                      <w:sz w:val="21"/>
                      <w:szCs w:val="21"/>
                    </w:rPr>
                    <w:t>严格项目总量。</w:t>
                  </w:r>
                  <w:r>
                    <w:rPr>
                      <w:color w:val="auto"/>
                      <w:sz w:val="21"/>
                      <w:szCs w:val="21"/>
                    </w:rPr>
                    <w:t>实施建设项目大气污染物总量负增长原则，即重点区域内建设项目使用大气污染物总量，原则上在重点区域范围内实施总量平衡，且必须实行总量2倍减量替代。</w:t>
                  </w:r>
                </w:p>
              </w:tc>
              <w:tc>
                <w:tcPr>
                  <w:tcW w:w="2083" w:type="pct"/>
                  <w:noWrap w:val="0"/>
                  <w:vAlign w:val="center"/>
                </w:tcPr>
                <w:p w14:paraId="78429D4A">
                  <w:pPr>
                    <w:pStyle w:val="13"/>
                    <w:spacing w:after="0" w:line="240" w:lineRule="auto"/>
                    <w:ind w:left="0" w:leftChars="0"/>
                    <w:jc w:val="center"/>
                    <w:rPr>
                      <w:rFonts w:hint="eastAsia" w:eastAsia="宋体"/>
                      <w:color w:val="auto"/>
                      <w:sz w:val="21"/>
                      <w:szCs w:val="21"/>
                      <w:lang w:eastAsia="zh-CN"/>
                    </w:rPr>
                  </w:pPr>
                  <w:r>
                    <w:rPr>
                      <w:color w:val="auto"/>
                      <w:sz w:val="21"/>
                      <w:szCs w:val="21"/>
                    </w:rPr>
                    <w:t>本项目位于常州市金坛区</w:t>
                  </w:r>
                  <w:r>
                    <w:rPr>
                      <w:rFonts w:hint="eastAsia"/>
                      <w:color w:val="auto"/>
                      <w:sz w:val="21"/>
                      <w:szCs w:val="21"/>
                      <w:lang w:eastAsia="zh-CN"/>
                    </w:rPr>
                    <w:t>西城路118号</w:t>
                  </w:r>
                  <w:r>
                    <w:rPr>
                      <w:color w:val="auto"/>
                      <w:sz w:val="21"/>
                      <w:szCs w:val="21"/>
                    </w:rPr>
                    <w:t>，</w:t>
                  </w:r>
                  <w:r>
                    <w:rPr>
                      <w:rFonts w:hint="eastAsia"/>
                      <w:color w:val="auto"/>
                      <w:sz w:val="21"/>
                      <w:szCs w:val="21"/>
                      <w:lang w:val="en-US" w:eastAsia="zh-CN"/>
                    </w:rPr>
                    <w:t>距离常州市国控站点，金坛区清风路1号，金坛区政府D座楼的距离为4.4km，本项目</w:t>
                  </w:r>
                  <w:r>
                    <w:rPr>
                      <w:color w:val="auto"/>
                      <w:sz w:val="21"/>
                      <w:szCs w:val="21"/>
                    </w:rPr>
                    <w:t>不在</w:t>
                  </w:r>
                  <w:r>
                    <w:rPr>
                      <w:rFonts w:hint="eastAsia"/>
                      <w:color w:val="auto"/>
                      <w:sz w:val="21"/>
                      <w:szCs w:val="21"/>
                      <w:lang w:val="en-US" w:eastAsia="zh-CN"/>
                    </w:rPr>
                    <w:t>重点区域内</w:t>
                  </w:r>
                  <w:r>
                    <w:rPr>
                      <w:color w:val="auto"/>
                      <w:sz w:val="21"/>
                      <w:szCs w:val="21"/>
                    </w:rPr>
                    <w:t>，大气污染物在</w:t>
                  </w:r>
                  <w:r>
                    <w:rPr>
                      <w:rFonts w:hint="eastAsia"/>
                      <w:color w:val="auto"/>
                      <w:sz w:val="21"/>
                      <w:szCs w:val="21"/>
                    </w:rPr>
                    <w:t>金坛区</w:t>
                  </w:r>
                  <w:r>
                    <w:rPr>
                      <w:color w:val="auto"/>
                      <w:sz w:val="21"/>
                      <w:szCs w:val="21"/>
                    </w:rPr>
                    <w:t>内进行平衡</w:t>
                  </w:r>
                  <w:r>
                    <w:rPr>
                      <w:rFonts w:hint="eastAsia"/>
                      <w:color w:val="auto"/>
                      <w:sz w:val="21"/>
                      <w:szCs w:val="21"/>
                      <w:lang w:eastAsia="zh-CN"/>
                    </w:rPr>
                    <w:t>。</w:t>
                  </w:r>
                </w:p>
              </w:tc>
              <w:tc>
                <w:tcPr>
                  <w:tcW w:w="468" w:type="pct"/>
                  <w:noWrap w:val="0"/>
                  <w:vAlign w:val="center"/>
                </w:tcPr>
                <w:p w14:paraId="1FAC6B3C">
                  <w:pPr>
                    <w:pStyle w:val="13"/>
                    <w:spacing w:after="0" w:line="240" w:lineRule="auto"/>
                    <w:ind w:left="0" w:leftChars="0"/>
                    <w:jc w:val="center"/>
                    <w:rPr>
                      <w:color w:val="auto"/>
                      <w:sz w:val="21"/>
                      <w:szCs w:val="21"/>
                    </w:rPr>
                  </w:pPr>
                  <w:r>
                    <w:rPr>
                      <w:color w:val="auto"/>
                      <w:sz w:val="21"/>
                      <w:szCs w:val="21"/>
                    </w:rPr>
                    <w:t>相符</w:t>
                  </w:r>
                </w:p>
              </w:tc>
            </w:tr>
            <w:tr w14:paraId="53D60F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447" w:type="pct"/>
                  <w:noWrap w:val="0"/>
                  <w:vAlign w:val="center"/>
                </w:tcPr>
                <w:p w14:paraId="131BD7E8">
                  <w:pPr>
                    <w:pStyle w:val="13"/>
                    <w:spacing w:after="0" w:line="240" w:lineRule="auto"/>
                    <w:ind w:left="0" w:leftChars="0"/>
                    <w:jc w:val="center"/>
                    <w:rPr>
                      <w:color w:val="auto"/>
                      <w:sz w:val="21"/>
                      <w:szCs w:val="21"/>
                    </w:rPr>
                  </w:pPr>
                  <w:r>
                    <w:rPr>
                      <w:b/>
                      <w:bCs/>
                      <w:color w:val="auto"/>
                      <w:sz w:val="21"/>
                      <w:szCs w:val="21"/>
                    </w:rPr>
                    <w:t>强化环评审批。</w:t>
                  </w:r>
                  <w:r>
                    <w:rPr>
                      <w:color w:val="auto"/>
                      <w:sz w:val="21"/>
                      <w:szCs w:val="21"/>
                    </w:rPr>
                    <w:t>对重点区域内新上的大气污染物排放的建设项目及全市范围内新上高能耗项目，审批部门对其环评文本应实施质量评估。</w:t>
                  </w:r>
                </w:p>
              </w:tc>
              <w:tc>
                <w:tcPr>
                  <w:tcW w:w="2083" w:type="pct"/>
                  <w:noWrap w:val="0"/>
                  <w:vAlign w:val="center"/>
                </w:tcPr>
                <w:p w14:paraId="01F273B4">
                  <w:pPr>
                    <w:pStyle w:val="13"/>
                    <w:spacing w:after="0" w:line="240" w:lineRule="auto"/>
                    <w:ind w:left="0" w:leftChars="0"/>
                    <w:jc w:val="center"/>
                    <w:rPr>
                      <w:rFonts w:hint="eastAsia" w:eastAsia="宋体"/>
                      <w:color w:val="auto"/>
                      <w:sz w:val="21"/>
                      <w:szCs w:val="21"/>
                      <w:lang w:eastAsia="zh-CN"/>
                    </w:rPr>
                  </w:pPr>
                  <w:r>
                    <w:rPr>
                      <w:color w:val="auto"/>
                      <w:sz w:val="21"/>
                      <w:szCs w:val="21"/>
                    </w:rPr>
                    <w:t>本项目</w:t>
                  </w: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为</w:t>
                  </w:r>
                  <w:r>
                    <w:rPr>
                      <w:rFonts w:hint="eastAsia"/>
                      <w:color w:val="000000" w:themeColor="text1"/>
                      <w:sz w:val="21"/>
                      <w:szCs w:val="21"/>
                      <w:lang w:eastAsia="zh-CN"/>
                      <w14:textFill>
                        <w14:solidFill>
                          <w14:schemeClr w14:val="tx1"/>
                        </w14:solidFill>
                      </w14:textFill>
                    </w:rPr>
                    <w:t>实验室建设项目，</w:t>
                  </w:r>
                  <w:r>
                    <w:rPr>
                      <w:rFonts w:hint="eastAsia"/>
                      <w:color w:val="000000" w:themeColor="text1"/>
                      <w:sz w:val="21"/>
                      <w:szCs w:val="21"/>
                      <w:lang w:val="en-US" w:eastAsia="zh-CN"/>
                      <w14:textFill>
                        <w14:solidFill>
                          <w14:schemeClr w14:val="tx1"/>
                        </w14:solidFill>
                      </w14:textFill>
                    </w:rPr>
                    <w:t>不属于高耗能项目</w:t>
                  </w:r>
                  <w:r>
                    <w:rPr>
                      <w:rFonts w:hint="eastAsia"/>
                      <w:color w:val="auto"/>
                      <w:sz w:val="21"/>
                      <w:szCs w:val="21"/>
                      <w:lang w:eastAsia="zh-CN"/>
                    </w:rPr>
                    <w:t>。</w:t>
                  </w:r>
                </w:p>
              </w:tc>
              <w:tc>
                <w:tcPr>
                  <w:tcW w:w="468" w:type="pct"/>
                  <w:noWrap w:val="0"/>
                  <w:vAlign w:val="center"/>
                </w:tcPr>
                <w:p w14:paraId="3755CE3E">
                  <w:pPr>
                    <w:pStyle w:val="13"/>
                    <w:spacing w:after="0" w:line="240" w:lineRule="auto"/>
                    <w:ind w:left="0" w:leftChars="0"/>
                    <w:jc w:val="center"/>
                    <w:rPr>
                      <w:color w:val="auto"/>
                      <w:sz w:val="21"/>
                      <w:szCs w:val="21"/>
                    </w:rPr>
                  </w:pPr>
                  <w:r>
                    <w:rPr>
                      <w:color w:val="auto"/>
                      <w:sz w:val="21"/>
                      <w:szCs w:val="21"/>
                    </w:rPr>
                    <w:t>相符</w:t>
                  </w:r>
                </w:p>
              </w:tc>
            </w:tr>
            <w:tr w14:paraId="00BF44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447" w:type="pct"/>
                  <w:noWrap w:val="0"/>
                  <w:vAlign w:val="center"/>
                </w:tcPr>
                <w:p w14:paraId="0270D4B5">
                  <w:pPr>
                    <w:pStyle w:val="13"/>
                    <w:spacing w:after="0" w:line="240" w:lineRule="auto"/>
                    <w:ind w:left="0" w:leftChars="0"/>
                    <w:jc w:val="center"/>
                    <w:rPr>
                      <w:color w:val="auto"/>
                      <w:sz w:val="21"/>
                      <w:szCs w:val="21"/>
                    </w:rPr>
                  </w:pPr>
                  <w:r>
                    <w:rPr>
                      <w:rFonts w:hint="eastAsia"/>
                      <w:b/>
                      <w:bCs/>
                      <w:color w:val="auto"/>
                      <w:sz w:val="21"/>
                      <w:szCs w:val="21"/>
                    </w:rPr>
                    <w:t>推进减污降碳。</w:t>
                  </w:r>
                  <w:r>
                    <w:rPr>
                      <w:rFonts w:hint="eastAsia"/>
                      <w:color w:val="auto"/>
                      <w:spacing w:val="-6"/>
                      <w:sz w:val="21"/>
                      <w:szCs w:val="21"/>
                    </w:rPr>
                    <w:t>对重点区域内新上的涉及大气污染物排放的建设项目及全市范围内新上高能耗建设项目的严格审批，区级审批部门审批前需向市生态环境局报备，审批部门方可出具审批文件。</w:t>
                  </w:r>
                </w:p>
              </w:tc>
              <w:tc>
                <w:tcPr>
                  <w:tcW w:w="2083" w:type="pct"/>
                  <w:noWrap w:val="0"/>
                  <w:vAlign w:val="center"/>
                </w:tcPr>
                <w:p w14:paraId="070F62B1">
                  <w:pPr>
                    <w:pStyle w:val="13"/>
                    <w:spacing w:after="0" w:line="240" w:lineRule="auto"/>
                    <w:ind w:left="0" w:leftChars="0"/>
                    <w:jc w:val="center"/>
                    <w:rPr>
                      <w:rFonts w:hint="default"/>
                      <w:color w:val="auto"/>
                      <w:sz w:val="21"/>
                      <w:szCs w:val="21"/>
                      <w:lang w:val="en-US"/>
                    </w:rPr>
                  </w:pPr>
                  <w:r>
                    <w:rPr>
                      <w:color w:val="auto"/>
                      <w:sz w:val="21"/>
                      <w:szCs w:val="21"/>
                    </w:rPr>
                    <w:t>本项目位于常州市金坛区</w:t>
                  </w:r>
                  <w:r>
                    <w:rPr>
                      <w:rFonts w:hint="eastAsia"/>
                      <w:color w:val="auto"/>
                      <w:sz w:val="21"/>
                      <w:szCs w:val="21"/>
                      <w:lang w:eastAsia="zh-CN"/>
                    </w:rPr>
                    <w:t>西城路118号</w:t>
                  </w:r>
                  <w:r>
                    <w:rPr>
                      <w:color w:val="auto"/>
                      <w:sz w:val="21"/>
                      <w:szCs w:val="21"/>
                    </w:rPr>
                    <w:t>，</w:t>
                  </w:r>
                  <w:r>
                    <w:rPr>
                      <w:rFonts w:hint="eastAsia"/>
                      <w:color w:val="auto"/>
                      <w:sz w:val="21"/>
                      <w:szCs w:val="21"/>
                      <w:lang w:val="en-US" w:eastAsia="zh-CN"/>
                    </w:rPr>
                    <w:t>距离常州市国控站点，金坛区清风路1号，金坛区政府D座楼的距离为4.4km，不在重点区域内；本项目为实验室建设项目，不属于高耗能建设项目。</w:t>
                  </w:r>
                </w:p>
              </w:tc>
              <w:tc>
                <w:tcPr>
                  <w:tcW w:w="468" w:type="pct"/>
                  <w:noWrap w:val="0"/>
                  <w:vAlign w:val="center"/>
                </w:tcPr>
                <w:p w14:paraId="6B5DA9F7">
                  <w:pPr>
                    <w:pStyle w:val="13"/>
                    <w:spacing w:after="0" w:line="240" w:lineRule="auto"/>
                    <w:ind w:left="0" w:leftChars="0"/>
                    <w:jc w:val="center"/>
                    <w:rPr>
                      <w:color w:val="auto"/>
                      <w:sz w:val="21"/>
                      <w:szCs w:val="21"/>
                    </w:rPr>
                  </w:pPr>
                  <w:r>
                    <w:rPr>
                      <w:color w:val="auto"/>
                      <w:sz w:val="21"/>
                      <w:szCs w:val="21"/>
                    </w:rPr>
                    <w:t>相符</w:t>
                  </w:r>
                </w:p>
              </w:tc>
            </w:tr>
            <w:tr w14:paraId="429735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447" w:type="pct"/>
                  <w:noWrap w:val="0"/>
                  <w:vAlign w:val="center"/>
                </w:tcPr>
                <w:p w14:paraId="71848FF5">
                  <w:pPr>
                    <w:pStyle w:val="13"/>
                    <w:spacing w:after="0" w:line="240" w:lineRule="auto"/>
                    <w:ind w:left="0" w:leftChars="0"/>
                    <w:jc w:val="center"/>
                    <w:rPr>
                      <w:rFonts w:hint="eastAsia"/>
                      <w:color w:val="auto"/>
                      <w:sz w:val="21"/>
                      <w:szCs w:val="21"/>
                    </w:rPr>
                  </w:pPr>
                  <w:r>
                    <w:rPr>
                      <w:rFonts w:hint="eastAsia"/>
                      <w:b/>
                      <w:bCs/>
                      <w:color w:val="auto"/>
                      <w:sz w:val="21"/>
                      <w:szCs w:val="21"/>
                    </w:rPr>
                    <w:t>做好项目正面引导。</w:t>
                  </w:r>
                  <w:r>
                    <w:rPr>
                      <w:rFonts w:hint="eastAsia"/>
                      <w:color w:val="auto"/>
                      <w:sz w:val="21"/>
                      <w:szCs w:val="21"/>
                    </w:rPr>
                    <w:t>及时与属地经济部门做好衔接沟通，在项目筹备初期提前介入服务，引导项目从自身实际出发，采用建造绿色建筑、加大清洁能源使用比例、优化生产工艺技术、使用先进高效治污设施等切实有力的措施。</w:t>
                  </w:r>
                </w:p>
              </w:tc>
              <w:tc>
                <w:tcPr>
                  <w:tcW w:w="2083" w:type="pct"/>
                  <w:noWrap w:val="0"/>
                  <w:vAlign w:val="center"/>
                </w:tcPr>
                <w:p w14:paraId="4BB73F9A">
                  <w:pPr>
                    <w:pStyle w:val="13"/>
                    <w:spacing w:after="0" w:line="240" w:lineRule="auto"/>
                    <w:ind w:left="0" w:leftChars="0"/>
                    <w:jc w:val="center"/>
                    <w:rPr>
                      <w:rFonts w:hint="eastAsia" w:eastAsia="宋体"/>
                      <w:color w:val="auto"/>
                      <w:sz w:val="21"/>
                      <w:szCs w:val="21"/>
                      <w:lang w:eastAsia="zh-CN"/>
                    </w:rPr>
                  </w:pPr>
                  <w:r>
                    <w:rPr>
                      <w:color w:val="auto"/>
                      <w:sz w:val="21"/>
                      <w:szCs w:val="21"/>
                    </w:rPr>
                    <w:t>本项目</w:t>
                  </w:r>
                  <w:r>
                    <w:rPr>
                      <w:rFonts w:hint="eastAsia"/>
                      <w:color w:val="auto"/>
                      <w:sz w:val="21"/>
                      <w:szCs w:val="21"/>
                    </w:rPr>
                    <w:t>生产过程中仅使用电能</w:t>
                  </w:r>
                  <w:r>
                    <w:rPr>
                      <w:rFonts w:hint="eastAsia"/>
                      <w:color w:val="auto"/>
                      <w:sz w:val="21"/>
                      <w:szCs w:val="21"/>
                      <w:lang w:eastAsia="zh-CN"/>
                    </w:rPr>
                    <w:t>。</w:t>
                  </w:r>
                </w:p>
              </w:tc>
              <w:tc>
                <w:tcPr>
                  <w:tcW w:w="468" w:type="pct"/>
                  <w:noWrap w:val="0"/>
                  <w:vAlign w:val="center"/>
                </w:tcPr>
                <w:p w14:paraId="3EA7F82B">
                  <w:pPr>
                    <w:pStyle w:val="13"/>
                    <w:spacing w:after="0" w:line="240" w:lineRule="auto"/>
                    <w:ind w:left="0" w:leftChars="0"/>
                    <w:jc w:val="center"/>
                    <w:rPr>
                      <w:color w:val="auto"/>
                      <w:sz w:val="21"/>
                      <w:szCs w:val="21"/>
                    </w:rPr>
                  </w:pPr>
                  <w:r>
                    <w:rPr>
                      <w:color w:val="auto"/>
                      <w:sz w:val="21"/>
                      <w:szCs w:val="21"/>
                    </w:rPr>
                    <w:t>相符</w:t>
                  </w:r>
                </w:p>
              </w:tc>
            </w:tr>
          </w:tbl>
          <w:p w14:paraId="7471FB43">
            <w:pPr>
              <w:pStyle w:val="7"/>
              <w:rPr>
                <w:b/>
                <w:bCs/>
                <w:color w:val="auto"/>
                <w:sz w:val="24"/>
                <w:szCs w:val="24"/>
                <w:lang w:val="en-US" w:eastAsia="zh-CN"/>
              </w:rPr>
            </w:pPr>
          </w:p>
          <w:p w14:paraId="1B8AA2A1">
            <w:pPr>
              <w:pStyle w:val="11"/>
              <w:numPr>
                <w:ilvl w:val="0"/>
                <w:numId w:val="0"/>
              </w:numPr>
              <w:rPr>
                <w:b/>
                <w:bCs/>
                <w:color w:val="auto"/>
                <w:sz w:val="24"/>
                <w:szCs w:val="24"/>
              </w:rPr>
            </w:pPr>
          </w:p>
          <w:p w14:paraId="475F570F">
            <w:pPr>
              <w:pStyle w:val="11"/>
              <w:numPr>
                <w:ilvl w:val="0"/>
                <w:numId w:val="0"/>
              </w:numPr>
              <w:rPr>
                <w:b/>
                <w:bCs/>
                <w:color w:val="auto"/>
                <w:sz w:val="24"/>
                <w:szCs w:val="24"/>
              </w:rPr>
            </w:pPr>
          </w:p>
          <w:p w14:paraId="2FD839FA">
            <w:pPr>
              <w:pStyle w:val="7"/>
              <w:rPr>
                <w:b/>
                <w:bCs/>
                <w:color w:val="auto"/>
                <w:sz w:val="24"/>
                <w:szCs w:val="24"/>
                <w:lang w:val="en-US" w:eastAsia="zh-CN"/>
              </w:rPr>
            </w:pPr>
          </w:p>
          <w:p w14:paraId="12B4BFBC">
            <w:pPr>
              <w:pStyle w:val="11"/>
              <w:numPr>
                <w:ilvl w:val="0"/>
                <w:numId w:val="0"/>
              </w:numPr>
              <w:rPr>
                <w:b/>
                <w:bCs/>
                <w:color w:val="auto"/>
                <w:sz w:val="24"/>
                <w:szCs w:val="24"/>
              </w:rPr>
            </w:pPr>
          </w:p>
          <w:p w14:paraId="60F97D2B">
            <w:pPr>
              <w:pStyle w:val="11"/>
              <w:numPr>
                <w:ilvl w:val="0"/>
                <w:numId w:val="0"/>
              </w:numPr>
              <w:rPr>
                <w:b/>
                <w:bCs/>
                <w:color w:val="auto"/>
                <w:sz w:val="24"/>
                <w:szCs w:val="24"/>
              </w:rPr>
            </w:pPr>
          </w:p>
          <w:p w14:paraId="0112EE59">
            <w:pPr>
              <w:pStyle w:val="7"/>
              <w:rPr>
                <w:b/>
                <w:bCs/>
                <w:color w:val="auto"/>
                <w:sz w:val="24"/>
                <w:szCs w:val="24"/>
                <w:lang w:val="en-US" w:eastAsia="zh-CN"/>
              </w:rPr>
            </w:pPr>
          </w:p>
          <w:p w14:paraId="0765F9C1">
            <w:pPr>
              <w:pStyle w:val="11"/>
              <w:numPr>
                <w:ilvl w:val="0"/>
                <w:numId w:val="0"/>
              </w:numPr>
              <w:rPr>
                <w:b/>
                <w:bCs/>
                <w:color w:val="auto"/>
                <w:sz w:val="24"/>
                <w:szCs w:val="24"/>
              </w:rPr>
            </w:pPr>
          </w:p>
          <w:p w14:paraId="29E229CF">
            <w:pPr>
              <w:pStyle w:val="11"/>
              <w:numPr>
                <w:ilvl w:val="0"/>
                <w:numId w:val="0"/>
              </w:numPr>
              <w:rPr>
                <w:b/>
                <w:bCs/>
                <w:color w:val="auto"/>
                <w:sz w:val="24"/>
                <w:szCs w:val="24"/>
              </w:rPr>
            </w:pPr>
          </w:p>
          <w:p w14:paraId="6CCC8DD4">
            <w:pPr>
              <w:pStyle w:val="7"/>
              <w:rPr>
                <w:b/>
                <w:bCs/>
                <w:color w:val="auto"/>
                <w:sz w:val="24"/>
                <w:szCs w:val="24"/>
                <w:lang w:val="en-US" w:eastAsia="zh-CN"/>
              </w:rPr>
            </w:pPr>
          </w:p>
          <w:p w14:paraId="7BF7F1F5">
            <w:pPr>
              <w:pStyle w:val="11"/>
              <w:numPr>
                <w:ilvl w:val="0"/>
                <w:numId w:val="0"/>
              </w:numPr>
              <w:rPr>
                <w:b/>
                <w:bCs/>
                <w:color w:val="auto"/>
                <w:sz w:val="24"/>
                <w:szCs w:val="24"/>
              </w:rPr>
            </w:pPr>
          </w:p>
          <w:p w14:paraId="7560B81B">
            <w:pPr>
              <w:pStyle w:val="7"/>
              <w:rPr>
                <w:b/>
                <w:bCs/>
                <w:color w:val="auto"/>
                <w:sz w:val="24"/>
                <w:szCs w:val="24"/>
                <w:lang w:val="en-US" w:eastAsia="zh-CN"/>
              </w:rPr>
            </w:pPr>
          </w:p>
          <w:p w14:paraId="206F66F1">
            <w:pPr>
              <w:pStyle w:val="18"/>
              <w:jc w:val="both"/>
              <w:outlineLvl w:val="0"/>
              <w:rPr>
                <w:rFonts w:ascii="Times New Roman" w:hAnsi="Times New Roman"/>
                <w:snapToGrid w:val="0"/>
                <w:color w:val="auto"/>
                <w:sz w:val="24"/>
                <w:szCs w:val="24"/>
                <w:lang w:val="en-US" w:eastAsia="zh-CN"/>
              </w:rPr>
            </w:pPr>
          </w:p>
        </w:tc>
      </w:tr>
    </w:tbl>
    <w:p w14:paraId="3567773D">
      <w:pPr>
        <w:pStyle w:val="18"/>
        <w:jc w:val="center"/>
        <w:outlineLvl w:val="0"/>
        <w:rPr>
          <w:rFonts w:ascii="Times New Roman" w:hAnsi="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8A185BD">
      <w:pPr>
        <w:pStyle w:val="18"/>
        <w:numPr>
          <w:ilvl w:val="0"/>
          <w:numId w:val="11"/>
        </w:numPr>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建设项目工程分析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8519"/>
      </w:tblGrid>
      <w:tr w14:paraId="462C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1" w:type="dxa"/>
            <w:noWrap w:val="0"/>
            <w:vAlign w:val="center"/>
          </w:tcPr>
          <w:p w14:paraId="12C114AF">
            <w:pPr>
              <w:spacing w:line="360" w:lineRule="exact"/>
              <w:jc w:val="center"/>
              <w:rPr>
                <w:color w:val="auto"/>
                <w:spacing w:val="-2"/>
                <w:sz w:val="24"/>
                <w:szCs w:val="24"/>
                <w:highlight w:val="none"/>
              </w:rPr>
            </w:pPr>
            <w:r>
              <w:rPr>
                <w:color w:val="auto"/>
                <w:sz w:val="24"/>
                <w:szCs w:val="24"/>
                <w:highlight w:val="none"/>
              </w:rPr>
              <w:t>建设内容</w:t>
            </w:r>
          </w:p>
        </w:tc>
        <w:tc>
          <w:tcPr>
            <w:tcW w:w="8519" w:type="dxa"/>
            <w:noWrap w:val="0"/>
            <w:vAlign w:val="center"/>
          </w:tcPr>
          <w:p w14:paraId="5F92AC60">
            <w:pPr>
              <w:keepNext w:val="0"/>
              <w:keepLines w:val="0"/>
              <w:pageBreakBefore w:val="0"/>
              <w:widowControl w:val="0"/>
              <w:kinsoku/>
              <w:wordWrap/>
              <w:overflowPunct/>
              <w:topLinePunct w:val="0"/>
              <w:autoSpaceDE w:val="0"/>
              <w:autoSpaceDN w:val="0"/>
              <w:bidi w:val="0"/>
              <w:adjustRightInd w:val="0"/>
              <w:snapToGrid w:val="0"/>
              <w:spacing w:line="480" w:lineRule="exact"/>
              <w:ind w:right="0" w:firstLine="482" w:firstLineChars="200"/>
              <w:textAlignment w:val="auto"/>
              <w:rPr>
                <w:b/>
                <w:bCs/>
                <w:color w:val="auto"/>
                <w:kern w:val="0"/>
                <w:sz w:val="24"/>
                <w:szCs w:val="24"/>
                <w:highlight w:val="none"/>
              </w:rPr>
            </w:pPr>
            <w:r>
              <w:rPr>
                <w:b/>
                <w:bCs/>
                <w:color w:val="auto"/>
                <w:kern w:val="0"/>
                <w:sz w:val="24"/>
                <w:szCs w:val="24"/>
                <w:highlight w:val="none"/>
              </w:rPr>
              <w:t>1、项目由来</w:t>
            </w:r>
          </w:p>
          <w:p w14:paraId="799F2471">
            <w:pPr>
              <w:keepNext w:val="0"/>
              <w:keepLines w:val="0"/>
              <w:pageBreakBefore w:val="0"/>
              <w:widowControl w:val="0"/>
              <w:kinsoku/>
              <w:wordWrap/>
              <w:overflowPunct/>
              <w:topLinePunct w:val="0"/>
              <w:bidi w:val="0"/>
              <w:spacing w:line="480" w:lineRule="exact"/>
              <w:ind w:right="0" w:firstLine="472" w:firstLineChars="200"/>
              <w:textAlignment w:val="auto"/>
              <w:rPr>
                <w:rFonts w:hint="default" w:eastAsia="宋体"/>
                <w:color w:val="auto"/>
                <w:spacing w:val="-2"/>
                <w:sz w:val="24"/>
                <w:szCs w:val="24"/>
                <w:highlight w:val="none"/>
                <w:lang w:val="en-US" w:eastAsia="zh-CN"/>
              </w:rPr>
            </w:pPr>
            <w:bookmarkStart w:id="23" w:name="OLE_LINK4"/>
            <w:r>
              <w:rPr>
                <w:rFonts w:hint="eastAsia"/>
                <w:color w:val="auto"/>
                <w:spacing w:val="-2"/>
                <w:sz w:val="24"/>
                <w:szCs w:val="24"/>
                <w:highlight w:val="none"/>
                <w:lang w:eastAsia="zh-CN"/>
              </w:rPr>
              <w:t>博帝生物技术（常州）有限公司</w:t>
            </w:r>
            <w:bookmarkEnd w:id="23"/>
            <w:r>
              <w:rPr>
                <w:color w:val="auto"/>
                <w:spacing w:val="-2"/>
                <w:sz w:val="24"/>
                <w:szCs w:val="24"/>
                <w:highlight w:val="none"/>
              </w:rPr>
              <w:t>成立于20</w:t>
            </w:r>
            <w:r>
              <w:rPr>
                <w:rFonts w:hint="eastAsia"/>
                <w:color w:val="auto"/>
                <w:spacing w:val="-2"/>
                <w:sz w:val="24"/>
                <w:szCs w:val="24"/>
                <w:highlight w:val="none"/>
                <w:lang w:val="en-US" w:eastAsia="zh-CN"/>
              </w:rPr>
              <w:t>24</w:t>
            </w:r>
            <w:r>
              <w:rPr>
                <w:color w:val="auto"/>
                <w:spacing w:val="-2"/>
                <w:sz w:val="24"/>
                <w:szCs w:val="24"/>
                <w:highlight w:val="none"/>
              </w:rPr>
              <w:t>年0</w:t>
            </w:r>
            <w:r>
              <w:rPr>
                <w:rFonts w:hint="eastAsia"/>
                <w:color w:val="auto"/>
                <w:spacing w:val="-2"/>
                <w:sz w:val="24"/>
                <w:szCs w:val="24"/>
                <w:highlight w:val="none"/>
                <w:lang w:val="en-US" w:eastAsia="zh-CN"/>
              </w:rPr>
              <w:t>2</w:t>
            </w:r>
            <w:r>
              <w:rPr>
                <w:color w:val="auto"/>
                <w:spacing w:val="-2"/>
                <w:sz w:val="24"/>
                <w:szCs w:val="24"/>
                <w:highlight w:val="none"/>
              </w:rPr>
              <w:t>月</w:t>
            </w:r>
            <w:r>
              <w:rPr>
                <w:rFonts w:hint="eastAsia"/>
                <w:color w:val="auto"/>
                <w:spacing w:val="-2"/>
                <w:sz w:val="24"/>
                <w:szCs w:val="24"/>
                <w:highlight w:val="none"/>
                <w:lang w:val="en-US" w:eastAsia="zh-CN"/>
              </w:rPr>
              <w:t>06</w:t>
            </w:r>
            <w:r>
              <w:rPr>
                <w:color w:val="auto"/>
                <w:spacing w:val="-2"/>
                <w:sz w:val="24"/>
                <w:szCs w:val="24"/>
                <w:highlight w:val="none"/>
              </w:rPr>
              <w:t>日，位于常州市金坛区</w:t>
            </w:r>
            <w:r>
              <w:rPr>
                <w:rFonts w:hint="eastAsia"/>
                <w:color w:val="auto"/>
                <w:spacing w:val="-2"/>
                <w:sz w:val="24"/>
                <w:szCs w:val="24"/>
                <w:highlight w:val="none"/>
                <w:lang w:eastAsia="zh-CN"/>
              </w:rPr>
              <w:t>西城路118号</w:t>
            </w:r>
            <w:r>
              <w:rPr>
                <w:color w:val="auto"/>
                <w:spacing w:val="-2"/>
                <w:sz w:val="24"/>
                <w:szCs w:val="24"/>
                <w:highlight w:val="none"/>
              </w:rPr>
              <w:t>，</w:t>
            </w:r>
            <w:r>
              <w:rPr>
                <w:rFonts w:hint="default" w:ascii="Times New Roman" w:hAnsi="Times New Roman" w:eastAsia="宋体" w:cs="Times New Roman"/>
                <w:color w:val="auto"/>
                <w:sz w:val="24"/>
                <w:lang w:eastAsia="zh-CN"/>
              </w:rPr>
              <w:t>蓝色彩虹(常州)孵化器有限公司</w:t>
            </w:r>
            <w:r>
              <w:rPr>
                <w:rFonts w:hint="default" w:ascii="Times New Roman" w:hAnsi="Times New Roman" w:eastAsia="宋体" w:cs="Times New Roman"/>
                <w:color w:val="auto"/>
                <w:sz w:val="24"/>
                <w:lang w:val="en-US" w:eastAsia="zh-CN"/>
              </w:rPr>
              <w:t>内的现有空置厂房</w:t>
            </w:r>
            <w:r>
              <w:rPr>
                <w:rFonts w:hint="eastAsia" w:ascii="Times New Roman" w:hAnsi="Times New Roman" w:eastAsia="宋体" w:cs="Times New Roman"/>
                <w:color w:val="auto"/>
                <w:sz w:val="24"/>
                <w:lang w:val="en-US" w:eastAsia="zh-CN"/>
              </w:rPr>
              <w:t>，</w:t>
            </w:r>
            <w:r>
              <w:rPr>
                <w:color w:val="auto"/>
                <w:spacing w:val="-2"/>
                <w:sz w:val="24"/>
                <w:szCs w:val="24"/>
                <w:highlight w:val="none"/>
              </w:rPr>
              <w:t>占地面积</w:t>
            </w:r>
            <w:r>
              <w:rPr>
                <w:rFonts w:hint="eastAsia"/>
                <w:color w:val="auto"/>
                <w:spacing w:val="-2"/>
                <w:sz w:val="24"/>
                <w:szCs w:val="24"/>
                <w:highlight w:val="none"/>
                <w:lang w:val="en-US" w:eastAsia="zh-CN"/>
              </w:rPr>
              <w:t>156</w:t>
            </w:r>
            <w:r>
              <w:rPr>
                <w:color w:val="auto"/>
                <w:spacing w:val="-2"/>
                <w:sz w:val="24"/>
                <w:szCs w:val="24"/>
                <w:highlight w:val="none"/>
              </w:rPr>
              <w:t>m</w:t>
            </w:r>
            <w:r>
              <w:rPr>
                <w:color w:val="auto"/>
                <w:spacing w:val="-2"/>
                <w:sz w:val="24"/>
                <w:szCs w:val="24"/>
                <w:highlight w:val="none"/>
                <w:vertAlign w:val="superscript"/>
              </w:rPr>
              <w:t>2</w:t>
            </w:r>
            <w:r>
              <w:rPr>
                <w:color w:val="auto"/>
                <w:spacing w:val="-2"/>
                <w:sz w:val="24"/>
                <w:szCs w:val="24"/>
                <w:highlight w:val="none"/>
              </w:rPr>
              <w:t>，</w:t>
            </w:r>
            <w:r>
              <w:rPr>
                <w:rFonts w:hint="eastAsia"/>
                <w:color w:val="auto"/>
                <w:spacing w:val="-2"/>
                <w:sz w:val="24"/>
                <w:szCs w:val="24"/>
                <w:highlight w:val="none"/>
              </w:rPr>
              <w:t>主要以代谢工程和合成生物学技术改造基因工程菌实验为主。</w:t>
            </w:r>
            <w:r>
              <w:rPr>
                <w:rFonts w:hint="eastAsia"/>
                <w:color w:val="auto"/>
                <w:spacing w:val="-2"/>
                <w:sz w:val="24"/>
                <w:szCs w:val="24"/>
                <w:highlight w:val="none"/>
                <w:lang w:val="en-US" w:eastAsia="zh-CN"/>
              </w:rPr>
              <w:t>经营范围为：一般项目：生物基材料技术研发；自然科学研究和试验发展；工程和技术研究和试验发展；细胞技术研发和应用；化工产品销售（不含许可类化工产品）；技术服务、技术开发、技术咨询、技术交流、技术转让、技术推广；电子产品销售；光学仪器销售；玻璃仪器销售；电子测量仪器销售；试验分析仪器销售；仪器仪表销售；终端测试设备销售；轨道交通机械及零部件销售；建筑工程用机械销售；特种设备销售；机械设备销售；机械电气设备销售；电子专用设备销售；保健食品（预包装）销售；食品销售（仅销售预包装食品）（除依法须经批准的项目外，凭营业执照依法自主开展经营活动）。</w:t>
            </w:r>
          </w:p>
          <w:p w14:paraId="50BCD51A">
            <w:pPr>
              <w:keepNext w:val="0"/>
              <w:keepLines w:val="0"/>
              <w:pageBreakBefore w:val="0"/>
              <w:widowControl w:val="0"/>
              <w:kinsoku/>
              <w:wordWrap/>
              <w:overflowPunct/>
              <w:topLinePunct w:val="0"/>
              <w:bidi w:val="0"/>
              <w:spacing w:line="480" w:lineRule="exact"/>
              <w:ind w:right="0" w:firstLine="472" w:firstLineChars="200"/>
              <w:textAlignment w:val="auto"/>
              <w:rPr>
                <w:color w:val="auto"/>
                <w:spacing w:val="-2"/>
                <w:sz w:val="24"/>
                <w:szCs w:val="24"/>
                <w:highlight w:val="none"/>
              </w:rPr>
            </w:pPr>
            <w:bookmarkStart w:id="24" w:name="OLE_LINK52"/>
            <w:r>
              <w:rPr>
                <w:rFonts w:hint="eastAsia"/>
                <w:color w:val="auto"/>
                <w:spacing w:val="-2"/>
                <w:sz w:val="24"/>
                <w:szCs w:val="24"/>
                <w:highlight w:val="none"/>
                <w:lang w:eastAsia="zh-CN"/>
              </w:rPr>
              <w:t>博帝生物技术（常州）有限公司</w:t>
            </w:r>
            <w:r>
              <w:rPr>
                <w:color w:val="auto"/>
                <w:spacing w:val="-2"/>
                <w:sz w:val="24"/>
                <w:szCs w:val="24"/>
                <w:highlight w:val="none"/>
              </w:rPr>
              <w:t>拟投资</w:t>
            </w:r>
            <w:r>
              <w:rPr>
                <w:rFonts w:hint="eastAsia"/>
                <w:color w:val="auto"/>
                <w:spacing w:val="-2"/>
                <w:sz w:val="24"/>
                <w:szCs w:val="24"/>
                <w:highlight w:val="none"/>
                <w:lang w:val="en-US" w:eastAsia="zh-CN"/>
              </w:rPr>
              <w:t>300</w:t>
            </w:r>
            <w:r>
              <w:rPr>
                <w:rFonts w:hint="eastAsia"/>
                <w:color w:val="auto"/>
                <w:spacing w:val="-2"/>
                <w:sz w:val="24"/>
                <w:szCs w:val="24"/>
                <w:highlight w:val="none"/>
              </w:rPr>
              <w:t>0</w:t>
            </w:r>
            <w:r>
              <w:rPr>
                <w:color w:val="auto"/>
                <w:spacing w:val="-2"/>
                <w:sz w:val="24"/>
                <w:szCs w:val="24"/>
                <w:highlight w:val="none"/>
              </w:rPr>
              <w:t>万元，</w:t>
            </w:r>
            <w:r>
              <w:rPr>
                <w:rFonts w:hint="eastAsia"/>
                <w:color w:val="auto"/>
                <w:spacing w:val="-2"/>
                <w:sz w:val="24"/>
                <w:szCs w:val="24"/>
                <w:highlight w:val="none"/>
                <w:lang w:val="en-US" w:eastAsia="zh-CN"/>
              </w:rPr>
              <w:t>租用</w:t>
            </w:r>
            <w:r>
              <w:rPr>
                <w:rFonts w:hint="eastAsia"/>
                <w:color w:val="auto"/>
                <w:spacing w:val="-2"/>
                <w:sz w:val="24"/>
                <w:szCs w:val="24"/>
                <w:highlight w:val="none"/>
              </w:rPr>
              <w:t>厂房</w:t>
            </w:r>
            <w:r>
              <w:rPr>
                <w:rFonts w:hint="eastAsia"/>
                <w:color w:val="auto"/>
                <w:spacing w:val="-2"/>
                <w:sz w:val="24"/>
                <w:szCs w:val="24"/>
                <w:highlight w:val="none"/>
                <w:lang w:val="en-US" w:eastAsia="zh-CN"/>
              </w:rPr>
              <w:t>156</w:t>
            </w:r>
            <w:r>
              <w:rPr>
                <w:color w:val="auto"/>
                <w:spacing w:val="-2"/>
                <w:sz w:val="24"/>
                <w:szCs w:val="24"/>
                <w:highlight w:val="none"/>
              </w:rPr>
              <w:t>m</w:t>
            </w:r>
            <w:r>
              <w:rPr>
                <w:color w:val="auto"/>
                <w:spacing w:val="-2"/>
                <w:sz w:val="24"/>
                <w:szCs w:val="24"/>
                <w:highlight w:val="none"/>
                <w:vertAlign w:val="superscript"/>
              </w:rPr>
              <w:t>2</w:t>
            </w:r>
            <w:r>
              <w:rPr>
                <w:color w:val="auto"/>
                <w:spacing w:val="-2"/>
                <w:sz w:val="24"/>
                <w:szCs w:val="24"/>
                <w:highlight w:val="none"/>
              </w:rPr>
              <w:t>，</w:t>
            </w:r>
            <w:r>
              <w:rPr>
                <w:rFonts w:hint="eastAsia"/>
                <w:color w:val="auto"/>
                <w:spacing w:val="-2"/>
                <w:sz w:val="24"/>
                <w:szCs w:val="24"/>
                <w:highlight w:val="none"/>
                <w:lang w:val="en-US" w:eastAsia="zh-CN"/>
              </w:rPr>
              <w:t>建设实验室，实现从上游菌种构建到下游发酵罐发酵的工艺开发和优化；</w:t>
            </w:r>
            <w:r>
              <w:rPr>
                <w:rFonts w:hint="eastAsia"/>
                <w:color w:val="auto"/>
                <w:spacing w:val="-2"/>
                <w:sz w:val="24"/>
                <w:szCs w:val="24"/>
                <w:highlight w:val="none"/>
              </w:rPr>
              <w:t>同时</w:t>
            </w:r>
            <w:r>
              <w:rPr>
                <w:rFonts w:hint="eastAsia"/>
                <w:color w:val="auto"/>
                <w:spacing w:val="-2"/>
                <w:sz w:val="24"/>
                <w:szCs w:val="24"/>
                <w:highlight w:val="none"/>
                <w:lang w:val="en-US" w:eastAsia="zh-CN"/>
              </w:rPr>
              <w:t>购置冰箱、生化培养箱、灭菌锅、超声波清洗仪</w:t>
            </w:r>
            <w:r>
              <w:rPr>
                <w:rFonts w:hint="eastAsia"/>
                <w:color w:val="auto"/>
                <w:spacing w:val="-2"/>
                <w:sz w:val="24"/>
                <w:szCs w:val="24"/>
                <w:highlight w:val="none"/>
              </w:rPr>
              <w:t>等</w:t>
            </w:r>
            <w:r>
              <w:rPr>
                <w:rFonts w:hint="eastAsia"/>
                <w:color w:val="auto"/>
                <w:spacing w:val="-2"/>
                <w:sz w:val="24"/>
                <w:szCs w:val="24"/>
                <w:highlight w:val="none"/>
                <w:lang w:val="en-US" w:eastAsia="zh-CN"/>
              </w:rPr>
              <w:t>实验</w:t>
            </w:r>
            <w:r>
              <w:rPr>
                <w:rFonts w:hint="eastAsia"/>
                <w:color w:val="auto"/>
                <w:spacing w:val="-2"/>
                <w:sz w:val="24"/>
                <w:szCs w:val="24"/>
                <w:highlight w:val="none"/>
              </w:rPr>
              <w:t>设备，项目建成后，</w:t>
            </w:r>
            <w:r>
              <w:rPr>
                <w:rFonts w:hint="eastAsia"/>
                <w:color w:val="auto"/>
                <w:spacing w:val="-2"/>
                <w:sz w:val="24"/>
                <w:szCs w:val="24"/>
                <w:highlight w:val="none"/>
                <w:lang w:val="en-US" w:eastAsia="zh-CN"/>
              </w:rPr>
              <w:t>每年实验产品5-羟基色氨酸5kg，色氨酸10kg</w:t>
            </w:r>
            <w:bookmarkEnd w:id="24"/>
            <w:r>
              <w:rPr>
                <w:rFonts w:hint="eastAsia"/>
                <w:color w:val="auto"/>
                <w:spacing w:val="-2"/>
                <w:sz w:val="24"/>
                <w:szCs w:val="24"/>
                <w:highlight w:val="none"/>
                <w:lang w:val="en-US" w:eastAsia="zh-CN"/>
              </w:rPr>
              <w:t>；</w:t>
            </w:r>
            <w:r>
              <w:rPr>
                <w:rFonts w:hint="eastAsia"/>
                <w:color w:val="auto"/>
                <w:spacing w:val="-2"/>
                <w:sz w:val="24"/>
                <w:szCs w:val="24"/>
                <w:highlight w:val="none"/>
              </w:rPr>
              <w:t>于2024年</w:t>
            </w:r>
            <w:r>
              <w:rPr>
                <w:rFonts w:hint="eastAsia"/>
                <w:color w:val="auto"/>
                <w:spacing w:val="-2"/>
                <w:sz w:val="24"/>
                <w:szCs w:val="24"/>
                <w:highlight w:val="none"/>
                <w:lang w:val="en-US" w:eastAsia="zh-CN"/>
              </w:rPr>
              <w:t>12</w:t>
            </w:r>
            <w:r>
              <w:rPr>
                <w:rFonts w:hint="eastAsia"/>
                <w:color w:val="auto"/>
                <w:spacing w:val="-2"/>
                <w:sz w:val="24"/>
                <w:szCs w:val="24"/>
                <w:highlight w:val="none"/>
              </w:rPr>
              <w:t>月</w:t>
            </w:r>
            <w:r>
              <w:rPr>
                <w:rFonts w:hint="eastAsia"/>
                <w:color w:val="auto"/>
                <w:spacing w:val="-2"/>
                <w:sz w:val="24"/>
                <w:szCs w:val="24"/>
                <w:highlight w:val="none"/>
                <w:lang w:val="en-US" w:eastAsia="zh-CN"/>
              </w:rPr>
              <w:t>20</w:t>
            </w:r>
            <w:r>
              <w:rPr>
                <w:rFonts w:hint="eastAsia"/>
                <w:color w:val="auto"/>
                <w:spacing w:val="-2"/>
                <w:sz w:val="24"/>
                <w:szCs w:val="24"/>
                <w:highlight w:val="none"/>
              </w:rPr>
              <w:t>日取得了江苏金坛经济开发区经济发展局出具的江苏省投资项目备案证（备案证号：坛开经发备字[2024]</w:t>
            </w:r>
            <w:r>
              <w:rPr>
                <w:rFonts w:hint="eastAsia"/>
                <w:color w:val="auto"/>
                <w:spacing w:val="-2"/>
                <w:sz w:val="24"/>
                <w:szCs w:val="24"/>
                <w:highlight w:val="none"/>
                <w:lang w:val="en-US" w:eastAsia="zh-CN"/>
              </w:rPr>
              <w:t>286</w:t>
            </w:r>
            <w:r>
              <w:rPr>
                <w:rFonts w:hint="eastAsia"/>
                <w:color w:val="auto"/>
                <w:spacing w:val="-2"/>
                <w:sz w:val="24"/>
                <w:szCs w:val="24"/>
                <w:highlight w:val="none"/>
              </w:rPr>
              <w:t>号</w:t>
            </w:r>
            <w:r>
              <w:rPr>
                <w:rFonts w:hint="eastAsia"/>
                <w:color w:val="auto"/>
                <w:spacing w:val="-2"/>
                <w:sz w:val="24"/>
                <w:szCs w:val="24"/>
                <w:highlight w:val="none"/>
                <w:lang w:eastAsia="zh-CN"/>
              </w:rPr>
              <w:t>，</w:t>
            </w:r>
            <w:r>
              <w:rPr>
                <w:rFonts w:hint="eastAsia"/>
                <w:color w:val="auto"/>
                <w:spacing w:val="-2"/>
                <w:sz w:val="24"/>
                <w:szCs w:val="24"/>
                <w:highlight w:val="none"/>
                <w:lang w:val="en-US" w:eastAsia="zh-CN"/>
              </w:rPr>
              <w:t>项目代码：</w:t>
            </w:r>
            <w:r>
              <w:rPr>
                <w:rFonts w:hint="eastAsia"/>
                <w:color w:val="auto"/>
                <w:sz w:val="24"/>
                <w:szCs w:val="24"/>
                <w:highlight w:val="none"/>
                <w:lang w:eastAsia="zh-CN"/>
              </w:rPr>
              <w:t>2412-320458-89-01-346613</w:t>
            </w:r>
            <w:r>
              <w:rPr>
                <w:rFonts w:hint="eastAsia"/>
                <w:color w:val="auto"/>
                <w:spacing w:val="-2"/>
                <w:sz w:val="24"/>
                <w:szCs w:val="24"/>
                <w:highlight w:val="none"/>
              </w:rPr>
              <w:t>）。</w:t>
            </w:r>
          </w:p>
          <w:p w14:paraId="73DC8682">
            <w:pPr>
              <w:keepNext w:val="0"/>
              <w:keepLines w:val="0"/>
              <w:pageBreakBefore w:val="0"/>
              <w:widowControl w:val="0"/>
              <w:kinsoku/>
              <w:wordWrap/>
              <w:overflowPunct/>
              <w:topLinePunct w:val="0"/>
              <w:bidi w:val="0"/>
              <w:spacing w:line="480" w:lineRule="exact"/>
              <w:ind w:right="0" w:firstLine="472" w:firstLineChars="200"/>
              <w:textAlignment w:val="auto"/>
              <w:rPr>
                <w:color w:val="auto"/>
                <w:spacing w:val="-2"/>
                <w:sz w:val="24"/>
                <w:szCs w:val="24"/>
                <w:highlight w:val="none"/>
              </w:rPr>
            </w:pPr>
            <w:r>
              <w:rPr>
                <w:color w:val="auto"/>
                <w:spacing w:val="-2"/>
                <w:sz w:val="24"/>
                <w:szCs w:val="24"/>
                <w:highlight w:val="none"/>
              </w:rPr>
              <w:t>根据《中华人民共和国环境影响评价法》</w:t>
            </w:r>
            <w:r>
              <w:rPr>
                <w:rFonts w:hint="eastAsia"/>
                <w:color w:val="auto"/>
                <w:spacing w:val="-2"/>
                <w:sz w:val="24"/>
                <w:szCs w:val="24"/>
                <w:highlight w:val="none"/>
                <w:lang w:eastAsia="zh-CN"/>
              </w:rPr>
              <w:t>、</w:t>
            </w:r>
            <w:r>
              <w:rPr>
                <w:color w:val="auto"/>
                <w:spacing w:val="-2"/>
                <w:sz w:val="24"/>
                <w:szCs w:val="24"/>
                <w:highlight w:val="none"/>
              </w:rPr>
              <w:t>《建设项目环境影响评价分类管理名录》及《建设项目环境影响评价分级审批规定》的规定，本项目属于“</w:t>
            </w:r>
            <w:r>
              <w:rPr>
                <w:rFonts w:hint="eastAsia"/>
                <w:color w:val="auto"/>
                <w:spacing w:val="-2"/>
                <w:sz w:val="24"/>
                <w:szCs w:val="24"/>
                <w:highlight w:val="none"/>
                <w:lang w:val="en-US" w:eastAsia="zh-CN"/>
              </w:rPr>
              <w:t>四十五</w:t>
            </w:r>
            <w:r>
              <w:rPr>
                <w:rFonts w:hint="eastAsia"/>
                <w:color w:val="auto"/>
                <w:spacing w:val="-2"/>
                <w:sz w:val="24"/>
                <w:szCs w:val="24"/>
                <w:highlight w:val="none"/>
              </w:rPr>
              <w:t>、</w:t>
            </w:r>
            <w:r>
              <w:rPr>
                <w:rFonts w:hint="eastAsia"/>
                <w:color w:val="auto"/>
                <w:spacing w:val="-2"/>
                <w:sz w:val="24"/>
                <w:szCs w:val="24"/>
                <w:highlight w:val="none"/>
                <w:lang w:val="en-US" w:eastAsia="zh-CN"/>
              </w:rPr>
              <w:t>研究和试验发展——98、专业实验室、研发（试验）基地</w:t>
            </w:r>
            <w:r>
              <w:rPr>
                <w:color w:val="auto"/>
                <w:spacing w:val="-2"/>
                <w:sz w:val="24"/>
                <w:szCs w:val="24"/>
                <w:highlight w:val="none"/>
              </w:rPr>
              <w:t>”</w:t>
            </w:r>
            <w:r>
              <w:rPr>
                <w:rFonts w:hint="eastAsia"/>
                <w:color w:val="auto"/>
                <w:spacing w:val="-2"/>
                <w:sz w:val="24"/>
                <w:szCs w:val="24"/>
                <w:highlight w:val="none"/>
                <w:lang w:val="en-US" w:eastAsia="zh-CN"/>
              </w:rPr>
              <w:t>中的“其他（不产生废气、废水、危废的除外）”</w:t>
            </w:r>
            <w:r>
              <w:rPr>
                <w:color w:val="auto"/>
                <w:spacing w:val="-2"/>
                <w:sz w:val="24"/>
                <w:szCs w:val="24"/>
                <w:highlight w:val="none"/>
              </w:rPr>
              <w:t>，需编制环境影响报告表。为此</w:t>
            </w:r>
            <w:r>
              <w:rPr>
                <w:rFonts w:hint="eastAsia"/>
                <w:color w:val="auto"/>
                <w:spacing w:val="-2"/>
                <w:sz w:val="24"/>
                <w:szCs w:val="24"/>
                <w:highlight w:val="none"/>
                <w:lang w:eastAsia="zh-CN"/>
              </w:rPr>
              <w:t>博帝生物技术（常州）有限公司</w:t>
            </w:r>
            <w:r>
              <w:rPr>
                <w:color w:val="auto"/>
                <w:spacing w:val="-2"/>
                <w:sz w:val="24"/>
                <w:szCs w:val="24"/>
                <w:highlight w:val="none"/>
              </w:rPr>
              <w:t>委托</w:t>
            </w:r>
            <w:r>
              <w:rPr>
                <w:rFonts w:hint="eastAsia"/>
                <w:color w:val="auto"/>
                <w:spacing w:val="-2"/>
                <w:sz w:val="24"/>
                <w:szCs w:val="24"/>
                <w:highlight w:val="none"/>
                <w:lang w:eastAsia="zh-CN"/>
              </w:rPr>
              <w:t>常州爱森环保科技有限公司</w:t>
            </w:r>
            <w:r>
              <w:rPr>
                <w:color w:val="auto"/>
                <w:spacing w:val="-2"/>
                <w:sz w:val="24"/>
                <w:szCs w:val="24"/>
                <w:highlight w:val="none"/>
              </w:rPr>
              <w:t>承担该项目的编制工作，经过现场勘查及工程分析，依据《建设项目环境影响报告表编制技术指南（污染影响类）（试行）》的要求，编制了该项目的环境影响报告表。</w:t>
            </w:r>
          </w:p>
        </w:tc>
      </w:tr>
    </w:tbl>
    <w:p w14:paraId="2DCCEF4A">
      <w:pPr>
        <w:spacing w:line="360" w:lineRule="exact"/>
        <w:rPr>
          <w:color w:val="auto"/>
          <w:spacing w:val="-2"/>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8545"/>
      </w:tblGrid>
      <w:tr w14:paraId="3307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9" w:hRule="atLeast"/>
        </w:trPr>
        <w:tc>
          <w:tcPr>
            <w:tcW w:w="515" w:type="dxa"/>
            <w:noWrap w:val="0"/>
            <w:vAlign w:val="center"/>
          </w:tcPr>
          <w:p w14:paraId="7ADD56A4">
            <w:pPr>
              <w:spacing w:line="360" w:lineRule="exact"/>
              <w:jc w:val="center"/>
              <w:rPr>
                <w:color w:val="auto"/>
                <w:sz w:val="24"/>
                <w:szCs w:val="24"/>
              </w:rPr>
            </w:pPr>
            <w:r>
              <w:rPr>
                <w:color w:val="auto"/>
                <w:sz w:val="24"/>
                <w:szCs w:val="24"/>
              </w:rPr>
              <w:t>建设内容</w:t>
            </w:r>
          </w:p>
          <w:p w14:paraId="393CD59B">
            <w:pPr>
              <w:spacing w:line="360" w:lineRule="exact"/>
              <w:jc w:val="center"/>
              <w:rPr>
                <w:color w:val="auto"/>
                <w:spacing w:val="-2"/>
                <w:sz w:val="24"/>
                <w:szCs w:val="24"/>
              </w:rPr>
            </w:pPr>
          </w:p>
        </w:tc>
        <w:tc>
          <w:tcPr>
            <w:tcW w:w="8545" w:type="dxa"/>
            <w:noWrap w:val="0"/>
            <w:vAlign w:val="center"/>
          </w:tcPr>
          <w:p w14:paraId="195B9164">
            <w:pPr>
              <w:keepNext w:val="0"/>
              <w:keepLines w:val="0"/>
              <w:pageBreakBefore w:val="0"/>
              <w:widowControl w:val="0"/>
              <w:kinsoku/>
              <w:wordWrap/>
              <w:overflowPunct/>
              <w:topLinePunct w:val="0"/>
              <w:autoSpaceDE/>
              <w:autoSpaceDN/>
              <w:bidi w:val="0"/>
              <w:adjustRightInd/>
              <w:snapToGrid/>
              <w:spacing w:line="480" w:lineRule="exact"/>
              <w:textAlignment w:val="auto"/>
              <w:rPr>
                <w:color w:val="auto"/>
                <w:spacing w:val="-2"/>
                <w:sz w:val="24"/>
                <w:szCs w:val="24"/>
              </w:rPr>
            </w:pPr>
            <w:r>
              <w:rPr>
                <w:b/>
                <w:bCs/>
                <w:color w:val="auto"/>
                <w:kern w:val="0"/>
                <w:sz w:val="24"/>
                <w:szCs w:val="24"/>
              </w:rPr>
              <w:t>2、产品方案</w:t>
            </w:r>
          </w:p>
          <w:p w14:paraId="5A5EFE95">
            <w:pPr>
              <w:keepNext w:val="0"/>
              <w:keepLines w:val="0"/>
              <w:pageBreakBefore w:val="0"/>
              <w:widowControl w:val="0"/>
              <w:kinsoku/>
              <w:wordWrap/>
              <w:overflowPunct/>
              <w:topLinePunct w:val="0"/>
              <w:autoSpaceDE/>
              <w:autoSpaceDN/>
              <w:bidi w:val="0"/>
              <w:adjustRightInd/>
              <w:snapToGrid/>
              <w:spacing w:line="480" w:lineRule="exact"/>
              <w:ind w:firstLine="472" w:firstLineChars="200"/>
              <w:textAlignment w:val="auto"/>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color w:val="000000" w:themeColor="text1"/>
                <w:spacing w:val="-2"/>
                <w:sz w:val="24"/>
                <w:szCs w:val="24"/>
                <w14:textFill>
                  <w14:solidFill>
                    <w14:schemeClr w14:val="tx1"/>
                  </w14:solidFill>
                </w14:textFill>
              </w:rPr>
              <w:t>本项目产品方案见表2-1。</w:t>
            </w:r>
          </w:p>
          <w:p w14:paraId="2D010639">
            <w:pPr>
              <w:tabs>
                <w:tab w:val="left" w:pos="2127"/>
                <w:tab w:val="center" w:pos="4452"/>
                <w:tab w:val="right" w:pos="8246"/>
              </w:tabs>
              <w:spacing w:line="36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表2-1  本项目产品方案</w:t>
            </w:r>
          </w:p>
          <w:tbl>
            <w:tblPr>
              <w:tblStyle w:val="96"/>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45" w:type="dxa"/>
                <w:bottom w:w="0" w:type="dxa"/>
                <w:right w:w="45" w:type="dxa"/>
              </w:tblCellMar>
            </w:tblPr>
            <w:tblGrid>
              <w:gridCol w:w="1341"/>
              <w:gridCol w:w="1097"/>
              <w:gridCol w:w="1236"/>
              <w:gridCol w:w="1414"/>
              <w:gridCol w:w="1559"/>
              <w:gridCol w:w="1674"/>
            </w:tblGrid>
            <w:tr w14:paraId="1CDD87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806" w:type="pct"/>
                  <w:tcBorders>
                    <w:tl2br w:val="nil"/>
                    <w:tr2bl w:val="nil"/>
                  </w:tcBorders>
                  <w:vAlign w:val="center"/>
                </w:tcPr>
                <w:p w14:paraId="34F34C2F">
                  <w:pPr>
                    <w:widowControl/>
                    <w:adjustRightInd w:val="0"/>
                    <w:snapToGrid w:val="0"/>
                    <w:spacing w:line="240" w:lineRule="auto"/>
                    <w:jc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14:textFill>
                        <w14:solidFill>
                          <w14:schemeClr w14:val="tx1"/>
                        </w14:solidFill>
                      </w14:textFill>
                    </w:rPr>
                    <w:t>产品名称</w:t>
                  </w:r>
                </w:p>
              </w:tc>
              <w:tc>
                <w:tcPr>
                  <w:tcW w:w="659" w:type="pct"/>
                  <w:tcBorders>
                    <w:tl2br w:val="nil"/>
                    <w:tr2bl w:val="nil"/>
                  </w:tcBorders>
                  <w:vAlign w:val="center"/>
                </w:tcPr>
                <w:p w14:paraId="7CC72690">
                  <w:pPr>
                    <w:widowControl/>
                    <w:adjustRightInd w:val="0"/>
                    <w:snapToGrid w:val="0"/>
                    <w:spacing w:line="240" w:lineRule="auto"/>
                    <w:jc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14:textFill>
                        <w14:solidFill>
                          <w14:schemeClr w14:val="tx1"/>
                        </w14:solidFill>
                      </w14:textFill>
                    </w:rPr>
                    <w:t>批次产量</w:t>
                  </w:r>
                </w:p>
                <w:p w14:paraId="5A09AF5F">
                  <w:pPr>
                    <w:widowControl/>
                    <w:adjustRightInd w:val="0"/>
                    <w:snapToGrid w:val="0"/>
                    <w:spacing w:line="240" w:lineRule="auto"/>
                    <w:jc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14:textFill>
                        <w14:solidFill>
                          <w14:schemeClr w14:val="tx1"/>
                        </w14:solidFill>
                      </w14:textFill>
                    </w:rPr>
                    <w:t>（g/批次）</w:t>
                  </w:r>
                </w:p>
              </w:tc>
              <w:tc>
                <w:tcPr>
                  <w:tcW w:w="742" w:type="pct"/>
                  <w:tcBorders>
                    <w:tl2br w:val="nil"/>
                    <w:tr2bl w:val="nil"/>
                  </w:tcBorders>
                  <w:vAlign w:val="center"/>
                </w:tcPr>
                <w:p w14:paraId="5FA1174F">
                  <w:pPr>
                    <w:widowControl/>
                    <w:adjustRightInd w:val="0"/>
                    <w:snapToGrid w:val="0"/>
                    <w:spacing w:line="240" w:lineRule="auto"/>
                    <w:jc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14:textFill>
                        <w14:solidFill>
                          <w14:schemeClr w14:val="tx1"/>
                        </w14:solidFill>
                      </w14:textFill>
                    </w:rPr>
                    <w:t>年生产批次（批次/a）</w:t>
                  </w:r>
                </w:p>
              </w:tc>
              <w:tc>
                <w:tcPr>
                  <w:tcW w:w="849" w:type="pct"/>
                  <w:tcBorders>
                    <w:tl2br w:val="nil"/>
                    <w:tr2bl w:val="nil"/>
                  </w:tcBorders>
                  <w:vAlign w:val="center"/>
                </w:tcPr>
                <w:p w14:paraId="6F5E9727">
                  <w:pPr>
                    <w:widowControl/>
                    <w:adjustRightInd w:val="0"/>
                    <w:snapToGrid w:val="0"/>
                    <w:spacing w:line="240" w:lineRule="auto"/>
                    <w:jc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14:textFill>
                        <w14:solidFill>
                          <w14:schemeClr w14:val="tx1"/>
                        </w14:solidFill>
                      </w14:textFill>
                    </w:rPr>
                    <w:t>单批次生产时间（h/批次）</w:t>
                  </w:r>
                </w:p>
              </w:tc>
              <w:tc>
                <w:tcPr>
                  <w:tcW w:w="936" w:type="pct"/>
                  <w:tcBorders>
                    <w:tl2br w:val="nil"/>
                    <w:tr2bl w:val="nil"/>
                  </w:tcBorders>
                  <w:vAlign w:val="center"/>
                </w:tcPr>
                <w:p w14:paraId="653A6C68">
                  <w:pPr>
                    <w:widowControl/>
                    <w:adjustRightInd w:val="0"/>
                    <w:snapToGrid w:val="0"/>
                    <w:spacing w:line="240" w:lineRule="auto"/>
                    <w:jc w:val="center"/>
                    <w:rPr>
                      <w:rFonts w:hint="eastAsia" w:ascii="Times New Roman" w:hAnsi="Times New Roman" w:cs="Times New Roman" w:eastAsiaTheme="minorEastAsia"/>
                      <w:b/>
                      <w:color w:val="000000" w:themeColor="text1"/>
                      <w:kern w:val="0"/>
                      <w:sz w:val="21"/>
                      <w:szCs w:val="21"/>
                      <w:lang w:val="en-US" w:eastAsia="zh-CN"/>
                      <w14:textFill>
                        <w14:solidFill>
                          <w14:schemeClr w14:val="tx1"/>
                        </w14:solidFill>
                      </w14:textFill>
                    </w:rPr>
                  </w:pPr>
                  <w:r>
                    <w:rPr>
                      <w:rFonts w:hint="eastAsia" w:cs="Times New Roman" w:eastAsiaTheme="minorEastAsia"/>
                      <w:b/>
                      <w:color w:val="000000" w:themeColor="text1"/>
                      <w:kern w:val="0"/>
                      <w:sz w:val="21"/>
                      <w:szCs w:val="21"/>
                      <w:lang w:val="en-US" w:eastAsia="zh-CN"/>
                      <w14:textFill>
                        <w14:solidFill>
                          <w14:schemeClr w14:val="tx1"/>
                        </w14:solidFill>
                      </w14:textFill>
                    </w:rPr>
                    <w:t>年生产量（kg/a）</w:t>
                  </w:r>
                </w:p>
              </w:tc>
              <w:tc>
                <w:tcPr>
                  <w:tcW w:w="1005" w:type="pct"/>
                  <w:tcBorders>
                    <w:tl2br w:val="nil"/>
                    <w:tr2bl w:val="nil"/>
                  </w:tcBorders>
                  <w:vAlign w:val="center"/>
                </w:tcPr>
                <w:p w14:paraId="3A15D502">
                  <w:pPr>
                    <w:widowControl/>
                    <w:adjustRightInd w:val="0"/>
                    <w:snapToGrid w:val="0"/>
                    <w:spacing w:line="240" w:lineRule="auto"/>
                    <w:jc w:val="center"/>
                    <w:rPr>
                      <w:rFonts w:hint="default" w:cs="Times New Roman" w:eastAsiaTheme="minorEastAsia"/>
                      <w:b/>
                      <w:color w:val="000000" w:themeColor="text1"/>
                      <w:kern w:val="0"/>
                      <w:sz w:val="21"/>
                      <w:szCs w:val="21"/>
                      <w:lang w:val="en-US" w:eastAsia="zh-CN"/>
                      <w14:textFill>
                        <w14:solidFill>
                          <w14:schemeClr w14:val="tx1"/>
                        </w14:solidFill>
                      </w14:textFill>
                    </w:rPr>
                  </w:pPr>
                  <w:r>
                    <w:rPr>
                      <w:rFonts w:hint="eastAsia" w:cs="Times New Roman" w:eastAsiaTheme="minorEastAsia"/>
                      <w:b/>
                      <w:color w:val="000000" w:themeColor="text1"/>
                      <w:kern w:val="0"/>
                      <w:sz w:val="21"/>
                      <w:szCs w:val="21"/>
                      <w:lang w:val="en-US" w:eastAsia="zh-CN"/>
                      <w14:textFill>
                        <w14:solidFill>
                          <w14:schemeClr w14:val="tx1"/>
                        </w14:solidFill>
                      </w14:textFill>
                    </w:rPr>
                    <w:t xml:space="preserve"> 年生产时间（h）</w:t>
                  </w:r>
                </w:p>
              </w:tc>
            </w:tr>
            <w:tr w14:paraId="371F9B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806" w:type="pct"/>
                  <w:tcBorders>
                    <w:tl2br w:val="nil"/>
                    <w:tr2bl w:val="nil"/>
                  </w:tcBorders>
                  <w:vAlign w:val="center"/>
                </w:tcPr>
                <w:p w14:paraId="4A6C1110">
                  <w:pPr>
                    <w:widowControl/>
                    <w:adjustRightInd w:val="0"/>
                    <w:snapToGrid w:val="0"/>
                    <w:spacing w:line="240" w:lineRule="auto"/>
                    <w:jc w:val="center"/>
                    <w:rPr>
                      <w:rFonts w:hint="eastAsia" w:ascii="Times New Roman" w:hAnsi="Times New Roman" w:cs="Times New Roman" w:eastAsiaTheme="minorEastAsia"/>
                      <w:color w:val="000000" w:themeColor="text1"/>
                      <w:kern w:val="0"/>
                      <w:sz w:val="21"/>
                      <w:szCs w:val="21"/>
                      <w:lang w:eastAsia="zh-CN"/>
                      <w14:textFill>
                        <w14:solidFill>
                          <w14:schemeClr w14:val="tx1"/>
                        </w14:solidFill>
                      </w14:textFill>
                    </w:rPr>
                  </w:pPr>
                  <w:bookmarkStart w:id="25" w:name="OLE_LINK60"/>
                  <w:r>
                    <w:rPr>
                      <w:rFonts w:hint="eastAsia" w:cs="Times New Roman" w:eastAsiaTheme="minorEastAsia"/>
                      <w:color w:val="000000" w:themeColor="text1"/>
                      <w:kern w:val="0"/>
                      <w:sz w:val="21"/>
                      <w:szCs w:val="21"/>
                      <w:lang w:eastAsia="zh-CN"/>
                      <w14:textFill>
                        <w14:solidFill>
                          <w14:schemeClr w14:val="tx1"/>
                        </w14:solidFill>
                      </w14:textFill>
                    </w:rPr>
                    <w:t>5-羟基色氨酸</w:t>
                  </w:r>
                  <w:bookmarkEnd w:id="25"/>
                </w:p>
              </w:tc>
              <w:tc>
                <w:tcPr>
                  <w:tcW w:w="659" w:type="pct"/>
                  <w:tcBorders>
                    <w:tl2br w:val="nil"/>
                    <w:tr2bl w:val="nil"/>
                  </w:tcBorders>
                  <w:vAlign w:val="center"/>
                </w:tcPr>
                <w:p w14:paraId="230D800E">
                  <w:pPr>
                    <w:widowControl/>
                    <w:adjustRightInd w:val="0"/>
                    <w:snapToGrid w:val="0"/>
                    <w:spacing w:line="240" w:lineRule="auto"/>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100</w:t>
                  </w:r>
                </w:p>
              </w:tc>
              <w:tc>
                <w:tcPr>
                  <w:tcW w:w="742" w:type="pct"/>
                  <w:tcBorders>
                    <w:tl2br w:val="nil"/>
                    <w:tr2bl w:val="nil"/>
                  </w:tcBorders>
                  <w:vAlign w:val="center"/>
                </w:tcPr>
                <w:p w14:paraId="2EE02C20">
                  <w:pPr>
                    <w:widowControl/>
                    <w:adjustRightInd w:val="0"/>
                    <w:snapToGrid w:val="0"/>
                    <w:spacing w:line="240" w:lineRule="auto"/>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w:t>
                  </w:r>
                </w:p>
              </w:tc>
              <w:tc>
                <w:tcPr>
                  <w:tcW w:w="849" w:type="pct"/>
                  <w:tcBorders>
                    <w:tl2br w:val="nil"/>
                    <w:tr2bl w:val="nil"/>
                  </w:tcBorders>
                  <w:vAlign w:val="center"/>
                </w:tcPr>
                <w:p w14:paraId="10DE3F14">
                  <w:pPr>
                    <w:widowControl/>
                    <w:adjustRightInd w:val="0"/>
                    <w:snapToGrid w:val="0"/>
                    <w:spacing w:line="240" w:lineRule="auto"/>
                    <w:jc w:val="center"/>
                    <w:rPr>
                      <w:rFonts w:hint="default" w:ascii="Times New Roman" w:hAnsi="Times New Roman" w:cs="Times New Roman" w:eastAsiaTheme="minorEastAsia"/>
                      <w:color w:val="FF0000"/>
                      <w:kern w:val="0"/>
                      <w:sz w:val="21"/>
                      <w:szCs w:val="21"/>
                      <w:lang w:val="en-US" w:eastAsia="zh-CN"/>
                    </w:rPr>
                  </w:pPr>
                  <w:r>
                    <w:rPr>
                      <w:rFonts w:hint="eastAsia" w:cs="Times New Roman" w:eastAsiaTheme="minorEastAsia"/>
                      <w:color w:val="000000" w:themeColor="text1"/>
                      <w:kern w:val="0"/>
                      <w:sz w:val="21"/>
                      <w:szCs w:val="21"/>
                      <w:lang w:val="en-US" w:eastAsia="zh-CN"/>
                      <w14:textFill>
                        <w14:solidFill>
                          <w14:schemeClr w14:val="tx1"/>
                        </w14:solidFill>
                      </w14:textFill>
                    </w:rPr>
                    <w:t>72</w:t>
                  </w:r>
                </w:p>
              </w:tc>
              <w:tc>
                <w:tcPr>
                  <w:tcW w:w="936" w:type="pct"/>
                  <w:tcBorders>
                    <w:tl2br w:val="nil"/>
                    <w:tr2bl w:val="nil"/>
                  </w:tcBorders>
                  <w:vAlign w:val="center"/>
                </w:tcPr>
                <w:p w14:paraId="20348EA3">
                  <w:pPr>
                    <w:widowControl/>
                    <w:adjustRightInd w:val="0"/>
                    <w:snapToGrid w:val="0"/>
                    <w:spacing w:line="240" w:lineRule="auto"/>
                    <w:jc w:val="cente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5</w:t>
                  </w:r>
                </w:p>
              </w:tc>
              <w:tc>
                <w:tcPr>
                  <w:tcW w:w="1005" w:type="pct"/>
                  <w:tcBorders>
                    <w:tl2br w:val="nil"/>
                    <w:tr2bl w:val="nil"/>
                  </w:tcBorders>
                  <w:vAlign w:val="center"/>
                </w:tcPr>
                <w:p w14:paraId="50CF00E6">
                  <w:pPr>
                    <w:widowControl/>
                    <w:adjustRightInd w:val="0"/>
                    <w:snapToGrid w:val="0"/>
                    <w:spacing w:line="240" w:lineRule="auto"/>
                    <w:jc w:val="center"/>
                    <w:rPr>
                      <w:rFonts w:hint="default"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2400</w:t>
                  </w:r>
                </w:p>
              </w:tc>
            </w:tr>
            <w:tr w14:paraId="58A51E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806" w:type="pct"/>
                  <w:tcBorders>
                    <w:tl2br w:val="nil"/>
                    <w:tr2bl w:val="nil"/>
                  </w:tcBorders>
                  <w:vAlign w:val="center"/>
                </w:tcPr>
                <w:p w14:paraId="1252A669">
                  <w:pPr>
                    <w:widowControl/>
                    <w:adjustRightInd w:val="0"/>
                    <w:snapToGrid w:val="0"/>
                    <w:spacing w:line="240" w:lineRule="auto"/>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色氨酸</w:t>
                  </w:r>
                </w:p>
              </w:tc>
              <w:tc>
                <w:tcPr>
                  <w:tcW w:w="659" w:type="pct"/>
                  <w:tcBorders>
                    <w:tl2br w:val="nil"/>
                    <w:tr2bl w:val="nil"/>
                  </w:tcBorders>
                  <w:vAlign w:val="center"/>
                </w:tcPr>
                <w:p w14:paraId="300434A0">
                  <w:pPr>
                    <w:widowControl/>
                    <w:adjustRightInd w:val="0"/>
                    <w:snapToGrid w:val="0"/>
                    <w:spacing w:line="240" w:lineRule="auto"/>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200</w:t>
                  </w:r>
                </w:p>
              </w:tc>
              <w:tc>
                <w:tcPr>
                  <w:tcW w:w="742" w:type="pct"/>
                  <w:tcBorders>
                    <w:tl2br w:val="nil"/>
                    <w:tr2bl w:val="nil"/>
                  </w:tcBorders>
                  <w:vAlign w:val="center"/>
                </w:tcPr>
                <w:p w14:paraId="2F44C837">
                  <w:pPr>
                    <w:widowControl/>
                    <w:adjustRightInd w:val="0"/>
                    <w:snapToGrid w:val="0"/>
                    <w:spacing w:line="240" w:lineRule="auto"/>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w:t>
                  </w:r>
                </w:p>
              </w:tc>
              <w:tc>
                <w:tcPr>
                  <w:tcW w:w="849" w:type="pct"/>
                  <w:tcBorders>
                    <w:tl2br w:val="nil"/>
                    <w:tr2bl w:val="nil"/>
                  </w:tcBorders>
                  <w:vAlign w:val="center"/>
                </w:tcPr>
                <w:p w14:paraId="0442713E">
                  <w:pPr>
                    <w:widowControl/>
                    <w:adjustRightInd w:val="0"/>
                    <w:snapToGrid w:val="0"/>
                    <w:spacing w:line="240" w:lineRule="auto"/>
                    <w:jc w:val="center"/>
                    <w:rPr>
                      <w:rFonts w:hint="default" w:ascii="Times New Roman" w:hAnsi="Times New Roman" w:cs="Times New Roman" w:eastAsiaTheme="minorEastAsia"/>
                      <w:color w:val="FF0000"/>
                      <w:kern w:val="0"/>
                      <w:sz w:val="21"/>
                      <w:szCs w:val="21"/>
                      <w:lang w:val="en-US"/>
                    </w:rPr>
                  </w:pPr>
                  <w:r>
                    <w:rPr>
                      <w:rFonts w:hint="eastAsia" w:cs="Times New Roman" w:eastAsiaTheme="minorEastAsia"/>
                      <w:color w:val="000000" w:themeColor="text1"/>
                      <w:kern w:val="0"/>
                      <w:sz w:val="21"/>
                      <w:szCs w:val="21"/>
                      <w:lang w:val="en-US" w:eastAsia="zh-CN"/>
                      <w14:textFill>
                        <w14:solidFill>
                          <w14:schemeClr w14:val="tx1"/>
                        </w14:solidFill>
                      </w14:textFill>
                    </w:rPr>
                    <w:t>48</w:t>
                  </w:r>
                </w:p>
              </w:tc>
              <w:tc>
                <w:tcPr>
                  <w:tcW w:w="936" w:type="pct"/>
                  <w:tcBorders>
                    <w:tl2br w:val="nil"/>
                    <w:tr2bl w:val="nil"/>
                  </w:tcBorders>
                  <w:vAlign w:val="center"/>
                </w:tcPr>
                <w:p w14:paraId="2B1E368D">
                  <w:pPr>
                    <w:widowControl/>
                    <w:adjustRightInd w:val="0"/>
                    <w:snapToGrid w:val="0"/>
                    <w:spacing w:line="240" w:lineRule="auto"/>
                    <w:jc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10</w:t>
                  </w:r>
                </w:p>
              </w:tc>
              <w:tc>
                <w:tcPr>
                  <w:tcW w:w="1005" w:type="pct"/>
                  <w:tcBorders>
                    <w:tl2br w:val="nil"/>
                    <w:tr2bl w:val="nil"/>
                  </w:tcBorders>
                  <w:vAlign w:val="center"/>
                </w:tcPr>
                <w:p w14:paraId="539983D4">
                  <w:pPr>
                    <w:widowControl/>
                    <w:adjustRightInd w:val="0"/>
                    <w:snapToGrid w:val="0"/>
                    <w:spacing w:line="240" w:lineRule="auto"/>
                    <w:jc w:val="center"/>
                    <w:rPr>
                      <w:rFonts w:hint="eastAsia"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2400</w:t>
                  </w:r>
                </w:p>
              </w:tc>
            </w:tr>
          </w:tbl>
          <w:p w14:paraId="7C1D18A6">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480" w:lineRule="exact"/>
              <w:textAlignment w:val="auto"/>
              <w:rPr>
                <w:rFonts w:hint="eastAsia"/>
                <w:b/>
                <w:bCs/>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产品质量技术指标</w:t>
            </w:r>
          </w:p>
          <w:p w14:paraId="73E3B16A">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本项目以代谢工程和合成生物学技术改造基因工程菌实验为主，目的为</w:t>
            </w:r>
            <w:bookmarkStart w:id="26" w:name="OLE_LINK48"/>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获取试验样品及相关实验参数</w:t>
            </w:r>
            <w:r>
              <w:rPr>
                <w:rFonts w:hint="eastAsia" w:cs="Times New Roman"/>
                <w:color w:val="000000" w:themeColor="text1"/>
                <w:spacing w:val="-2"/>
                <w:sz w:val="24"/>
                <w:szCs w:val="24"/>
                <w:lang w:val="en-US" w:eastAsia="zh-CN"/>
                <w14:textFill>
                  <w14:solidFill>
                    <w14:schemeClr w14:val="tx1"/>
                  </w14:solidFill>
                </w14:textFill>
              </w:rPr>
              <w:t>，</w:t>
            </w:r>
            <w:bookmarkStart w:id="27" w:name="OLE_LINK27"/>
            <w:r>
              <w:rPr>
                <w:rFonts w:hint="eastAsia" w:cs="Times New Roman"/>
                <w:color w:val="000000" w:themeColor="text1"/>
                <w:spacing w:val="-2"/>
                <w:sz w:val="24"/>
                <w:szCs w:val="24"/>
                <w:lang w:val="en-US" w:eastAsia="zh-CN"/>
                <w14:textFill>
                  <w14:solidFill>
                    <w14:schemeClr w14:val="tx1"/>
                  </w14:solidFill>
                </w14:textFill>
              </w:rPr>
              <w:t>实验参数送至北京研发中心，为后续研究试验提供数据支持</w:t>
            </w:r>
            <w:bookmarkEnd w:id="27"/>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bookmarkEnd w:id="26"/>
            <w:r>
              <w:rPr>
                <w:rFonts w:hint="eastAsia" w:cs="Times New Roman"/>
                <w:color w:val="000000" w:themeColor="text1"/>
                <w:spacing w:val="-2"/>
                <w:sz w:val="24"/>
                <w:szCs w:val="24"/>
                <w:lang w:val="en-US" w:eastAsia="zh-CN"/>
                <w14:textFill>
                  <w14:solidFill>
                    <w14:schemeClr w14:val="tx1"/>
                  </w14:solidFill>
                </w14:textFill>
              </w:rPr>
              <w:t>合格试验品经高温消毒灭活后，作为危废委托有资质单位处置；不成功样品经过高温灭菌后，进入废液中，作为危废委托有资质单位处置。</w:t>
            </w:r>
            <w:r>
              <w:rPr>
                <w:rFonts w:hint="eastAsia"/>
                <w:color w:val="000000" w:themeColor="text1"/>
                <w:sz w:val="24"/>
                <w:szCs w:val="24"/>
                <w:lang w:val="en-US" w:eastAsia="zh-CN"/>
                <w14:textFill>
                  <w14:solidFill>
                    <w14:schemeClr w14:val="tx1"/>
                  </w14:solidFill>
                </w14:textFill>
              </w:rPr>
              <w:t>本项目研发周期为十年</w:t>
            </w:r>
            <w:r>
              <w:rPr>
                <w:rFonts w:hint="eastAsia"/>
                <w:lang w:val="en-US" w:eastAsia="zh-CN"/>
              </w:rPr>
              <w:t>。</w:t>
            </w:r>
          </w:p>
          <w:p w14:paraId="3297A731">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4</w:t>
            </w:r>
            <w:r>
              <w:rPr>
                <w:b/>
                <w:bCs/>
                <w:color w:val="000000" w:themeColor="text1"/>
                <w:kern w:val="0"/>
                <w:sz w:val="24"/>
                <w:szCs w:val="24"/>
                <w14:textFill>
                  <w14:solidFill>
                    <w14:schemeClr w14:val="tx1"/>
                  </w14:solidFill>
                </w14:textFill>
              </w:rPr>
              <w:t>、主体</w:t>
            </w:r>
            <w:r>
              <w:rPr>
                <w:rFonts w:hint="eastAsia"/>
                <w:b/>
                <w:bCs/>
                <w:color w:val="000000" w:themeColor="text1"/>
                <w:kern w:val="0"/>
                <w:sz w:val="24"/>
                <w:szCs w:val="24"/>
                <w:lang w:eastAsia="zh-CN"/>
                <w14:textFill>
                  <w14:solidFill>
                    <w14:schemeClr w14:val="tx1"/>
                  </w14:solidFill>
                </w14:textFill>
              </w:rPr>
              <w:t>、</w:t>
            </w:r>
            <w:r>
              <w:rPr>
                <w:rFonts w:hint="eastAsia"/>
                <w:b/>
                <w:bCs/>
                <w:color w:val="000000" w:themeColor="text1"/>
                <w:kern w:val="0"/>
                <w:sz w:val="24"/>
                <w:szCs w:val="24"/>
                <w:lang w:val="en-US" w:eastAsia="zh-CN"/>
                <w14:textFill>
                  <w14:solidFill>
                    <w14:schemeClr w14:val="tx1"/>
                  </w14:solidFill>
                </w14:textFill>
              </w:rPr>
              <w:t>公用及公辅</w:t>
            </w:r>
            <w:r>
              <w:rPr>
                <w:b/>
                <w:bCs/>
                <w:color w:val="000000" w:themeColor="text1"/>
                <w:kern w:val="0"/>
                <w:sz w:val="24"/>
                <w:szCs w:val="24"/>
                <w14:textFill>
                  <w14:solidFill>
                    <w14:schemeClr w14:val="tx1"/>
                  </w14:solidFill>
                </w14:textFill>
              </w:rPr>
              <w:t>工程</w:t>
            </w:r>
          </w:p>
          <w:p w14:paraId="7FF79882">
            <w:pPr>
              <w:keepNext w:val="0"/>
              <w:keepLines w:val="0"/>
              <w:pageBreakBefore w:val="0"/>
              <w:widowControl w:val="0"/>
              <w:kinsoku/>
              <w:wordWrap/>
              <w:overflowPunct/>
              <w:topLinePunct w:val="0"/>
              <w:bidi w:val="0"/>
              <w:spacing w:line="480" w:lineRule="exact"/>
              <w:ind w:firstLine="472" w:firstLineChars="200"/>
              <w:textAlignment w:val="auto"/>
              <w:rPr>
                <w:color w:val="auto"/>
                <w:spacing w:val="-2"/>
                <w:sz w:val="24"/>
                <w:szCs w:val="24"/>
              </w:rPr>
            </w:pPr>
            <w:r>
              <w:rPr>
                <w:color w:val="auto"/>
                <w:spacing w:val="-2"/>
                <w:sz w:val="24"/>
                <w:szCs w:val="24"/>
              </w:rPr>
              <w:t>本项目主体工程见表2-</w:t>
            </w:r>
            <w:r>
              <w:rPr>
                <w:rFonts w:hint="eastAsia"/>
                <w:color w:val="auto"/>
                <w:spacing w:val="-2"/>
                <w:sz w:val="24"/>
                <w:szCs w:val="24"/>
                <w:lang w:val="en-US" w:eastAsia="zh-CN"/>
              </w:rPr>
              <w:t>2</w:t>
            </w:r>
            <w:r>
              <w:rPr>
                <w:color w:val="auto"/>
                <w:spacing w:val="-2"/>
                <w:sz w:val="24"/>
                <w:szCs w:val="24"/>
              </w:rPr>
              <w:t>。</w:t>
            </w:r>
          </w:p>
          <w:p w14:paraId="31455100">
            <w:pPr>
              <w:tabs>
                <w:tab w:val="left" w:pos="2127"/>
                <w:tab w:val="center" w:pos="4452"/>
                <w:tab w:val="right" w:pos="8246"/>
              </w:tabs>
              <w:spacing w:line="360" w:lineRule="exact"/>
              <w:jc w:val="center"/>
              <w:rPr>
                <w:color w:val="auto"/>
                <w:sz w:val="24"/>
                <w:szCs w:val="24"/>
              </w:rPr>
            </w:pPr>
            <w:r>
              <w:rPr>
                <w:b/>
                <w:color w:val="auto"/>
                <w:sz w:val="21"/>
                <w:szCs w:val="21"/>
              </w:rPr>
              <w:t>表2-</w:t>
            </w:r>
            <w:r>
              <w:rPr>
                <w:rFonts w:hint="eastAsia"/>
                <w:b/>
                <w:color w:val="auto"/>
                <w:sz w:val="21"/>
                <w:szCs w:val="21"/>
                <w:lang w:val="en-US" w:eastAsia="zh-CN"/>
              </w:rPr>
              <w:t>2</w:t>
            </w:r>
            <w:r>
              <w:rPr>
                <w:b/>
                <w:color w:val="auto"/>
                <w:sz w:val="21"/>
                <w:szCs w:val="21"/>
              </w:rPr>
              <w:t xml:space="preserve"> 本项目主体工程一览表</w:t>
            </w:r>
          </w:p>
          <w:tbl>
            <w:tblPr>
              <w:tblStyle w:val="22"/>
              <w:tblW w:w="5000" w:type="pct"/>
              <w:jc w:val="center"/>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647"/>
              <w:gridCol w:w="502"/>
              <w:gridCol w:w="1700"/>
              <w:gridCol w:w="1496"/>
              <w:gridCol w:w="3984"/>
            </w:tblGrid>
            <w:tr w14:paraId="78FCEB8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tblHeader/>
                <w:jc w:val="center"/>
              </w:trPr>
              <w:tc>
                <w:tcPr>
                  <w:tcW w:w="388" w:type="pct"/>
                  <w:tcBorders>
                    <w:top w:val="single" w:color="auto" w:sz="12" w:space="0"/>
                  </w:tcBorders>
                  <w:noWrap w:val="0"/>
                  <w:vAlign w:val="center"/>
                </w:tcPr>
                <w:p w14:paraId="5EF57F1F">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类别</w:t>
                  </w:r>
                </w:p>
              </w:tc>
              <w:tc>
                <w:tcPr>
                  <w:tcW w:w="1321" w:type="pct"/>
                  <w:gridSpan w:val="2"/>
                  <w:tcBorders>
                    <w:top w:val="single" w:color="auto" w:sz="12" w:space="0"/>
                  </w:tcBorders>
                  <w:noWrap w:val="0"/>
                  <w:tcMar>
                    <w:top w:w="15" w:type="dxa"/>
                    <w:left w:w="15" w:type="dxa"/>
                    <w:bottom w:w="0" w:type="dxa"/>
                    <w:right w:w="15" w:type="dxa"/>
                  </w:tcMar>
                  <w:vAlign w:val="center"/>
                </w:tcPr>
                <w:p w14:paraId="58925770">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建筑物名称</w:t>
                  </w:r>
                </w:p>
              </w:tc>
              <w:tc>
                <w:tcPr>
                  <w:tcW w:w="898" w:type="pct"/>
                  <w:tcBorders>
                    <w:top w:val="single" w:color="auto" w:sz="12" w:space="0"/>
                  </w:tcBorders>
                  <w:noWrap w:val="0"/>
                  <w:tcMar>
                    <w:top w:w="15" w:type="dxa"/>
                    <w:left w:w="15" w:type="dxa"/>
                    <w:bottom w:w="0" w:type="dxa"/>
                    <w:right w:w="15" w:type="dxa"/>
                  </w:tcMar>
                  <w:vAlign w:val="center"/>
                </w:tcPr>
                <w:p w14:paraId="42DC6A24">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设计能力</w:t>
                  </w:r>
                </w:p>
              </w:tc>
              <w:tc>
                <w:tcPr>
                  <w:tcW w:w="2391" w:type="pct"/>
                  <w:tcBorders>
                    <w:top w:val="single" w:color="auto" w:sz="12" w:space="0"/>
                  </w:tcBorders>
                  <w:noWrap w:val="0"/>
                  <w:tcMar>
                    <w:top w:w="15" w:type="dxa"/>
                    <w:left w:w="15" w:type="dxa"/>
                    <w:bottom w:w="0" w:type="dxa"/>
                    <w:right w:w="15" w:type="dxa"/>
                  </w:tcMar>
                  <w:vAlign w:val="center"/>
                </w:tcPr>
                <w:p w14:paraId="5D729FD4">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备注</w:t>
                  </w:r>
                </w:p>
              </w:tc>
            </w:tr>
            <w:tr w14:paraId="18DAC79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94" w:hRule="atLeast"/>
                <w:jc w:val="center"/>
              </w:trPr>
              <w:tc>
                <w:tcPr>
                  <w:tcW w:w="388" w:type="pct"/>
                  <w:vMerge w:val="restart"/>
                  <w:noWrap w:val="0"/>
                  <w:vAlign w:val="center"/>
                </w:tcPr>
                <w:p w14:paraId="083B5F31">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主体工程</w:t>
                  </w:r>
                </w:p>
              </w:tc>
              <w:tc>
                <w:tcPr>
                  <w:tcW w:w="1321" w:type="pct"/>
                  <w:gridSpan w:val="2"/>
                  <w:noWrap w:val="0"/>
                  <w:tcMar>
                    <w:top w:w="15" w:type="dxa"/>
                    <w:left w:w="15" w:type="dxa"/>
                    <w:bottom w:w="0" w:type="dxa"/>
                    <w:right w:w="15" w:type="dxa"/>
                  </w:tcMar>
                  <w:vAlign w:val="center"/>
                </w:tcPr>
                <w:p w14:paraId="0557D81E">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实验室</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898" w:type="pct"/>
                  <w:noWrap w:val="0"/>
                  <w:tcMar>
                    <w:top w:w="15" w:type="dxa"/>
                    <w:left w:w="15" w:type="dxa"/>
                    <w:bottom w:w="0" w:type="dxa"/>
                    <w:right w:w="15" w:type="dxa"/>
                  </w:tcMar>
                  <w:vAlign w:val="center"/>
                </w:tcPr>
                <w:p w14:paraId="03DBC1BD">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67.97</w:t>
                  </w:r>
                </w:p>
              </w:tc>
              <w:tc>
                <w:tcPr>
                  <w:tcW w:w="2391" w:type="pct"/>
                  <w:noWrap w:val="0"/>
                  <w:tcMar>
                    <w:top w:w="15" w:type="dxa"/>
                    <w:left w:w="15" w:type="dxa"/>
                    <w:bottom w:w="0" w:type="dxa"/>
                    <w:right w:w="15" w:type="dxa"/>
                  </w:tcMar>
                  <w:vAlign w:val="center"/>
                </w:tcPr>
                <w:p w14:paraId="665D95C2">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用于菌种实验</w:t>
                  </w:r>
                  <w:r>
                    <w:rPr>
                      <w:rFonts w:hint="eastAsia" w:cs="Times New Roman" w:eastAsiaTheme="minorEastAsia"/>
                      <w:color w:val="auto"/>
                      <w:sz w:val="21"/>
                      <w:szCs w:val="21"/>
                      <w:lang w:val="en-US" w:eastAsia="zh-CN"/>
                    </w:rPr>
                    <w:t>，</w:t>
                  </w:r>
                  <w:r>
                    <w:rPr>
                      <w:rFonts w:hint="eastAsia" w:cs="Times New Roman" w:eastAsiaTheme="minorEastAsia"/>
                      <w:color w:val="000000" w:themeColor="text1"/>
                      <w:sz w:val="21"/>
                      <w:szCs w:val="21"/>
                      <w:lang w:val="en-US" w:eastAsia="zh-CN"/>
                      <w14:textFill>
                        <w14:solidFill>
                          <w14:schemeClr w14:val="tx1"/>
                        </w14:solidFill>
                      </w14:textFill>
                    </w:rPr>
                    <w:t>洁净要求：无要求</w:t>
                  </w:r>
                </w:p>
              </w:tc>
            </w:tr>
            <w:tr w14:paraId="7362BDD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88" w:type="pct"/>
                  <w:vMerge w:val="continue"/>
                  <w:noWrap w:val="0"/>
                  <w:vAlign w:val="center"/>
                </w:tcPr>
                <w:p w14:paraId="4A8C17C1">
                  <w:pPr>
                    <w:spacing w:line="240" w:lineRule="auto"/>
                    <w:jc w:val="center"/>
                    <w:rPr>
                      <w:rFonts w:hint="default" w:ascii="Times New Roman" w:hAnsi="Times New Roman" w:cs="Times New Roman" w:eastAsiaTheme="minorEastAsia"/>
                      <w:color w:val="auto"/>
                      <w:sz w:val="21"/>
                      <w:szCs w:val="21"/>
                      <w:lang w:val="en-US" w:eastAsia="zh-CN"/>
                    </w:rPr>
                  </w:pPr>
                </w:p>
              </w:tc>
              <w:tc>
                <w:tcPr>
                  <w:tcW w:w="1321" w:type="pct"/>
                  <w:gridSpan w:val="2"/>
                  <w:noWrap w:val="0"/>
                  <w:tcMar>
                    <w:top w:w="15" w:type="dxa"/>
                    <w:left w:w="15" w:type="dxa"/>
                    <w:bottom w:w="0" w:type="dxa"/>
                    <w:right w:w="15" w:type="dxa"/>
                  </w:tcMar>
                  <w:vAlign w:val="center"/>
                </w:tcPr>
                <w:p w14:paraId="2781F63C">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发酵间</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898" w:type="pct"/>
                  <w:noWrap w:val="0"/>
                  <w:tcMar>
                    <w:top w:w="15" w:type="dxa"/>
                    <w:left w:w="15" w:type="dxa"/>
                    <w:bottom w:w="0" w:type="dxa"/>
                    <w:right w:w="15" w:type="dxa"/>
                  </w:tcMar>
                  <w:vAlign w:val="center"/>
                </w:tcPr>
                <w:p w14:paraId="66E1DB0D">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52.93</w:t>
                  </w:r>
                </w:p>
              </w:tc>
              <w:tc>
                <w:tcPr>
                  <w:tcW w:w="2391" w:type="pct"/>
                  <w:noWrap w:val="0"/>
                  <w:tcMar>
                    <w:top w:w="15" w:type="dxa"/>
                    <w:left w:w="15" w:type="dxa"/>
                    <w:bottom w:w="0" w:type="dxa"/>
                    <w:right w:w="15" w:type="dxa"/>
                  </w:tcMar>
                  <w:vAlign w:val="center"/>
                </w:tcPr>
                <w:p w14:paraId="2AAB73C0">
                  <w:pPr>
                    <w:spacing w:line="240" w:lineRule="auto"/>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微生物发酵</w:t>
                  </w:r>
                  <w:r>
                    <w:rPr>
                      <w:rFonts w:hint="eastAsia" w:cs="Times New Roman" w:eastAsiaTheme="minorEastAsia"/>
                      <w:color w:val="000000" w:themeColor="text1"/>
                      <w:sz w:val="21"/>
                      <w:szCs w:val="21"/>
                      <w:lang w:val="en-US" w:eastAsia="zh-CN"/>
                      <w14:textFill>
                        <w14:solidFill>
                          <w14:schemeClr w14:val="tx1"/>
                        </w14:solidFill>
                      </w14:textFill>
                    </w:rPr>
                    <w:t>，洁净要求：无要求</w:t>
                  </w:r>
                </w:p>
              </w:tc>
            </w:tr>
            <w:tr w14:paraId="70704EA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88" w:type="pct"/>
                  <w:vMerge w:val="continue"/>
                  <w:noWrap w:val="0"/>
                  <w:vAlign w:val="center"/>
                </w:tcPr>
                <w:p w14:paraId="1ADADDE7">
                  <w:pPr>
                    <w:spacing w:line="240" w:lineRule="auto"/>
                    <w:jc w:val="center"/>
                    <w:rPr>
                      <w:rFonts w:hint="default" w:ascii="Times New Roman" w:hAnsi="Times New Roman" w:cs="Times New Roman" w:eastAsiaTheme="minorEastAsia"/>
                      <w:color w:val="auto"/>
                      <w:sz w:val="21"/>
                      <w:szCs w:val="21"/>
                      <w:lang w:val="en-US" w:eastAsia="zh-CN"/>
                    </w:rPr>
                  </w:pPr>
                </w:p>
              </w:tc>
              <w:tc>
                <w:tcPr>
                  <w:tcW w:w="1321" w:type="pct"/>
                  <w:gridSpan w:val="2"/>
                  <w:noWrap w:val="0"/>
                  <w:tcMar>
                    <w:top w:w="15" w:type="dxa"/>
                    <w:left w:w="15" w:type="dxa"/>
                    <w:bottom w:w="0" w:type="dxa"/>
                    <w:right w:w="15" w:type="dxa"/>
                  </w:tcMar>
                  <w:vAlign w:val="center"/>
                </w:tcPr>
                <w:p w14:paraId="260EDDAA">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种子间</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898" w:type="pct"/>
                  <w:noWrap w:val="0"/>
                  <w:tcMar>
                    <w:top w:w="15" w:type="dxa"/>
                    <w:left w:w="15" w:type="dxa"/>
                    <w:bottom w:w="0" w:type="dxa"/>
                    <w:right w:w="15" w:type="dxa"/>
                  </w:tcMar>
                  <w:vAlign w:val="center"/>
                </w:tcPr>
                <w:p w14:paraId="17D6E203">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w:t>
                  </w:r>
                </w:p>
              </w:tc>
              <w:tc>
                <w:tcPr>
                  <w:tcW w:w="2391" w:type="pct"/>
                  <w:noWrap w:val="0"/>
                  <w:tcMar>
                    <w:top w:w="15" w:type="dxa"/>
                    <w:left w:w="15" w:type="dxa"/>
                    <w:bottom w:w="0" w:type="dxa"/>
                    <w:right w:w="15" w:type="dxa"/>
                  </w:tcMar>
                  <w:vAlign w:val="center"/>
                </w:tcPr>
                <w:p w14:paraId="11388742">
                  <w:pPr>
                    <w:spacing w:line="240" w:lineRule="auto"/>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种子培养</w:t>
                  </w:r>
                  <w:r>
                    <w:rPr>
                      <w:rFonts w:hint="eastAsia" w:cs="Times New Roman" w:eastAsiaTheme="minorEastAsia"/>
                      <w:color w:val="000000" w:themeColor="text1"/>
                      <w:sz w:val="21"/>
                      <w:szCs w:val="21"/>
                      <w:lang w:val="en-US" w:eastAsia="zh-CN"/>
                      <w14:textFill>
                        <w14:solidFill>
                          <w14:schemeClr w14:val="tx1"/>
                        </w14:solidFill>
                      </w14:textFill>
                    </w:rPr>
                    <w:t>，洁净要求：无要求</w:t>
                  </w:r>
                </w:p>
              </w:tc>
            </w:tr>
            <w:tr w14:paraId="19C57C0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88" w:type="pct"/>
                  <w:vMerge w:val="restart"/>
                  <w:noWrap w:val="0"/>
                  <w:vAlign w:val="center"/>
                </w:tcPr>
                <w:p w14:paraId="1038458B">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贮存</w:t>
                  </w:r>
                </w:p>
                <w:p w14:paraId="61ABD77F">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工程</w:t>
                  </w:r>
                </w:p>
              </w:tc>
              <w:tc>
                <w:tcPr>
                  <w:tcW w:w="1321" w:type="pct"/>
                  <w:gridSpan w:val="2"/>
                  <w:noWrap w:val="0"/>
                  <w:tcMar>
                    <w:top w:w="15" w:type="dxa"/>
                    <w:left w:w="15" w:type="dxa"/>
                    <w:bottom w:w="0" w:type="dxa"/>
                    <w:right w:w="15" w:type="dxa"/>
                  </w:tcMar>
                  <w:vAlign w:val="center"/>
                </w:tcPr>
                <w:p w14:paraId="0A73BD75">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试剂间</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898" w:type="pct"/>
                  <w:noWrap w:val="0"/>
                  <w:tcMar>
                    <w:top w:w="15" w:type="dxa"/>
                    <w:left w:w="15" w:type="dxa"/>
                    <w:bottom w:w="0" w:type="dxa"/>
                    <w:right w:w="15" w:type="dxa"/>
                  </w:tcMar>
                  <w:vAlign w:val="center"/>
                </w:tcPr>
                <w:p w14:paraId="19ACB346">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3.75</w:t>
                  </w:r>
                </w:p>
              </w:tc>
              <w:tc>
                <w:tcPr>
                  <w:tcW w:w="2391" w:type="pct"/>
                  <w:noWrap w:val="0"/>
                  <w:tcMar>
                    <w:top w:w="15" w:type="dxa"/>
                    <w:left w:w="15" w:type="dxa"/>
                    <w:bottom w:w="0" w:type="dxa"/>
                    <w:right w:w="15" w:type="dxa"/>
                  </w:tcMar>
                  <w:vAlign w:val="center"/>
                </w:tcPr>
                <w:p w14:paraId="030D0EB9">
                  <w:pPr>
                    <w:spacing w:line="240" w:lineRule="auto"/>
                    <w:jc w:val="center"/>
                    <w:rPr>
                      <w:rFonts w:hint="default" w:ascii="Times New Roman" w:hAnsi="Times New Roman" w:cs="Times New Roman" w:eastAsiaTheme="minorEastAsia"/>
                      <w:color w:val="FF0000"/>
                      <w:sz w:val="21"/>
                      <w:szCs w:val="21"/>
                      <w:lang w:val="en-US"/>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存放试剂</w:t>
                  </w:r>
                  <w:r>
                    <w:rPr>
                      <w:rFonts w:hint="eastAsia" w:cs="Times New Roman" w:eastAsiaTheme="minorEastAsia"/>
                      <w:color w:val="000000" w:themeColor="text1"/>
                      <w:sz w:val="21"/>
                      <w:szCs w:val="21"/>
                      <w:lang w:val="en-US" w:eastAsia="zh-CN"/>
                      <w14:textFill>
                        <w14:solidFill>
                          <w14:schemeClr w14:val="tx1"/>
                        </w14:solidFill>
                      </w14:textFill>
                    </w:rPr>
                    <w:t>，洁净要求：无要求</w:t>
                  </w:r>
                </w:p>
              </w:tc>
            </w:tr>
            <w:tr w14:paraId="7B5932B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88" w:type="pct"/>
                  <w:vMerge w:val="continue"/>
                  <w:noWrap w:val="0"/>
                  <w:vAlign w:val="center"/>
                </w:tcPr>
                <w:p w14:paraId="539D76C7">
                  <w:pPr>
                    <w:spacing w:line="240" w:lineRule="auto"/>
                    <w:jc w:val="center"/>
                    <w:rPr>
                      <w:rFonts w:hint="default" w:ascii="Times New Roman" w:hAnsi="Times New Roman" w:cs="Times New Roman" w:eastAsiaTheme="minorEastAsia"/>
                      <w:color w:val="auto"/>
                      <w:sz w:val="21"/>
                      <w:szCs w:val="21"/>
                    </w:rPr>
                  </w:pPr>
                </w:p>
              </w:tc>
              <w:tc>
                <w:tcPr>
                  <w:tcW w:w="1321" w:type="pct"/>
                  <w:gridSpan w:val="2"/>
                  <w:noWrap w:val="0"/>
                  <w:tcMar>
                    <w:top w:w="15" w:type="dxa"/>
                    <w:left w:w="15" w:type="dxa"/>
                    <w:bottom w:w="0" w:type="dxa"/>
                    <w:right w:w="15" w:type="dxa"/>
                  </w:tcMar>
                  <w:vAlign w:val="center"/>
                </w:tcPr>
                <w:p w14:paraId="283E70E4">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防爆柜</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898" w:type="pct"/>
                  <w:noWrap w:val="0"/>
                  <w:tcMar>
                    <w:top w:w="15" w:type="dxa"/>
                    <w:left w:w="15" w:type="dxa"/>
                    <w:bottom w:w="0" w:type="dxa"/>
                    <w:right w:w="15" w:type="dxa"/>
                  </w:tcMar>
                  <w:vAlign w:val="center"/>
                </w:tcPr>
                <w:p w14:paraId="00FE27E2">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2391" w:type="pct"/>
                  <w:noWrap w:val="0"/>
                  <w:tcMar>
                    <w:top w:w="15" w:type="dxa"/>
                    <w:left w:w="15" w:type="dxa"/>
                    <w:bottom w:w="0" w:type="dxa"/>
                    <w:right w:w="15" w:type="dxa"/>
                  </w:tcMar>
                  <w:vAlign w:val="center"/>
                </w:tcPr>
                <w:p w14:paraId="15BA458E">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位于试剂间内，主要存放乙醇</w:t>
                  </w:r>
                </w:p>
              </w:tc>
            </w:tr>
            <w:tr w14:paraId="1FDD17D5">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88" w:type="pct"/>
                  <w:vMerge w:val="restart"/>
                  <w:noWrap w:val="0"/>
                  <w:vAlign w:val="center"/>
                </w:tcPr>
                <w:p w14:paraId="09AC756B">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公用</w:t>
                  </w:r>
                </w:p>
                <w:p w14:paraId="682E4BEB">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工程</w:t>
                  </w:r>
                </w:p>
              </w:tc>
              <w:tc>
                <w:tcPr>
                  <w:tcW w:w="1321" w:type="pct"/>
                  <w:gridSpan w:val="2"/>
                  <w:noWrap w:val="0"/>
                  <w:tcMar>
                    <w:top w:w="15" w:type="dxa"/>
                    <w:left w:w="15" w:type="dxa"/>
                    <w:bottom w:w="0" w:type="dxa"/>
                    <w:right w:w="15" w:type="dxa"/>
                  </w:tcMar>
                  <w:vAlign w:val="center"/>
                </w:tcPr>
                <w:p w14:paraId="5A8BCC9F">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给水系统（m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898" w:type="pct"/>
                  <w:noWrap w:val="0"/>
                  <w:tcMar>
                    <w:top w:w="15" w:type="dxa"/>
                    <w:left w:w="15" w:type="dxa"/>
                    <w:bottom w:w="0" w:type="dxa"/>
                    <w:right w:w="15" w:type="dxa"/>
                  </w:tcMar>
                  <w:vAlign w:val="center"/>
                </w:tcPr>
                <w:p w14:paraId="1F019D71">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240</w:t>
                  </w:r>
                </w:p>
              </w:tc>
              <w:tc>
                <w:tcPr>
                  <w:tcW w:w="2391" w:type="pct"/>
                  <w:noWrap w:val="0"/>
                  <w:tcMar>
                    <w:top w:w="15" w:type="dxa"/>
                    <w:left w:w="15" w:type="dxa"/>
                    <w:bottom w:w="0" w:type="dxa"/>
                    <w:right w:w="15" w:type="dxa"/>
                  </w:tcMar>
                  <w:vAlign w:val="center"/>
                </w:tcPr>
                <w:p w14:paraId="662898CA">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区域供水管网</w:t>
                  </w:r>
                </w:p>
              </w:tc>
            </w:tr>
            <w:tr w14:paraId="3B887B9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88" w:type="pct"/>
                  <w:vMerge w:val="continue"/>
                  <w:noWrap w:val="0"/>
                  <w:vAlign w:val="center"/>
                </w:tcPr>
                <w:p w14:paraId="0267AB4D">
                  <w:pPr>
                    <w:spacing w:line="240" w:lineRule="auto"/>
                    <w:jc w:val="center"/>
                    <w:rPr>
                      <w:rFonts w:hint="default" w:ascii="Times New Roman" w:hAnsi="Times New Roman" w:cs="Times New Roman" w:eastAsiaTheme="minorEastAsia"/>
                      <w:color w:val="auto"/>
                      <w:sz w:val="21"/>
                      <w:szCs w:val="21"/>
                    </w:rPr>
                  </w:pPr>
                </w:p>
              </w:tc>
              <w:tc>
                <w:tcPr>
                  <w:tcW w:w="1321" w:type="pct"/>
                  <w:gridSpan w:val="2"/>
                  <w:noWrap w:val="0"/>
                  <w:tcMar>
                    <w:top w:w="15" w:type="dxa"/>
                    <w:left w:w="15" w:type="dxa"/>
                    <w:bottom w:w="0" w:type="dxa"/>
                    <w:right w:w="15" w:type="dxa"/>
                  </w:tcMar>
                  <w:vAlign w:val="center"/>
                </w:tcPr>
                <w:p w14:paraId="6222D80B">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排水系统（m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898" w:type="pct"/>
                  <w:noWrap w:val="0"/>
                  <w:tcMar>
                    <w:top w:w="15" w:type="dxa"/>
                    <w:left w:w="15" w:type="dxa"/>
                    <w:bottom w:w="0" w:type="dxa"/>
                    <w:right w:w="15" w:type="dxa"/>
                  </w:tcMar>
                  <w:vAlign w:val="center"/>
                </w:tcPr>
                <w:p w14:paraId="1413E1BE">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83.52</w:t>
                  </w:r>
                </w:p>
              </w:tc>
              <w:tc>
                <w:tcPr>
                  <w:tcW w:w="2391" w:type="pct"/>
                  <w:noWrap w:val="0"/>
                  <w:tcMar>
                    <w:top w:w="15" w:type="dxa"/>
                    <w:left w:w="15" w:type="dxa"/>
                    <w:bottom w:w="0" w:type="dxa"/>
                    <w:right w:w="15" w:type="dxa"/>
                  </w:tcMar>
                  <w:vAlign w:val="center"/>
                </w:tcPr>
                <w:p w14:paraId="6D2D3A30">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接入金坛区第二污水处理有限公司处理</w:t>
                  </w:r>
                </w:p>
              </w:tc>
            </w:tr>
            <w:tr w14:paraId="659CEE34">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88" w:type="pct"/>
                  <w:vMerge w:val="continue"/>
                  <w:noWrap w:val="0"/>
                  <w:vAlign w:val="center"/>
                </w:tcPr>
                <w:p w14:paraId="7A237032">
                  <w:pPr>
                    <w:spacing w:line="240" w:lineRule="auto"/>
                    <w:jc w:val="center"/>
                    <w:rPr>
                      <w:rFonts w:hint="default" w:ascii="Times New Roman" w:hAnsi="Times New Roman" w:cs="Times New Roman" w:eastAsiaTheme="minorEastAsia"/>
                      <w:color w:val="auto"/>
                      <w:sz w:val="21"/>
                      <w:szCs w:val="21"/>
                    </w:rPr>
                  </w:pPr>
                </w:p>
              </w:tc>
              <w:tc>
                <w:tcPr>
                  <w:tcW w:w="1321" w:type="pct"/>
                  <w:gridSpan w:val="2"/>
                  <w:noWrap w:val="0"/>
                  <w:tcMar>
                    <w:top w:w="15" w:type="dxa"/>
                    <w:left w:w="15" w:type="dxa"/>
                    <w:bottom w:w="0" w:type="dxa"/>
                    <w:right w:w="15" w:type="dxa"/>
                  </w:tcMar>
                  <w:vAlign w:val="center"/>
                </w:tcPr>
                <w:p w14:paraId="36C4ACC0">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供配电系统（万度/年）</w:t>
                  </w:r>
                </w:p>
              </w:tc>
              <w:tc>
                <w:tcPr>
                  <w:tcW w:w="898" w:type="pct"/>
                  <w:noWrap w:val="0"/>
                  <w:tcMar>
                    <w:top w:w="15" w:type="dxa"/>
                    <w:left w:w="15" w:type="dxa"/>
                    <w:bottom w:w="0" w:type="dxa"/>
                    <w:right w:w="15" w:type="dxa"/>
                  </w:tcMar>
                  <w:vAlign w:val="center"/>
                </w:tcPr>
                <w:p w14:paraId="76C3F25F">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2391" w:type="pct"/>
                  <w:noWrap w:val="0"/>
                  <w:tcMar>
                    <w:top w:w="15" w:type="dxa"/>
                    <w:left w:w="15" w:type="dxa"/>
                    <w:bottom w:w="0" w:type="dxa"/>
                    <w:right w:w="15" w:type="dxa"/>
                  </w:tcMar>
                  <w:vAlign w:val="center"/>
                </w:tcPr>
                <w:p w14:paraId="0C936178">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区域供电</w:t>
                  </w:r>
                </w:p>
              </w:tc>
            </w:tr>
            <w:tr w14:paraId="009D933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2" w:hRule="atLeast"/>
                <w:jc w:val="center"/>
              </w:trPr>
              <w:tc>
                <w:tcPr>
                  <w:tcW w:w="388" w:type="pct"/>
                  <w:vMerge w:val="continue"/>
                  <w:noWrap w:val="0"/>
                  <w:vAlign w:val="center"/>
                </w:tcPr>
                <w:p w14:paraId="2CB516BC">
                  <w:pPr>
                    <w:spacing w:line="240" w:lineRule="auto"/>
                    <w:jc w:val="center"/>
                    <w:rPr>
                      <w:rFonts w:hint="default" w:ascii="Times New Roman" w:hAnsi="Times New Roman" w:cs="Times New Roman" w:eastAsiaTheme="minorEastAsia"/>
                      <w:color w:val="auto"/>
                      <w:sz w:val="21"/>
                      <w:szCs w:val="21"/>
                    </w:rPr>
                  </w:pPr>
                </w:p>
              </w:tc>
              <w:tc>
                <w:tcPr>
                  <w:tcW w:w="301" w:type="pct"/>
                  <w:noWrap w:val="0"/>
                  <w:tcMar>
                    <w:top w:w="15" w:type="dxa"/>
                    <w:left w:w="15" w:type="dxa"/>
                    <w:bottom w:w="0" w:type="dxa"/>
                    <w:right w:w="15" w:type="dxa"/>
                  </w:tcMar>
                  <w:vAlign w:val="center"/>
                </w:tcPr>
                <w:p w14:paraId="3033AD36">
                  <w:pPr>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废水</w:t>
                  </w:r>
                </w:p>
              </w:tc>
              <w:tc>
                <w:tcPr>
                  <w:tcW w:w="1020" w:type="pct"/>
                  <w:noWrap w:val="0"/>
                  <w:tcMar>
                    <w:top w:w="15" w:type="dxa"/>
                    <w:left w:w="15" w:type="dxa"/>
                    <w:bottom w:w="0" w:type="dxa"/>
                    <w:right w:w="15" w:type="dxa"/>
                  </w:tcMar>
                  <w:vAlign w:val="center"/>
                </w:tcPr>
                <w:p w14:paraId="2FC51A42">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生活污水</w:t>
                  </w:r>
                </w:p>
              </w:tc>
              <w:tc>
                <w:tcPr>
                  <w:tcW w:w="898" w:type="pct"/>
                  <w:noWrap w:val="0"/>
                  <w:tcMar>
                    <w:top w:w="15" w:type="dxa"/>
                    <w:left w:w="15" w:type="dxa"/>
                    <w:bottom w:w="0" w:type="dxa"/>
                    <w:right w:w="15" w:type="dxa"/>
                  </w:tcMar>
                  <w:vAlign w:val="center"/>
                </w:tcPr>
                <w:p w14:paraId="48EB0E0E">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2391" w:type="pct"/>
                  <w:noWrap w:val="0"/>
                  <w:vAlign w:val="center"/>
                </w:tcPr>
                <w:p w14:paraId="3FEBE3CC">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本次依托</w:t>
                  </w:r>
                  <w:r>
                    <w:rPr>
                      <w:rFonts w:hint="default" w:ascii="Times New Roman" w:hAnsi="Times New Roman" w:cs="Times New Roman" w:eastAsiaTheme="minorEastAsia"/>
                      <w:color w:val="auto"/>
                      <w:sz w:val="21"/>
                      <w:szCs w:val="21"/>
                      <w:lang w:val="en-US" w:eastAsia="zh-CN"/>
                    </w:rPr>
                    <w:t>园</w:t>
                  </w:r>
                  <w:r>
                    <w:rPr>
                      <w:rFonts w:hint="eastAsia"/>
                      <w:lang w:val="en-US" w:eastAsia="zh-CN"/>
                    </w:rPr>
                    <w:t>区</w:t>
                  </w:r>
                  <w:r>
                    <w:rPr>
                      <w:rFonts w:hint="eastAsia" w:cs="Times New Roman" w:eastAsiaTheme="minorEastAsia"/>
                      <w:color w:val="auto"/>
                      <w:sz w:val="21"/>
                      <w:szCs w:val="21"/>
                      <w:lang w:val="en-US" w:eastAsia="zh-CN"/>
                    </w:rPr>
                    <w:t>污水管网</w:t>
                  </w:r>
                  <w:r>
                    <w:rPr>
                      <w:rFonts w:hint="default" w:ascii="Times New Roman" w:hAnsi="Times New Roman" w:cs="Times New Roman" w:eastAsiaTheme="minorEastAsia"/>
                      <w:color w:val="auto"/>
                      <w:sz w:val="21"/>
                      <w:szCs w:val="21"/>
                    </w:rPr>
                    <w:t>，接入金坛区第二污水处理有限公司进行处理</w:t>
                  </w:r>
                </w:p>
              </w:tc>
            </w:tr>
            <w:tr w14:paraId="66CC67DC">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388" w:type="pct"/>
                  <w:vMerge w:val="continue"/>
                  <w:noWrap w:val="0"/>
                  <w:vAlign w:val="center"/>
                </w:tcPr>
                <w:p w14:paraId="56A30D80">
                  <w:pPr>
                    <w:spacing w:line="240" w:lineRule="auto"/>
                    <w:jc w:val="center"/>
                    <w:rPr>
                      <w:rFonts w:hint="default" w:ascii="Times New Roman" w:hAnsi="Times New Roman" w:cs="Times New Roman" w:eastAsiaTheme="minorEastAsia"/>
                      <w:color w:val="auto"/>
                      <w:sz w:val="21"/>
                      <w:szCs w:val="21"/>
                    </w:rPr>
                  </w:pPr>
                </w:p>
              </w:tc>
              <w:tc>
                <w:tcPr>
                  <w:tcW w:w="301" w:type="pct"/>
                  <w:vMerge w:val="restart"/>
                  <w:noWrap w:val="0"/>
                  <w:tcMar>
                    <w:top w:w="15" w:type="dxa"/>
                    <w:left w:w="15" w:type="dxa"/>
                    <w:bottom w:w="0" w:type="dxa"/>
                    <w:right w:w="15" w:type="dxa"/>
                  </w:tcMar>
                  <w:vAlign w:val="center"/>
                </w:tcPr>
                <w:p w14:paraId="28EED7BB">
                  <w:pPr>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固废</w:t>
                  </w:r>
                </w:p>
              </w:tc>
              <w:tc>
                <w:tcPr>
                  <w:tcW w:w="1020" w:type="pct"/>
                  <w:noWrap w:val="0"/>
                  <w:tcMar>
                    <w:top w:w="15" w:type="dxa"/>
                    <w:left w:w="15" w:type="dxa"/>
                    <w:bottom w:w="0" w:type="dxa"/>
                    <w:right w:w="15" w:type="dxa"/>
                  </w:tcMar>
                  <w:vAlign w:val="center"/>
                </w:tcPr>
                <w:p w14:paraId="3D5279F0">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危险</w:t>
                  </w:r>
                  <w:r>
                    <w:rPr>
                      <w:rFonts w:hint="default" w:ascii="Times New Roman" w:hAnsi="Times New Roman" w:cs="Times New Roman" w:eastAsiaTheme="minorEastAsia"/>
                      <w:color w:val="auto"/>
                      <w:sz w:val="21"/>
                      <w:szCs w:val="21"/>
                    </w:rPr>
                    <w:t>固废库房（m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898" w:type="pct"/>
                  <w:noWrap w:val="0"/>
                  <w:tcMar>
                    <w:top w:w="15" w:type="dxa"/>
                    <w:left w:w="15" w:type="dxa"/>
                    <w:bottom w:w="0" w:type="dxa"/>
                    <w:right w:w="15" w:type="dxa"/>
                  </w:tcMar>
                  <w:vAlign w:val="center"/>
                </w:tcPr>
                <w:p w14:paraId="2F9B5225">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3.75</w:t>
                  </w:r>
                </w:p>
              </w:tc>
              <w:tc>
                <w:tcPr>
                  <w:tcW w:w="2391" w:type="pct"/>
                  <w:noWrap w:val="0"/>
                  <w:vAlign w:val="center"/>
                </w:tcPr>
                <w:p w14:paraId="3D13FD4A">
                  <w:pPr>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储存生产过程中产生的危险固废</w:t>
                  </w:r>
                </w:p>
              </w:tc>
            </w:tr>
            <w:tr w14:paraId="104F4129">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388" w:type="pct"/>
                  <w:vMerge w:val="continue"/>
                  <w:noWrap w:val="0"/>
                  <w:vAlign w:val="center"/>
                </w:tcPr>
                <w:p w14:paraId="1030A9A6">
                  <w:pPr>
                    <w:spacing w:line="240" w:lineRule="auto"/>
                    <w:jc w:val="center"/>
                    <w:rPr>
                      <w:rFonts w:hint="default" w:ascii="Times New Roman" w:hAnsi="Times New Roman" w:cs="Times New Roman" w:eastAsiaTheme="minorEastAsia"/>
                      <w:color w:val="auto"/>
                      <w:sz w:val="21"/>
                      <w:szCs w:val="21"/>
                    </w:rPr>
                  </w:pPr>
                </w:p>
              </w:tc>
              <w:tc>
                <w:tcPr>
                  <w:tcW w:w="301" w:type="pct"/>
                  <w:vMerge w:val="continue"/>
                  <w:noWrap w:val="0"/>
                  <w:tcMar>
                    <w:top w:w="15" w:type="dxa"/>
                    <w:left w:w="15" w:type="dxa"/>
                    <w:bottom w:w="0" w:type="dxa"/>
                    <w:right w:w="15" w:type="dxa"/>
                  </w:tcMar>
                  <w:vAlign w:val="center"/>
                </w:tcPr>
                <w:p w14:paraId="390E68F9">
                  <w:pPr>
                    <w:spacing w:line="240" w:lineRule="auto"/>
                    <w:jc w:val="center"/>
                    <w:rPr>
                      <w:rFonts w:hint="default" w:ascii="Times New Roman" w:hAnsi="Times New Roman" w:cs="Times New Roman" w:eastAsiaTheme="minorEastAsia"/>
                      <w:color w:val="auto"/>
                      <w:kern w:val="0"/>
                      <w:sz w:val="21"/>
                      <w:szCs w:val="21"/>
                    </w:rPr>
                  </w:pPr>
                </w:p>
              </w:tc>
              <w:tc>
                <w:tcPr>
                  <w:tcW w:w="1020" w:type="pct"/>
                  <w:noWrap w:val="0"/>
                  <w:tcMar>
                    <w:top w:w="15" w:type="dxa"/>
                    <w:left w:w="15" w:type="dxa"/>
                    <w:bottom w:w="0" w:type="dxa"/>
                    <w:right w:w="15" w:type="dxa"/>
                  </w:tcMar>
                  <w:vAlign w:val="center"/>
                </w:tcPr>
                <w:p w14:paraId="51B601AC">
                  <w:pPr>
                    <w:spacing w:line="240" w:lineRule="auto"/>
                    <w:jc w:val="center"/>
                    <w:rPr>
                      <w:rFonts w:hint="default" w:ascii="Times New Roman" w:hAnsi="Times New Roman" w:cs="Times New Roman" w:eastAsiaTheme="minorEastAsia"/>
                      <w:color w:val="FF0000"/>
                      <w:sz w:val="21"/>
                      <w:szCs w:val="21"/>
                      <w:lang w:val="en-US" w:eastAsia="zh-CN"/>
                    </w:rPr>
                  </w:pPr>
                  <w:r>
                    <w:rPr>
                      <w:rFonts w:hint="eastAsia" w:cs="Times New Roman" w:eastAsiaTheme="minorEastAsia"/>
                      <w:color w:val="000000" w:themeColor="text1"/>
                      <w:sz w:val="21"/>
                      <w:szCs w:val="21"/>
                      <w:lang w:val="en-US" w:eastAsia="zh-CN"/>
                      <w14:textFill>
                        <w14:solidFill>
                          <w14:schemeClr w14:val="tx1"/>
                        </w14:solidFill>
                      </w14:textFill>
                    </w:rPr>
                    <w:t>危废暂存点（储存罐）（1m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r>
                    <w:rPr>
                      <w:rFonts w:hint="eastAsia" w:cs="Times New Roman" w:eastAsiaTheme="minorEastAsia"/>
                      <w:color w:val="000000" w:themeColor="text1"/>
                      <w:sz w:val="21"/>
                      <w:szCs w:val="21"/>
                      <w:lang w:val="en-US" w:eastAsia="zh-CN"/>
                      <w14:textFill>
                        <w14:solidFill>
                          <w14:schemeClr w14:val="tx1"/>
                        </w14:solidFill>
                      </w14:textFill>
                    </w:rPr>
                    <w:t>）</w:t>
                  </w:r>
                </w:p>
              </w:tc>
              <w:tc>
                <w:tcPr>
                  <w:tcW w:w="898" w:type="pct"/>
                  <w:noWrap w:val="0"/>
                  <w:tcMar>
                    <w:top w:w="15" w:type="dxa"/>
                    <w:left w:w="15" w:type="dxa"/>
                    <w:bottom w:w="0" w:type="dxa"/>
                    <w:right w:w="15" w:type="dxa"/>
                  </w:tcMar>
                  <w:vAlign w:val="center"/>
                </w:tcPr>
                <w:p w14:paraId="19B0CF40">
                  <w:pPr>
                    <w:spacing w:line="240" w:lineRule="auto"/>
                    <w:jc w:val="center"/>
                    <w:rPr>
                      <w:rFonts w:hint="default" w:ascii="Times New Roman" w:hAnsi="Times New Roman" w:cs="Times New Roman" w:eastAsiaTheme="minorEastAsia"/>
                      <w:color w:val="FF0000"/>
                      <w:sz w:val="21"/>
                      <w:szCs w:val="21"/>
                      <w:lang w:val="en-US" w:eastAsia="zh-CN"/>
                    </w:rPr>
                  </w:pPr>
                  <w:r>
                    <w:rPr>
                      <w:rFonts w:hint="eastAsia" w:cs="Times New Roman" w:eastAsiaTheme="minorEastAsia"/>
                      <w:color w:val="000000" w:themeColor="text1"/>
                      <w:sz w:val="21"/>
                      <w:szCs w:val="21"/>
                      <w:lang w:val="en-US" w:eastAsia="zh-CN"/>
                      <w14:textFill>
                        <w14:solidFill>
                          <w14:schemeClr w14:val="tx1"/>
                        </w14:solidFill>
                      </w14:textFill>
                    </w:rPr>
                    <w:t>1</w:t>
                  </w:r>
                </w:p>
              </w:tc>
              <w:tc>
                <w:tcPr>
                  <w:tcW w:w="2391" w:type="pct"/>
                  <w:noWrap w:val="0"/>
                  <w:vAlign w:val="center"/>
                </w:tcPr>
                <w:p w14:paraId="75572AB2">
                  <w:pPr>
                    <w:spacing w:line="240" w:lineRule="auto"/>
                    <w:jc w:val="center"/>
                    <w:rPr>
                      <w:rFonts w:hint="default" w:ascii="Times New Roman" w:hAnsi="Times New Roman" w:cs="Times New Roman" w:eastAsiaTheme="minorEastAsia"/>
                      <w:color w:val="FF0000"/>
                      <w:sz w:val="21"/>
                      <w:szCs w:val="21"/>
                      <w:lang w:val="en-US" w:eastAsia="zh-CN"/>
                    </w:rPr>
                  </w:pPr>
                  <w:r>
                    <w:rPr>
                      <w:rFonts w:hint="eastAsia" w:cs="Times New Roman" w:eastAsiaTheme="minorEastAsia"/>
                      <w:color w:val="000000" w:themeColor="text1"/>
                      <w:sz w:val="21"/>
                      <w:szCs w:val="21"/>
                      <w:lang w:val="en-US" w:eastAsia="zh-CN"/>
                      <w14:textFill>
                        <w14:solidFill>
                          <w14:schemeClr w14:val="tx1"/>
                        </w14:solidFill>
                      </w14:textFill>
                    </w:rPr>
                    <w:t>储存生产过程中产生的废液</w:t>
                  </w:r>
                </w:p>
              </w:tc>
            </w:tr>
            <w:tr w14:paraId="46E0ECC0">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388" w:type="pct"/>
                  <w:vMerge w:val="continue"/>
                  <w:noWrap w:val="0"/>
                  <w:vAlign w:val="center"/>
                </w:tcPr>
                <w:p w14:paraId="6BA494B6">
                  <w:pPr>
                    <w:spacing w:line="240" w:lineRule="auto"/>
                    <w:jc w:val="center"/>
                    <w:rPr>
                      <w:rFonts w:hint="default" w:ascii="Times New Roman" w:hAnsi="Times New Roman" w:cs="Times New Roman" w:eastAsiaTheme="minorEastAsia"/>
                      <w:color w:val="auto"/>
                      <w:sz w:val="21"/>
                      <w:szCs w:val="21"/>
                    </w:rPr>
                  </w:pPr>
                </w:p>
              </w:tc>
              <w:tc>
                <w:tcPr>
                  <w:tcW w:w="301" w:type="pct"/>
                  <w:vMerge w:val="continue"/>
                  <w:noWrap w:val="0"/>
                  <w:tcMar>
                    <w:top w:w="15" w:type="dxa"/>
                    <w:left w:w="15" w:type="dxa"/>
                    <w:bottom w:w="0" w:type="dxa"/>
                    <w:right w:w="15" w:type="dxa"/>
                  </w:tcMar>
                  <w:vAlign w:val="center"/>
                </w:tcPr>
                <w:p w14:paraId="72F8A503">
                  <w:pPr>
                    <w:spacing w:line="240" w:lineRule="auto"/>
                    <w:jc w:val="center"/>
                    <w:rPr>
                      <w:rFonts w:hint="default" w:ascii="Times New Roman" w:hAnsi="Times New Roman" w:cs="Times New Roman" w:eastAsiaTheme="minorEastAsia"/>
                      <w:color w:val="auto"/>
                      <w:kern w:val="0"/>
                      <w:sz w:val="21"/>
                      <w:szCs w:val="21"/>
                    </w:rPr>
                  </w:pPr>
                </w:p>
              </w:tc>
              <w:tc>
                <w:tcPr>
                  <w:tcW w:w="1020" w:type="pct"/>
                  <w:noWrap w:val="0"/>
                  <w:tcMar>
                    <w:top w:w="15" w:type="dxa"/>
                    <w:left w:w="15" w:type="dxa"/>
                    <w:bottom w:w="0" w:type="dxa"/>
                    <w:right w:w="15" w:type="dxa"/>
                  </w:tcMar>
                  <w:vAlign w:val="center"/>
                </w:tcPr>
                <w:p w14:paraId="59F3C25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一般固废</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898" w:type="pct"/>
                  <w:noWrap w:val="0"/>
                  <w:tcMar>
                    <w:top w:w="15" w:type="dxa"/>
                    <w:left w:w="15" w:type="dxa"/>
                    <w:bottom w:w="0" w:type="dxa"/>
                    <w:right w:w="15" w:type="dxa"/>
                  </w:tcMar>
                  <w:vAlign w:val="center"/>
                </w:tcPr>
                <w:p w14:paraId="24B7718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w:t>
                  </w:r>
                </w:p>
              </w:tc>
              <w:tc>
                <w:tcPr>
                  <w:tcW w:w="2391" w:type="pct"/>
                  <w:noWrap w:val="0"/>
                  <w:vAlign w:val="center"/>
                </w:tcPr>
                <w:p w14:paraId="23281503">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储存生产过程中产生的一般固废</w:t>
                  </w:r>
                </w:p>
              </w:tc>
            </w:tr>
            <w:tr w14:paraId="490B534C">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77" w:hRule="atLeast"/>
                <w:jc w:val="center"/>
              </w:trPr>
              <w:tc>
                <w:tcPr>
                  <w:tcW w:w="388" w:type="pct"/>
                  <w:vMerge w:val="continue"/>
                  <w:noWrap w:val="0"/>
                  <w:vAlign w:val="center"/>
                </w:tcPr>
                <w:p w14:paraId="2DCB25C9">
                  <w:pPr>
                    <w:spacing w:line="240" w:lineRule="auto"/>
                    <w:jc w:val="center"/>
                    <w:rPr>
                      <w:rFonts w:hint="default" w:ascii="Times New Roman" w:hAnsi="Times New Roman" w:cs="Times New Roman" w:eastAsiaTheme="minorEastAsia"/>
                      <w:color w:val="auto"/>
                      <w:sz w:val="21"/>
                      <w:szCs w:val="21"/>
                    </w:rPr>
                  </w:pPr>
                </w:p>
              </w:tc>
              <w:tc>
                <w:tcPr>
                  <w:tcW w:w="301" w:type="pct"/>
                  <w:vMerge w:val="restart"/>
                  <w:noWrap w:val="0"/>
                  <w:tcMar>
                    <w:top w:w="15" w:type="dxa"/>
                    <w:left w:w="15" w:type="dxa"/>
                    <w:bottom w:w="0" w:type="dxa"/>
                    <w:right w:w="15" w:type="dxa"/>
                  </w:tcMar>
                  <w:vAlign w:val="center"/>
                </w:tcPr>
                <w:p w14:paraId="128D8BC4">
                  <w:pPr>
                    <w:spacing w:line="240" w:lineRule="auto"/>
                    <w:jc w:val="center"/>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废气</w:t>
                  </w:r>
                </w:p>
              </w:tc>
              <w:tc>
                <w:tcPr>
                  <w:tcW w:w="1020" w:type="pct"/>
                  <w:noWrap w:val="0"/>
                  <w:tcMar>
                    <w:top w:w="15" w:type="dxa"/>
                    <w:left w:w="15" w:type="dxa"/>
                    <w:bottom w:w="0" w:type="dxa"/>
                    <w:right w:w="15" w:type="dxa"/>
                  </w:tcMar>
                  <w:vAlign w:val="center"/>
                </w:tcPr>
                <w:p w14:paraId="53CED6F5">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非甲烷总烃、臭气浓度</w:t>
                  </w:r>
                </w:p>
              </w:tc>
              <w:tc>
                <w:tcPr>
                  <w:tcW w:w="898" w:type="pct"/>
                  <w:noWrap w:val="0"/>
                  <w:tcMar>
                    <w:top w:w="15" w:type="dxa"/>
                    <w:left w:w="15" w:type="dxa"/>
                    <w:bottom w:w="0" w:type="dxa"/>
                    <w:right w:w="15" w:type="dxa"/>
                  </w:tcMar>
                  <w:vAlign w:val="center"/>
                </w:tcPr>
                <w:p w14:paraId="1D6514D6">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内置活性炭过滤器的无管道通风柜</w:t>
                  </w:r>
                </w:p>
              </w:tc>
              <w:tc>
                <w:tcPr>
                  <w:tcW w:w="2391" w:type="pct"/>
                  <w:vMerge w:val="restart"/>
                  <w:noWrap w:val="0"/>
                  <w:vAlign w:val="center"/>
                </w:tcPr>
                <w:p w14:paraId="7DE3F9B4">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无组织排放</w:t>
                  </w:r>
                </w:p>
              </w:tc>
            </w:tr>
            <w:tr w14:paraId="25A51170">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77" w:hRule="atLeast"/>
                <w:jc w:val="center"/>
              </w:trPr>
              <w:tc>
                <w:tcPr>
                  <w:tcW w:w="388" w:type="pct"/>
                  <w:vMerge w:val="continue"/>
                  <w:noWrap w:val="0"/>
                  <w:vAlign w:val="center"/>
                </w:tcPr>
                <w:p w14:paraId="00BC3034">
                  <w:pPr>
                    <w:spacing w:line="240" w:lineRule="auto"/>
                    <w:jc w:val="center"/>
                  </w:pPr>
                </w:p>
              </w:tc>
              <w:tc>
                <w:tcPr>
                  <w:tcW w:w="301" w:type="pct"/>
                  <w:vMerge w:val="continue"/>
                  <w:noWrap w:val="0"/>
                  <w:tcMar>
                    <w:top w:w="15" w:type="dxa"/>
                    <w:left w:w="15" w:type="dxa"/>
                    <w:bottom w:w="0" w:type="dxa"/>
                    <w:right w:w="15" w:type="dxa"/>
                  </w:tcMar>
                  <w:vAlign w:val="center"/>
                </w:tcPr>
                <w:p w14:paraId="642B7659">
                  <w:pPr>
                    <w:spacing w:line="240" w:lineRule="auto"/>
                    <w:jc w:val="center"/>
                  </w:pPr>
                </w:p>
              </w:tc>
              <w:tc>
                <w:tcPr>
                  <w:tcW w:w="1020" w:type="pct"/>
                  <w:noWrap w:val="0"/>
                  <w:tcMar>
                    <w:top w:w="15" w:type="dxa"/>
                    <w:left w:w="15" w:type="dxa"/>
                    <w:bottom w:w="0" w:type="dxa"/>
                    <w:right w:w="15" w:type="dxa"/>
                  </w:tcMar>
                  <w:vAlign w:val="center"/>
                </w:tcPr>
                <w:p w14:paraId="1CCCC80C">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898" w:type="pct"/>
                  <w:noWrap w:val="0"/>
                  <w:tcMar>
                    <w:top w:w="15" w:type="dxa"/>
                    <w:left w:w="15" w:type="dxa"/>
                    <w:bottom w:w="0" w:type="dxa"/>
                    <w:right w:w="15" w:type="dxa"/>
                  </w:tcMar>
                  <w:vAlign w:val="center"/>
                </w:tcPr>
                <w:p w14:paraId="428D499C">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2391" w:type="pct"/>
                  <w:vMerge w:val="continue"/>
                  <w:noWrap w:val="0"/>
                  <w:vAlign w:val="center"/>
                </w:tcPr>
                <w:p w14:paraId="1555C654">
                  <w:pPr>
                    <w:spacing w:line="240" w:lineRule="auto"/>
                    <w:jc w:val="center"/>
                    <w:rPr>
                      <w:rFonts w:hint="default" w:cs="Times New Roman" w:eastAsiaTheme="minorEastAsia"/>
                      <w:color w:val="auto"/>
                      <w:sz w:val="21"/>
                      <w:szCs w:val="21"/>
                      <w:lang w:val="en-US" w:eastAsia="zh-CN"/>
                    </w:rPr>
                  </w:pPr>
                </w:p>
              </w:tc>
            </w:tr>
            <w:tr w14:paraId="23B979A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88" w:type="pct"/>
                  <w:vMerge w:val="continue"/>
                  <w:noWrap w:val="0"/>
                  <w:vAlign w:val="center"/>
                </w:tcPr>
                <w:p w14:paraId="513B0834">
                  <w:pPr>
                    <w:spacing w:line="240" w:lineRule="auto"/>
                    <w:jc w:val="center"/>
                    <w:rPr>
                      <w:rFonts w:hint="default" w:ascii="Times New Roman" w:hAnsi="Times New Roman" w:cs="Times New Roman" w:eastAsiaTheme="minorEastAsia"/>
                      <w:color w:val="auto"/>
                      <w:sz w:val="21"/>
                      <w:szCs w:val="21"/>
                    </w:rPr>
                  </w:pPr>
                </w:p>
              </w:tc>
              <w:tc>
                <w:tcPr>
                  <w:tcW w:w="301" w:type="pct"/>
                  <w:noWrap w:val="0"/>
                  <w:tcMar>
                    <w:top w:w="15" w:type="dxa"/>
                    <w:left w:w="15" w:type="dxa"/>
                    <w:bottom w:w="0" w:type="dxa"/>
                    <w:right w:w="15" w:type="dxa"/>
                  </w:tcMar>
                  <w:vAlign w:val="center"/>
                </w:tcPr>
                <w:p w14:paraId="07FF26DB">
                  <w:pPr>
                    <w:spacing w:line="240" w:lineRule="auto"/>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风险</w:t>
                  </w:r>
                </w:p>
              </w:tc>
              <w:tc>
                <w:tcPr>
                  <w:tcW w:w="1020" w:type="pct"/>
                  <w:noWrap w:val="0"/>
                  <w:tcMar>
                    <w:top w:w="15" w:type="dxa"/>
                    <w:left w:w="15" w:type="dxa"/>
                    <w:bottom w:w="0" w:type="dxa"/>
                    <w:right w:w="15" w:type="dxa"/>
                  </w:tcMar>
                  <w:vAlign w:val="center"/>
                </w:tcPr>
                <w:p w14:paraId="3B965098">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事故应急池</w:t>
                  </w:r>
                  <w:r>
                    <w:rPr>
                      <w:rFonts w:hint="eastAsia" w:cs="Times New Roman" w:eastAsiaTheme="minorEastAsia"/>
                      <w:color w:val="auto"/>
                      <w:sz w:val="21"/>
                      <w:szCs w:val="21"/>
                      <w:lang w:eastAsia="zh-CN"/>
                    </w:rPr>
                    <w:t>（</w:t>
                  </w:r>
                  <w:r>
                    <w:rPr>
                      <w:rFonts w:hint="eastAsia" w:cs="Times New Roman" w:eastAsiaTheme="minorEastAsia"/>
                      <w:color w:val="auto"/>
                      <w:sz w:val="21"/>
                      <w:szCs w:val="21"/>
                      <w:lang w:val="en-US" w:eastAsia="zh-CN"/>
                    </w:rPr>
                    <w:t>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eastAsia="zh-CN"/>
                    </w:rPr>
                    <w:t>）</w:t>
                  </w:r>
                </w:p>
              </w:tc>
              <w:tc>
                <w:tcPr>
                  <w:tcW w:w="898" w:type="pct"/>
                  <w:noWrap w:val="0"/>
                  <w:tcMar>
                    <w:top w:w="15" w:type="dxa"/>
                    <w:left w:w="15" w:type="dxa"/>
                    <w:bottom w:w="0" w:type="dxa"/>
                    <w:right w:w="15" w:type="dxa"/>
                  </w:tcMar>
                  <w:vAlign w:val="center"/>
                </w:tcPr>
                <w:p w14:paraId="103A9F5B">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color w:val="auto"/>
                      <w:sz w:val="21"/>
                      <w:szCs w:val="21"/>
                      <w:lang w:val="en-US" w:eastAsia="zh-CN"/>
                    </w:rPr>
                    <w:t>1832.2</w:t>
                  </w:r>
                </w:p>
              </w:tc>
              <w:tc>
                <w:tcPr>
                  <w:tcW w:w="2391" w:type="pct"/>
                  <w:noWrap w:val="0"/>
                  <w:vAlign w:val="center"/>
                </w:tcPr>
                <w:p w14:paraId="77F55963">
                  <w:pPr>
                    <w:spacing w:line="240" w:lineRule="auto"/>
                    <w:jc w:val="center"/>
                    <w:rPr>
                      <w:rFonts w:hint="default" w:eastAsia="宋体"/>
                      <w:lang w:val="en-US" w:eastAsia="zh-CN"/>
                    </w:rPr>
                  </w:pPr>
                  <w:r>
                    <w:rPr>
                      <w:rFonts w:hint="default" w:ascii="Times New Roman" w:hAnsi="Times New Roman" w:cs="Times New Roman" w:eastAsiaTheme="minorEastAsia"/>
                      <w:color w:val="000000" w:themeColor="text1"/>
                      <w:spacing w:val="-6"/>
                      <w:kern w:val="0"/>
                      <w:sz w:val="21"/>
                      <w:szCs w:val="21"/>
                      <w:lang w:val="en-US" w:eastAsia="zh-CN"/>
                      <w14:textFill>
                        <w14:solidFill>
                          <w14:schemeClr w14:val="tx1"/>
                        </w14:solidFill>
                      </w14:textFill>
                    </w:rPr>
                    <w:t>依托</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园</w:t>
                  </w:r>
                  <w:r>
                    <w:rPr>
                      <w:rFonts w:hint="eastAsia"/>
                      <w:color w:val="000000" w:themeColor="text1"/>
                      <w:lang w:val="en-US" w:eastAsia="zh-CN"/>
                      <w14:textFill>
                        <w14:solidFill>
                          <w14:schemeClr w14:val="tx1"/>
                        </w14:solidFill>
                      </w14:textFill>
                    </w:rPr>
                    <w:t>区，距离厂房最近的事故应急池为400m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两个应急事故应急池互相联通，且设置阀门</w:t>
                  </w:r>
                </w:p>
              </w:tc>
            </w:tr>
          </w:tbl>
          <w:p w14:paraId="015A9A2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依托可行性分析：</w:t>
            </w:r>
          </w:p>
          <w:p w14:paraId="14D90ED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eastAsia="宋体"/>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本项目租用位于</w:t>
            </w:r>
            <w:bookmarkStart w:id="28" w:name="OLE_LINK23"/>
            <w:r>
              <w:rPr>
                <w:rFonts w:hint="default" w:ascii="Times New Roman" w:hAnsi="Times New Roman" w:eastAsia="宋体" w:cs="Times New Roman"/>
                <w:color w:val="000000" w:themeColor="text1"/>
                <w:sz w:val="24"/>
                <w:lang w:eastAsia="zh-CN"/>
                <w14:textFill>
                  <w14:solidFill>
                    <w14:schemeClr w14:val="tx1"/>
                  </w14:solidFill>
                </w14:textFill>
              </w:rPr>
              <w:t>蓝色彩虹(常州)孵化器有限公司</w:t>
            </w:r>
            <w:bookmarkEnd w:id="28"/>
            <w:r>
              <w:rPr>
                <w:rFonts w:hint="eastAsia" w:cs="Times New Roman"/>
                <w:color w:val="000000" w:themeColor="text1"/>
                <w:sz w:val="24"/>
                <w:lang w:val="en-US" w:eastAsia="zh-CN"/>
                <w14:textFill>
                  <w14:solidFill>
                    <w14:schemeClr w14:val="tx1"/>
                  </w14:solidFill>
                </w14:textFill>
              </w:rPr>
              <w:t>的空余厂房156</w:t>
            </w:r>
            <w:bookmarkStart w:id="29" w:name="OLE_LINK59"/>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w:t>
            </w:r>
            <w:bookmarkEnd w:id="29"/>
            <w:r>
              <w:rPr>
                <w:rFonts w:hint="default" w:ascii="Times New Roman" w:hAnsi="Times New Roman" w:eastAsia="宋体" w:cs="Times New Roman"/>
                <w:color w:val="000000" w:themeColor="text1"/>
                <w:sz w:val="24"/>
                <w:lang w:eastAsia="zh-CN"/>
                <w14:textFill>
                  <w14:solidFill>
                    <w14:schemeClr w14:val="tx1"/>
                  </w14:solidFill>
                </w14:textFill>
              </w:rPr>
              <w:t>可满足本项目生产所需</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蓝色彩虹(常州)孵化器有限公司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租用江苏金坛经济开发区管理委员会厂房</w:t>
            </w:r>
            <w:r>
              <w:rPr>
                <w:rFonts w:hint="eastAsia" w:cs="Times New Roman"/>
                <w:color w:val="000000" w:themeColor="text1"/>
                <w:sz w:val="24"/>
                <w:lang w:val="en-US" w:eastAsia="zh-CN"/>
                <w14:textFill>
                  <w14:solidFill>
                    <w14:schemeClr w14:val="tx1"/>
                  </w14:solidFill>
                </w14:textFill>
              </w:rPr>
              <w:t>9号楼（一层184</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，二层1413</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，一层被租用给常州新一产生命科技有限公司，其他区域为闲置厂房），目前房屋产权证正在办理中；</w:t>
            </w:r>
            <w:r>
              <w:rPr>
                <w:rFonts w:hint="eastAsia" w:ascii="Times New Roman" w:hAnsi="Times New Roman" w:eastAsia="宋体" w:cs="Times New Roman"/>
                <w:color w:val="000000" w:themeColor="text1"/>
                <w:sz w:val="24"/>
                <w:lang w:val="en-US" w:eastAsia="zh-CN"/>
                <w14:textFill>
                  <w14:solidFill>
                    <w14:schemeClr w14:val="tx1"/>
                  </w14:solidFill>
                </w14:textFill>
              </w:rPr>
              <w:t>厂</w:t>
            </w:r>
            <w:r>
              <w:rPr>
                <w:rFonts w:hint="default" w:ascii="Times New Roman" w:hAnsi="Times New Roman" w:eastAsia="宋体" w:cs="Times New Roman"/>
                <w:color w:val="000000" w:themeColor="text1"/>
                <w:sz w:val="24"/>
                <w:lang w:eastAsia="zh-CN"/>
                <w14:textFill>
                  <w14:solidFill>
                    <w14:schemeClr w14:val="tx1"/>
                  </w14:solidFill>
                </w14:textFill>
              </w:rPr>
              <w:t>区内已实施雨污分流，已建设污水管网及排口、雨水管网及排口、供电线路及供水管网。供水由市政给水管网提供，依托厂区已建管网；排水依托厂区现有雨污管网，供电依托厂区供电管网，满足本项目使用需求</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园区内公共设施依托</w:t>
            </w:r>
            <w:r>
              <w:rPr>
                <w:rFonts w:hint="eastAsia" w:ascii="Times New Roman" w:hAnsi="Times New Roman" w:eastAsia="宋体" w:cs="Times New Roman"/>
                <w:color w:val="000000" w:themeColor="text1"/>
                <w:sz w:val="24"/>
                <w:lang w:val="en-US" w:eastAsia="zh-CN"/>
                <w14:textFill>
                  <w14:solidFill>
                    <w14:schemeClr w14:val="tx1"/>
                  </w14:solidFill>
                </w14:textFill>
              </w:rPr>
              <w:t>江苏金坛经济开发区管理委员会</w:t>
            </w:r>
            <w:r>
              <w:rPr>
                <w:rFonts w:hint="eastAsia" w:cs="Times New Roman"/>
                <w:color w:val="000000" w:themeColor="text1"/>
                <w:sz w:val="24"/>
                <w:lang w:val="en-US" w:eastAsia="zh-CN"/>
                <w14:textFill>
                  <w14:solidFill>
                    <w14:schemeClr w14:val="tx1"/>
                  </w14:solidFill>
                </w14:textFill>
              </w:rPr>
              <w:t>进行管理。</w:t>
            </w:r>
          </w:p>
          <w:p w14:paraId="155A7AC9">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480" w:lineRule="exact"/>
              <w:ind w:left="0" w:leftChars="0" w:firstLine="0" w:firstLineChars="0"/>
              <w:textAlignment w:val="auto"/>
              <w:rPr>
                <w:b/>
                <w:color w:val="auto"/>
                <w:sz w:val="21"/>
                <w:szCs w:val="21"/>
              </w:rPr>
            </w:pPr>
            <w:r>
              <w:rPr>
                <w:b/>
                <w:bCs/>
                <w:color w:val="auto"/>
                <w:kern w:val="0"/>
                <w:sz w:val="24"/>
                <w:szCs w:val="24"/>
              </w:rPr>
              <w:t>主要</w:t>
            </w:r>
            <w:r>
              <w:rPr>
                <w:rFonts w:hint="eastAsia"/>
                <w:b/>
                <w:bCs/>
                <w:color w:val="auto"/>
                <w:kern w:val="0"/>
                <w:sz w:val="24"/>
                <w:szCs w:val="24"/>
              </w:rPr>
              <w:t>生产</w:t>
            </w:r>
            <w:r>
              <w:rPr>
                <w:b/>
                <w:bCs/>
                <w:color w:val="auto"/>
                <w:kern w:val="0"/>
                <w:sz w:val="24"/>
                <w:szCs w:val="24"/>
              </w:rPr>
              <w:t>设备</w:t>
            </w:r>
          </w:p>
          <w:p w14:paraId="2A468C59">
            <w:pPr>
              <w:tabs>
                <w:tab w:val="left" w:pos="2127"/>
                <w:tab w:val="center" w:pos="4452"/>
                <w:tab w:val="right" w:pos="8246"/>
              </w:tabs>
              <w:spacing w:line="360" w:lineRule="exact"/>
              <w:jc w:val="center"/>
              <w:rPr>
                <w:b/>
                <w:color w:val="auto"/>
                <w:sz w:val="21"/>
                <w:szCs w:val="21"/>
              </w:rPr>
            </w:pPr>
            <w:r>
              <w:rPr>
                <w:b/>
                <w:color w:val="auto"/>
                <w:sz w:val="21"/>
                <w:szCs w:val="21"/>
              </w:rPr>
              <w:t>表2-</w:t>
            </w:r>
            <w:r>
              <w:rPr>
                <w:rFonts w:hint="eastAsia"/>
                <w:b/>
                <w:color w:val="auto"/>
                <w:sz w:val="21"/>
                <w:szCs w:val="21"/>
                <w:lang w:val="en-US" w:eastAsia="zh-CN"/>
              </w:rPr>
              <w:t>3</w:t>
            </w:r>
            <w:r>
              <w:rPr>
                <w:b/>
                <w:color w:val="auto"/>
                <w:sz w:val="21"/>
                <w:szCs w:val="21"/>
              </w:rPr>
              <w:t>本项目主</w:t>
            </w:r>
            <w:r>
              <w:rPr>
                <w:rFonts w:hint="eastAsia"/>
                <w:b/>
                <w:color w:val="auto"/>
                <w:sz w:val="21"/>
                <w:szCs w:val="21"/>
                <w:lang w:val="en-US" w:eastAsia="zh-CN"/>
              </w:rPr>
              <w:t>要生产设备</w:t>
            </w:r>
            <w:r>
              <w:rPr>
                <w:b/>
                <w:color w:val="auto"/>
                <w:sz w:val="21"/>
                <w:szCs w:val="21"/>
              </w:rPr>
              <w:t>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106"/>
              <w:gridCol w:w="708"/>
              <w:gridCol w:w="843"/>
              <w:gridCol w:w="758"/>
              <w:gridCol w:w="1536"/>
              <w:gridCol w:w="1687"/>
            </w:tblGrid>
            <w:tr w14:paraId="26FE8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75C4C1A1">
                  <w:pPr>
                    <w:widowControl/>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序号</w:t>
                  </w:r>
                </w:p>
              </w:tc>
              <w:tc>
                <w:tcPr>
                  <w:tcW w:w="1264" w:type="pct"/>
                  <w:tcBorders>
                    <w:tl2br w:val="nil"/>
                    <w:tr2bl w:val="nil"/>
                  </w:tcBorders>
                  <w:noWrap/>
                  <w:vAlign w:val="center"/>
                </w:tcPr>
                <w:p w14:paraId="41F8F445">
                  <w:pPr>
                    <w:widowControl/>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设备名称</w:t>
                  </w:r>
                </w:p>
              </w:tc>
              <w:tc>
                <w:tcPr>
                  <w:tcW w:w="425" w:type="pct"/>
                  <w:tcBorders>
                    <w:tl2br w:val="nil"/>
                    <w:tr2bl w:val="nil"/>
                  </w:tcBorders>
                  <w:noWrap/>
                  <w:vAlign w:val="center"/>
                </w:tcPr>
                <w:p w14:paraId="6CB4334D">
                  <w:pPr>
                    <w:widowControl/>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数量</w:t>
                  </w:r>
                </w:p>
              </w:tc>
              <w:tc>
                <w:tcPr>
                  <w:tcW w:w="506" w:type="pct"/>
                  <w:tcBorders>
                    <w:tl2br w:val="nil"/>
                    <w:tr2bl w:val="nil"/>
                  </w:tcBorders>
                  <w:noWrap/>
                  <w:vAlign w:val="center"/>
                </w:tcPr>
                <w:p w14:paraId="5AB1A9EA">
                  <w:pPr>
                    <w:widowControl/>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规格</w:t>
                  </w:r>
                </w:p>
              </w:tc>
              <w:tc>
                <w:tcPr>
                  <w:tcW w:w="455" w:type="pct"/>
                  <w:tcBorders>
                    <w:tl2br w:val="nil"/>
                    <w:tr2bl w:val="nil"/>
                  </w:tcBorders>
                  <w:noWrap/>
                  <w:vAlign w:val="center"/>
                </w:tcPr>
                <w:p w14:paraId="0AF94D5B">
                  <w:pPr>
                    <w:widowControl/>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单位</w:t>
                  </w:r>
                </w:p>
              </w:tc>
              <w:tc>
                <w:tcPr>
                  <w:tcW w:w="922" w:type="pct"/>
                  <w:tcBorders>
                    <w:tl2br w:val="nil"/>
                    <w:tr2bl w:val="nil"/>
                  </w:tcBorders>
                  <w:noWrap/>
                  <w:vAlign w:val="center"/>
                </w:tcPr>
                <w:p w14:paraId="0E478388">
                  <w:pPr>
                    <w:widowControl/>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用途</w:t>
                  </w:r>
                </w:p>
              </w:tc>
              <w:tc>
                <w:tcPr>
                  <w:tcW w:w="1013" w:type="pct"/>
                  <w:tcBorders>
                    <w:tl2br w:val="nil"/>
                    <w:tr2bl w:val="nil"/>
                  </w:tcBorders>
                  <w:noWrap/>
                  <w:vAlign w:val="center"/>
                </w:tcPr>
                <w:p w14:paraId="01F13407">
                  <w:pPr>
                    <w:widowControl/>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位置</w:t>
                  </w:r>
                </w:p>
              </w:tc>
            </w:tr>
            <w:tr w14:paraId="2BAF5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28ECBD3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1264" w:type="pct"/>
                  <w:tcBorders>
                    <w:tl2br w:val="nil"/>
                    <w:tr2bl w:val="nil"/>
                  </w:tcBorders>
                  <w:vAlign w:val="center"/>
                </w:tcPr>
                <w:p w14:paraId="7D08AA1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冰箱</w:t>
                  </w:r>
                </w:p>
              </w:tc>
              <w:tc>
                <w:tcPr>
                  <w:tcW w:w="425" w:type="pct"/>
                  <w:tcBorders>
                    <w:tl2br w:val="nil"/>
                    <w:tr2bl w:val="nil"/>
                  </w:tcBorders>
                  <w:noWrap/>
                  <w:vAlign w:val="center"/>
                </w:tcPr>
                <w:p w14:paraId="566926F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w:t>
                  </w:r>
                </w:p>
              </w:tc>
              <w:tc>
                <w:tcPr>
                  <w:tcW w:w="506" w:type="pct"/>
                  <w:tcBorders>
                    <w:tl2br w:val="nil"/>
                    <w:tr2bl w:val="nil"/>
                  </w:tcBorders>
                  <w:noWrap/>
                  <w:vAlign w:val="center"/>
                </w:tcPr>
                <w:p w14:paraId="0BC81FD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400L</w:t>
                  </w:r>
                </w:p>
              </w:tc>
              <w:tc>
                <w:tcPr>
                  <w:tcW w:w="455" w:type="pct"/>
                  <w:tcBorders>
                    <w:tl2br w:val="nil"/>
                    <w:tr2bl w:val="nil"/>
                  </w:tcBorders>
                  <w:noWrap/>
                  <w:vAlign w:val="center"/>
                </w:tcPr>
                <w:p w14:paraId="6BCA146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4F800E3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冷藏/冷冻菌种</w:t>
                  </w:r>
                </w:p>
              </w:tc>
              <w:tc>
                <w:tcPr>
                  <w:tcW w:w="1013" w:type="pct"/>
                  <w:tcBorders>
                    <w:tl2br w:val="nil"/>
                    <w:tr2bl w:val="nil"/>
                  </w:tcBorders>
                  <w:noWrap/>
                  <w:vAlign w:val="center"/>
                </w:tcPr>
                <w:p w14:paraId="0E425F0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3ECC8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2701B48D">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w:t>
                  </w:r>
                </w:p>
              </w:tc>
              <w:tc>
                <w:tcPr>
                  <w:tcW w:w="1264" w:type="pct"/>
                  <w:tcBorders>
                    <w:tl2br w:val="nil"/>
                    <w:tr2bl w:val="nil"/>
                  </w:tcBorders>
                  <w:vAlign w:val="center"/>
                </w:tcPr>
                <w:p w14:paraId="3CC63DE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r>
                    <w:rPr>
                      <w:rFonts w:hint="eastAsia" w:cs="Times New Roman" w:eastAsiaTheme="minorEastAsia"/>
                      <w:color w:val="000000"/>
                      <w:kern w:val="0"/>
                      <w:sz w:val="21"/>
                      <w:szCs w:val="21"/>
                      <w:lang w:val="en-US" w:eastAsia="zh-CN"/>
                    </w:rPr>
                    <w:t>2</w:t>
                  </w:r>
                  <w:r>
                    <w:rPr>
                      <w:rFonts w:hint="default" w:ascii="Times New Roman" w:hAnsi="Times New Roman" w:cs="Times New Roman" w:eastAsiaTheme="minorEastAsia"/>
                      <w:color w:val="000000"/>
                      <w:kern w:val="0"/>
                      <w:sz w:val="21"/>
                      <w:szCs w:val="21"/>
                    </w:rPr>
                    <w:t>0℃冰箱</w:t>
                  </w:r>
                </w:p>
              </w:tc>
              <w:tc>
                <w:tcPr>
                  <w:tcW w:w="425" w:type="pct"/>
                  <w:tcBorders>
                    <w:tl2br w:val="nil"/>
                    <w:tr2bl w:val="nil"/>
                  </w:tcBorders>
                  <w:noWrap/>
                  <w:vAlign w:val="center"/>
                </w:tcPr>
                <w:p w14:paraId="424E7D30">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1DC18AB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388L</w:t>
                  </w:r>
                </w:p>
              </w:tc>
              <w:tc>
                <w:tcPr>
                  <w:tcW w:w="455" w:type="pct"/>
                  <w:tcBorders>
                    <w:tl2br w:val="nil"/>
                    <w:tr2bl w:val="nil"/>
                  </w:tcBorders>
                  <w:noWrap/>
                  <w:vAlign w:val="center"/>
                </w:tcPr>
                <w:p w14:paraId="35A2A98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shd w:val="clear" w:color="auto" w:fill="auto"/>
                  <w:noWrap/>
                  <w:vAlign w:val="center"/>
                </w:tcPr>
                <w:p w14:paraId="12EFAB9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冷藏/冷冻菌种</w:t>
                  </w:r>
                </w:p>
              </w:tc>
              <w:tc>
                <w:tcPr>
                  <w:tcW w:w="1013" w:type="pct"/>
                  <w:tcBorders>
                    <w:tl2br w:val="nil"/>
                    <w:tr2bl w:val="nil"/>
                  </w:tcBorders>
                  <w:shd w:val="clear" w:color="auto" w:fill="auto"/>
                  <w:noWrap/>
                  <w:vAlign w:val="center"/>
                </w:tcPr>
                <w:p w14:paraId="37DE4FF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1E5B4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0949565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3</w:t>
                  </w:r>
                </w:p>
              </w:tc>
              <w:tc>
                <w:tcPr>
                  <w:tcW w:w="1264" w:type="pct"/>
                  <w:tcBorders>
                    <w:tl2br w:val="nil"/>
                    <w:tr2bl w:val="nil"/>
                  </w:tcBorders>
                  <w:noWrap/>
                  <w:vAlign w:val="center"/>
                </w:tcPr>
                <w:p w14:paraId="4244720E">
                  <w:pPr>
                    <w:widowControl/>
                    <w:jc w:val="center"/>
                    <w:rPr>
                      <w:rFonts w:hint="default" w:ascii="Times New Roman" w:hAnsi="Times New Roman" w:cs="Times New Roman" w:eastAsiaTheme="minorEastAsia"/>
                      <w:color w:val="000000"/>
                      <w:kern w:val="0"/>
                      <w:sz w:val="21"/>
                      <w:szCs w:val="21"/>
                    </w:rPr>
                  </w:pPr>
                  <w:bookmarkStart w:id="30" w:name="OLE_LINK63"/>
                  <w:r>
                    <w:rPr>
                      <w:rFonts w:hint="default" w:ascii="Times New Roman" w:hAnsi="Times New Roman" w:cs="Times New Roman" w:eastAsiaTheme="minorEastAsia"/>
                      <w:color w:val="000000"/>
                      <w:kern w:val="0"/>
                      <w:sz w:val="21"/>
                      <w:szCs w:val="21"/>
                    </w:rPr>
                    <w:t>生化培养箱两层</w:t>
                  </w:r>
                  <w:bookmarkEnd w:id="30"/>
                </w:p>
              </w:tc>
              <w:tc>
                <w:tcPr>
                  <w:tcW w:w="425" w:type="pct"/>
                  <w:tcBorders>
                    <w:tl2br w:val="nil"/>
                    <w:tr2bl w:val="nil"/>
                  </w:tcBorders>
                  <w:noWrap/>
                  <w:vAlign w:val="center"/>
                </w:tcPr>
                <w:p w14:paraId="4092727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w:t>
                  </w:r>
                </w:p>
              </w:tc>
              <w:tc>
                <w:tcPr>
                  <w:tcW w:w="506" w:type="pct"/>
                  <w:tcBorders>
                    <w:tl2br w:val="nil"/>
                    <w:tr2bl w:val="nil"/>
                  </w:tcBorders>
                  <w:noWrap/>
                  <w:vAlign w:val="center"/>
                </w:tcPr>
                <w:p w14:paraId="1896C43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200L</w:t>
                  </w:r>
                </w:p>
              </w:tc>
              <w:tc>
                <w:tcPr>
                  <w:tcW w:w="455" w:type="pct"/>
                  <w:tcBorders>
                    <w:tl2br w:val="nil"/>
                    <w:tr2bl w:val="nil"/>
                  </w:tcBorders>
                  <w:noWrap/>
                  <w:vAlign w:val="center"/>
                </w:tcPr>
                <w:p w14:paraId="24B3548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6D111FE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培养菌种</w:t>
                  </w:r>
                </w:p>
              </w:tc>
              <w:tc>
                <w:tcPr>
                  <w:tcW w:w="1013" w:type="pct"/>
                  <w:tcBorders>
                    <w:tl2br w:val="nil"/>
                    <w:tr2bl w:val="nil"/>
                  </w:tcBorders>
                  <w:shd w:val="clear" w:color="auto" w:fill="auto"/>
                  <w:noWrap/>
                  <w:vAlign w:val="center"/>
                </w:tcPr>
                <w:p w14:paraId="243576FD">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260C3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20316F7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4</w:t>
                  </w:r>
                </w:p>
              </w:tc>
              <w:tc>
                <w:tcPr>
                  <w:tcW w:w="1264" w:type="pct"/>
                  <w:tcBorders>
                    <w:tl2br w:val="nil"/>
                    <w:tr2bl w:val="nil"/>
                  </w:tcBorders>
                  <w:noWrap/>
                  <w:vAlign w:val="center"/>
                </w:tcPr>
                <w:p w14:paraId="3D4E0AD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电鼓风干燥箱</w:t>
                  </w:r>
                </w:p>
              </w:tc>
              <w:tc>
                <w:tcPr>
                  <w:tcW w:w="425" w:type="pct"/>
                  <w:tcBorders>
                    <w:tl2br w:val="nil"/>
                    <w:tr2bl w:val="nil"/>
                  </w:tcBorders>
                  <w:noWrap/>
                  <w:vAlign w:val="center"/>
                </w:tcPr>
                <w:p w14:paraId="1FC1E38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2DA10F2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4387F44D">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40CD07C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干燥</w:t>
                  </w:r>
                </w:p>
              </w:tc>
              <w:tc>
                <w:tcPr>
                  <w:tcW w:w="1013" w:type="pct"/>
                  <w:tcBorders>
                    <w:tl2br w:val="nil"/>
                    <w:tr2bl w:val="nil"/>
                  </w:tcBorders>
                  <w:shd w:val="clear" w:color="auto" w:fill="auto"/>
                  <w:noWrap/>
                  <w:vAlign w:val="center"/>
                </w:tcPr>
                <w:p w14:paraId="6FCC7DE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391F2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0FF5FDD2">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5</w:t>
                  </w:r>
                </w:p>
              </w:tc>
              <w:tc>
                <w:tcPr>
                  <w:tcW w:w="1264" w:type="pct"/>
                  <w:tcBorders>
                    <w:tl2br w:val="nil"/>
                    <w:tr2bl w:val="nil"/>
                  </w:tcBorders>
                  <w:noWrap/>
                  <w:vAlign w:val="center"/>
                </w:tcPr>
                <w:p w14:paraId="611DF9A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灭菌锅</w:t>
                  </w:r>
                </w:p>
              </w:tc>
              <w:tc>
                <w:tcPr>
                  <w:tcW w:w="425" w:type="pct"/>
                  <w:tcBorders>
                    <w:tl2br w:val="nil"/>
                    <w:tr2bl w:val="nil"/>
                  </w:tcBorders>
                  <w:noWrap/>
                  <w:vAlign w:val="center"/>
                </w:tcPr>
                <w:p w14:paraId="39FE5FD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2C38E83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14557FB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240658CD">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灭菌</w:t>
                  </w:r>
                </w:p>
              </w:tc>
              <w:tc>
                <w:tcPr>
                  <w:tcW w:w="1013" w:type="pct"/>
                  <w:tcBorders>
                    <w:tl2br w:val="nil"/>
                    <w:tr2bl w:val="nil"/>
                  </w:tcBorders>
                  <w:shd w:val="clear" w:color="auto" w:fill="auto"/>
                  <w:noWrap/>
                  <w:vAlign w:val="center"/>
                </w:tcPr>
                <w:p w14:paraId="0B8B99A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75387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5558639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6</w:t>
                  </w:r>
                </w:p>
              </w:tc>
              <w:tc>
                <w:tcPr>
                  <w:tcW w:w="1264" w:type="pct"/>
                  <w:tcBorders>
                    <w:tl2br w:val="nil"/>
                    <w:tr2bl w:val="nil"/>
                  </w:tcBorders>
                  <w:noWrap/>
                  <w:vAlign w:val="center"/>
                </w:tcPr>
                <w:p w14:paraId="6993DFF2">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超净台</w:t>
                  </w:r>
                </w:p>
              </w:tc>
              <w:tc>
                <w:tcPr>
                  <w:tcW w:w="425" w:type="pct"/>
                  <w:tcBorders>
                    <w:tl2br w:val="nil"/>
                    <w:tr2bl w:val="nil"/>
                  </w:tcBorders>
                  <w:noWrap/>
                  <w:vAlign w:val="center"/>
                </w:tcPr>
                <w:p w14:paraId="7DBA151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0B50476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66AC094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0A0DB69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无菌操作</w:t>
                  </w:r>
                </w:p>
              </w:tc>
              <w:tc>
                <w:tcPr>
                  <w:tcW w:w="1013" w:type="pct"/>
                  <w:tcBorders>
                    <w:tl2br w:val="nil"/>
                    <w:tr2bl w:val="nil"/>
                  </w:tcBorders>
                  <w:shd w:val="clear" w:color="auto" w:fill="auto"/>
                  <w:noWrap/>
                  <w:vAlign w:val="center"/>
                </w:tcPr>
                <w:p w14:paraId="5D9E3E9D">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43626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shd w:val="clear" w:color="auto" w:fill="auto"/>
                  <w:vAlign w:val="center"/>
                </w:tcPr>
                <w:p w14:paraId="7C7E4602">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7</w:t>
                  </w:r>
                </w:p>
              </w:tc>
              <w:tc>
                <w:tcPr>
                  <w:tcW w:w="1264" w:type="pct"/>
                  <w:tcBorders>
                    <w:tl2br w:val="nil"/>
                    <w:tr2bl w:val="nil"/>
                  </w:tcBorders>
                  <w:vAlign w:val="center"/>
                </w:tcPr>
                <w:p w14:paraId="45CAE99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摇床</w:t>
                  </w:r>
                </w:p>
              </w:tc>
              <w:tc>
                <w:tcPr>
                  <w:tcW w:w="425" w:type="pct"/>
                  <w:tcBorders>
                    <w:tl2br w:val="nil"/>
                    <w:tr2bl w:val="nil"/>
                  </w:tcBorders>
                  <w:noWrap/>
                  <w:vAlign w:val="center"/>
                </w:tcPr>
                <w:p w14:paraId="19C6613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654EC0F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知楚</w:t>
                  </w:r>
                </w:p>
              </w:tc>
              <w:tc>
                <w:tcPr>
                  <w:tcW w:w="455" w:type="pct"/>
                  <w:tcBorders>
                    <w:tl2br w:val="nil"/>
                    <w:tr2bl w:val="nil"/>
                  </w:tcBorders>
                  <w:noWrap/>
                  <w:vAlign w:val="center"/>
                </w:tcPr>
                <w:p w14:paraId="6E4577C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1C24BD0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培养菌种</w:t>
                  </w:r>
                </w:p>
              </w:tc>
              <w:tc>
                <w:tcPr>
                  <w:tcW w:w="1013" w:type="pct"/>
                  <w:tcBorders>
                    <w:tl2br w:val="nil"/>
                    <w:tr2bl w:val="nil"/>
                  </w:tcBorders>
                  <w:shd w:val="clear" w:color="auto" w:fill="auto"/>
                  <w:noWrap/>
                  <w:vAlign w:val="center"/>
                </w:tcPr>
                <w:p w14:paraId="56D51C6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1CCC9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shd w:val="clear" w:color="auto" w:fill="auto"/>
                  <w:vAlign w:val="center"/>
                </w:tcPr>
                <w:p w14:paraId="49702FF8">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8</w:t>
                  </w:r>
                </w:p>
              </w:tc>
              <w:tc>
                <w:tcPr>
                  <w:tcW w:w="1264" w:type="pct"/>
                  <w:tcBorders>
                    <w:tl2br w:val="nil"/>
                    <w:tr2bl w:val="nil"/>
                  </w:tcBorders>
                  <w:vAlign w:val="center"/>
                </w:tcPr>
                <w:p w14:paraId="2F2A32AF">
                  <w:pPr>
                    <w:widowControl/>
                    <w:jc w:val="center"/>
                    <w:rPr>
                      <w:rFonts w:hint="default" w:ascii="Times New Roman" w:hAnsi="Times New Roman" w:cs="Times New Roman" w:eastAsiaTheme="minorEastAsia"/>
                      <w:color w:val="000000"/>
                      <w:kern w:val="0"/>
                      <w:sz w:val="21"/>
                      <w:szCs w:val="21"/>
                    </w:rPr>
                  </w:pPr>
                  <w:bookmarkStart w:id="31" w:name="OLE_LINK62"/>
                  <w:r>
                    <w:rPr>
                      <w:rFonts w:hint="default" w:ascii="Times New Roman" w:hAnsi="Times New Roman" w:cs="Times New Roman" w:eastAsiaTheme="minorEastAsia"/>
                      <w:color w:val="000000"/>
                      <w:kern w:val="0"/>
                      <w:sz w:val="21"/>
                      <w:szCs w:val="21"/>
                    </w:rPr>
                    <w:t>摇床</w:t>
                  </w:r>
                  <w:bookmarkEnd w:id="31"/>
                </w:p>
              </w:tc>
              <w:tc>
                <w:tcPr>
                  <w:tcW w:w="425" w:type="pct"/>
                  <w:tcBorders>
                    <w:tl2br w:val="nil"/>
                    <w:tr2bl w:val="nil"/>
                  </w:tcBorders>
                  <w:vAlign w:val="center"/>
                </w:tcPr>
                <w:p w14:paraId="033BF12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shd w:val="clear" w:color="000000" w:fill="auto"/>
                  <w:vAlign w:val="center"/>
                </w:tcPr>
                <w:p w14:paraId="55579B3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米欧</w:t>
                  </w:r>
                </w:p>
              </w:tc>
              <w:tc>
                <w:tcPr>
                  <w:tcW w:w="455" w:type="pct"/>
                  <w:tcBorders>
                    <w:tl2br w:val="nil"/>
                    <w:tr2bl w:val="nil"/>
                  </w:tcBorders>
                  <w:shd w:val="clear" w:color="000000" w:fill="auto"/>
                  <w:vAlign w:val="center"/>
                </w:tcPr>
                <w:p w14:paraId="25300620">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shd w:val="clear" w:color="000000" w:fill="auto"/>
                  <w:vAlign w:val="center"/>
                </w:tcPr>
                <w:p w14:paraId="0ADDC14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培养菌种</w:t>
                  </w:r>
                </w:p>
              </w:tc>
              <w:tc>
                <w:tcPr>
                  <w:tcW w:w="1013" w:type="pct"/>
                  <w:tcBorders>
                    <w:tl2br w:val="nil"/>
                    <w:tr2bl w:val="nil"/>
                  </w:tcBorders>
                  <w:shd w:val="clear" w:color="auto" w:fill="auto"/>
                  <w:vAlign w:val="center"/>
                </w:tcPr>
                <w:p w14:paraId="0766E134">
                  <w:pPr>
                    <w:widowControl/>
                    <w:jc w:val="center"/>
                    <w:rPr>
                      <w:rFonts w:hint="eastAsia" w:ascii="Times New Roman" w:hAnsi="Times New Roman" w:cs="Times New Roman" w:eastAsiaTheme="minorEastAsia"/>
                      <w:color w:val="000000"/>
                      <w:kern w:val="0"/>
                      <w:sz w:val="21"/>
                      <w:szCs w:val="21"/>
                      <w:lang w:val="en-US" w:eastAsia="zh-CN"/>
                    </w:rPr>
                  </w:pPr>
                  <w:r>
                    <w:rPr>
                      <w:rFonts w:hint="eastAsia" w:cs="Times New Roman" w:eastAsiaTheme="minorEastAsia"/>
                      <w:color w:val="000000"/>
                      <w:kern w:val="0"/>
                      <w:sz w:val="21"/>
                      <w:szCs w:val="21"/>
                      <w:lang w:val="en-US" w:eastAsia="zh-CN"/>
                    </w:rPr>
                    <w:t>种子间</w:t>
                  </w:r>
                </w:p>
              </w:tc>
            </w:tr>
            <w:tr w14:paraId="1A8D5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shd w:val="clear" w:color="auto" w:fill="auto"/>
                  <w:vAlign w:val="center"/>
                </w:tcPr>
                <w:p w14:paraId="0F8A9762">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9</w:t>
                  </w:r>
                </w:p>
              </w:tc>
              <w:tc>
                <w:tcPr>
                  <w:tcW w:w="1264" w:type="pct"/>
                  <w:tcBorders>
                    <w:tl2br w:val="nil"/>
                    <w:tr2bl w:val="nil"/>
                  </w:tcBorders>
                  <w:vAlign w:val="center"/>
                </w:tcPr>
                <w:p w14:paraId="6481408D">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冷水机</w:t>
                  </w:r>
                </w:p>
              </w:tc>
              <w:tc>
                <w:tcPr>
                  <w:tcW w:w="425" w:type="pct"/>
                  <w:tcBorders>
                    <w:tl2br w:val="nil"/>
                    <w:tr2bl w:val="nil"/>
                  </w:tcBorders>
                  <w:vAlign w:val="center"/>
                </w:tcPr>
                <w:p w14:paraId="148FB88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shd w:val="clear" w:color="000000" w:fill="auto"/>
                  <w:vAlign w:val="center"/>
                </w:tcPr>
                <w:p w14:paraId="346FBCE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shd w:val="clear" w:color="000000" w:fill="auto"/>
                  <w:vAlign w:val="center"/>
                </w:tcPr>
                <w:p w14:paraId="56FC143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shd w:val="clear" w:color="000000" w:fill="auto"/>
                  <w:vAlign w:val="center"/>
                </w:tcPr>
                <w:p w14:paraId="6BCFE77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降温</w:t>
                  </w:r>
                </w:p>
              </w:tc>
              <w:tc>
                <w:tcPr>
                  <w:tcW w:w="1013" w:type="pct"/>
                  <w:tcBorders>
                    <w:tl2br w:val="nil"/>
                    <w:tr2bl w:val="nil"/>
                  </w:tcBorders>
                  <w:shd w:val="clear" w:color="auto" w:fill="auto"/>
                  <w:vAlign w:val="center"/>
                </w:tcPr>
                <w:p w14:paraId="460F4EA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61FCB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shd w:val="clear" w:color="auto" w:fill="auto"/>
                  <w:vAlign w:val="center"/>
                </w:tcPr>
                <w:p w14:paraId="2939D4E8">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10</w:t>
                  </w:r>
                </w:p>
              </w:tc>
              <w:tc>
                <w:tcPr>
                  <w:tcW w:w="1264" w:type="pct"/>
                  <w:tcBorders>
                    <w:tl2br w:val="nil"/>
                    <w:tr2bl w:val="nil"/>
                  </w:tcBorders>
                  <w:vAlign w:val="center"/>
                </w:tcPr>
                <w:p w14:paraId="289317C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分光光度计</w:t>
                  </w:r>
                </w:p>
              </w:tc>
              <w:tc>
                <w:tcPr>
                  <w:tcW w:w="425" w:type="pct"/>
                  <w:tcBorders>
                    <w:tl2br w:val="nil"/>
                    <w:tr2bl w:val="nil"/>
                  </w:tcBorders>
                  <w:vAlign w:val="center"/>
                </w:tcPr>
                <w:p w14:paraId="31252FF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shd w:val="clear" w:color="000000" w:fill="auto"/>
                  <w:vAlign w:val="center"/>
                </w:tcPr>
                <w:p w14:paraId="39B2A508">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shd w:val="clear" w:color="000000" w:fill="auto"/>
                  <w:vAlign w:val="center"/>
                </w:tcPr>
                <w:p w14:paraId="552877F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shd w:val="clear" w:color="000000" w:fill="auto"/>
                  <w:vAlign w:val="center"/>
                </w:tcPr>
                <w:p w14:paraId="3A27E94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测量菌株生长</w:t>
                  </w:r>
                </w:p>
              </w:tc>
              <w:tc>
                <w:tcPr>
                  <w:tcW w:w="1013" w:type="pct"/>
                  <w:tcBorders>
                    <w:tl2br w:val="nil"/>
                    <w:tr2bl w:val="nil"/>
                  </w:tcBorders>
                  <w:shd w:val="clear" w:color="auto" w:fill="auto"/>
                  <w:vAlign w:val="center"/>
                </w:tcPr>
                <w:p w14:paraId="3E4C6644">
                  <w:pPr>
                    <w:widowControl/>
                    <w:jc w:val="center"/>
                    <w:rPr>
                      <w:rFonts w:hint="eastAsia" w:ascii="Times New Roman" w:hAnsi="Times New Roman" w:cs="Times New Roman" w:eastAsiaTheme="minorEastAsia"/>
                      <w:color w:val="000000"/>
                      <w:kern w:val="0"/>
                      <w:sz w:val="21"/>
                      <w:szCs w:val="21"/>
                      <w:lang w:val="en-US" w:eastAsia="zh-CN"/>
                    </w:rPr>
                  </w:pPr>
                  <w:r>
                    <w:rPr>
                      <w:rFonts w:hint="eastAsia" w:cs="Times New Roman" w:eastAsiaTheme="minorEastAsia"/>
                      <w:color w:val="000000"/>
                      <w:kern w:val="0"/>
                      <w:sz w:val="21"/>
                      <w:szCs w:val="21"/>
                      <w:lang w:val="en-US" w:eastAsia="zh-CN"/>
                    </w:rPr>
                    <w:t>发酵间</w:t>
                  </w:r>
                </w:p>
              </w:tc>
            </w:tr>
            <w:tr w14:paraId="08D35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7C0061D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11</w:t>
                  </w:r>
                </w:p>
              </w:tc>
              <w:tc>
                <w:tcPr>
                  <w:tcW w:w="1264" w:type="pct"/>
                  <w:tcBorders>
                    <w:tl2br w:val="nil"/>
                    <w:tr2bl w:val="nil"/>
                  </w:tcBorders>
                  <w:vAlign w:val="center"/>
                </w:tcPr>
                <w:p w14:paraId="51C7B92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超声波清洗仪</w:t>
                  </w:r>
                </w:p>
              </w:tc>
              <w:tc>
                <w:tcPr>
                  <w:tcW w:w="425" w:type="pct"/>
                  <w:tcBorders>
                    <w:tl2br w:val="nil"/>
                    <w:tr2bl w:val="nil"/>
                  </w:tcBorders>
                  <w:noWrap/>
                  <w:vAlign w:val="center"/>
                </w:tcPr>
                <w:p w14:paraId="1613D750">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7569D8A0">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15D9278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10C49DD4">
                  <w:pPr>
                    <w:widowControl/>
                    <w:jc w:val="center"/>
                    <w:rPr>
                      <w:rFonts w:hint="default" w:ascii="Times New Roman" w:hAnsi="Times New Roman" w:cs="Times New Roman" w:eastAsiaTheme="minorEastAsia"/>
                      <w:color w:val="000000"/>
                      <w:kern w:val="0"/>
                      <w:sz w:val="21"/>
                      <w:szCs w:val="21"/>
                      <w:lang w:val="en-US"/>
                    </w:rPr>
                  </w:pPr>
                  <w:r>
                    <w:rPr>
                      <w:rFonts w:hint="eastAsia" w:cs="Times New Roman" w:eastAsiaTheme="minorEastAsia"/>
                      <w:color w:val="auto"/>
                      <w:kern w:val="0"/>
                      <w:sz w:val="21"/>
                      <w:szCs w:val="21"/>
                      <w:lang w:val="en-US" w:eastAsia="zh-CN"/>
                    </w:rPr>
                    <w:t>清洗实验器材</w:t>
                  </w:r>
                </w:p>
              </w:tc>
              <w:tc>
                <w:tcPr>
                  <w:tcW w:w="1013" w:type="pct"/>
                  <w:tcBorders>
                    <w:tl2br w:val="nil"/>
                    <w:tr2bl w:val="nil"/>
                  </w:tcBorders>
                  <w:shd w:val="clear" w:color="auto" w:fill="auto"/>
                  <w:noWrap/>
                  <w:vAlign w:val="center"/>
                </w:tcPr>
                <w:p w14:paraId="6B921E09">
                  <w:pPr>
                    <w:widowControl/>
                    <w:jc w:val="center"/>
                    <w:rPr>
                      <w:rFonts w:hint="eastAsia" w:ascii="Times New Roman" w:hAnsi="Times New Roman" w:cs="Times New Roman" w:eastAsiaTheme="minorEastAsia"/>
                      <w:color w:val="000000"/>
                      <w:kern w:val="0"/>
                      <w:sz w:val="21"/>
                      <w:szCs w:val="21"/>
                      <w:lang w:val="en-US" w:eastAsia="zh-CN"/>
                    </w:rPr>
                  </w:pPr>
                  <w:r>
                    <w:rPr>
                      <w:rFonts w:hint="eastAsia" w:cs="Times New Roman" w:eastAsiaTheme="minorEastAsia"/>
                      <w:color w:val="000000"/>
                      <w:kern w:val="0"/>
                      <w:sz w:val="21"/>
                      <w:szCs w:val="21"/>
                      <w:lang w:val="en-US" w:eastAsia="zh-CN"/>
                    </w:rPr>
                    <w:t>发酵间</w:t>
                  </w:r>
                </w:p>
              </w:tc>
            </w:tr>
            <w:tr w14:paraId="470B4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499610C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12</w:t>
                  </w:r>
                </w:p>
              </w:tc>
              <w:tc>
                <w:tcPr>
                  <w:tcW w:w="1264" w:type="pct"/>
                  <w:tcBorders>
                    <w:tl2br w:val="nil"/>
                    <w:tr2bl w:val="nil"/>
                  </w:tcBorders>
                  <w:noWrap/>
                  <w:vAlign w:val="center"/>
                </w:tcPr>
                <w:p w14:paraId="17050EB2">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天平</w:t>
                  </w:r>
                </w:p>
              </w:tc>
              <w:tc>
                <w:tcPr>
                  <w:tcW w:w="425" w:type="pct"/>
                  <w:tcBorders>
                    <w:tl2br w:val="nil"/>
                    <w:tr2bl w:val="nil"/>
                  </w:tcBorders>
                  <w:noWrap/>
                  <w:vAlign w:val="center"/>
                </w:tcPr>
                <w:p w14:paraId="6E52880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3</w:t>
                  </w:r>
                </w:p>
              </w:tc>
              <w:tc>
                <w:tcPr>
                  <w:tcW w:w="506" w:type="pct"/>
                  <w:tcBorders>
                    <w:tl2br w:val="nil"/>
                    <w:tr2bl w:val="nil"/>
                  </w:tcBorders>
                  <w:noWrap/>
                  <w:vAlign w:val="center"/>
                </w:tcPr>
                <w:p w14:paraId="135AC53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25AB0AE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05F990E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称量</w:t>
                  </w:r>
                </w:p>
              </w:tc>
              <w:tc>
                <w:tcPr>
                  <w:tcW w:w="1013" w:type="pct"/>
                  <w:tcBorders>
                    <w:tl2br w:val="nil"/>
                    <w:tr2bl w:val="nil"/>
                  </w:tcBorders>
                  <w:shd w:val="clear" w:color="auto" w:fill="auto"/>
                  <w:noWrap/>
                  <w:vAlign w:val="center"/>
                </w:tcPr>
                <w:p w14:paraId="5C1147F2">
                  <w:pPr>
                    <w:widowControl/>
                    <w:jc w:val="center"/>
                    <w:rPr>
                      <w:rFonts w:hint="eastAsia" w:ascii="Times New Roman" w:hAnsi="Times New Roman" w:cs="Times New Roman" w:eastAsiaTheme="minorEastAsia"/>
                      <w:color w:val="000000"/>
                      <w:kern w:val="0"/>
                      <w:sz w:val="21"/>
                      <w:szCs w:val="21"/>
                      <w:lang w:val="en-US" w:eastAsia="zh-CN"/>
                    </w:rPr>
                  </w:pPr>
                  <w:r>
                    <w:rPr>
                      <w:rFonts w:hint="eastAsia" w:cs="Times New Roman" w:eastAsiaTheme="minorEastAsia"/>
                      <w:color w:val="000000"/>
                      <w:kern w:val="0"/>
                      <w:sz w:val="21"/>
                      <w:szCs w:val="21"/>
                      <w:lang w:val="en-US" w:eastAsia="zh-CN"/>
                    </w:rPr>
                    <w:t>发酵间</w:t>
                  </w:r>
                </w:p>
              </w:tc>
            </w:tr>
            <w:tr w14:paraId="1EFB2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10878A8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13</w:t>
                  </w:r>
                </w:p>
              </w:tc>
              <w:tc>
                <w:tcPr>
                  <w:tcW w:w="1264" w:type="pct"/>
                  <w:tcBorders>
                    <w:tl2br w:val="nil"/>
                    <w:tr2bl w:val="nil"/>
                  </w:tcBorders>
                  <w:noWrap/>
                  <w:vAlign w:val="center"/>
                </w:tcPr>
                <w:p w14:paraId="5D629B0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电子台秤</w:t>
                  </w:r>
                </w:p>
              </w:tc>
              <w:tc>
                <w:tcPr>
                  <w:tcW w:w="425" w:type="pct"/>
                  <w:tcBorders>
                    <w:tl2br w:val="nil"/>
                    <w:tr2bl w:val="nil"/>
                  </w:tcBorders>
                  <w:vAlign w:val="center"/>
                </w:tcPr>
                <w:p w14:paraId="03E784D4">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vAlign w:val="center"/>
                </w:tcPr>
                <w:p w14:paraId="6B26F012">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vAlign w:val="center"/>
                </w:tcPr>
                <w:p w14:paraId="0F9693C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vAlign w:val="center"/>
                </w:tcPr>
                <w:p w14:paraId="2FFEBB7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称量</w:t>
                  </w:r>
                </w:p>
              </w:tc>
              <w:tc>
                <w:tcPr>
                  <w:tcW w:w="1013" w:type="pct"/>
                  <w:tcBorders>
                    <w:tl2br w:val="nil"/>
                    <w:tr2bl w:val="nil"/>
                  </w:tcBorders>
                  <w:shd w:val="clear" w:color="auto" w:fill="auto"/>
                  <w:vAlign w:val="center"/>
                </w:tcPr>
                <w:p w14:paraId="6918DFC4">
                  <w:pPr>
                    <w:widowControl/>
                    <w:jc w:val="center"/>
                    <w:rPr>
                      <w:rFonts w:hint="eastAsia" w:ascii="Times New Roman" w:hAnsi="Times New Roman" w:cs="Times New Roman" w:eastAsiaTheme="minorEastAsia"/>
                      <w:color w:val="000000"/>
                      <w:kern w:val="0"/>
                      <w:sz w:val="21"/>
                      <w:szCs w:val="21"/>
                      <w:lang w:val="en-US" w:eastAsia="zh-CN"/>
                    </w:rPr>
                  </w:pPr>
                  <w:r>
                    <w:rPr>
                      <w:rFonts w:hint="eastAsia" w:cs="Times New Roman" w:eastAsiaTheme="minorEastAsia"/>
                      <w:color w:val="000000"/>
                      <w:kern w:val="0"/>
                      <w:sz w:val="21"/>
                      <w:szCs w:val="21"/>
                      <w:lang w:val="en-US" w:eastAsia="zh-CN"/>
                    </w:rPr>
                    <w:t>发酵间</w:t>
                  </w:r>
                </w:p>
              </w:tc>
            </w:tr>
            <w:tr w14:paraId="52DE3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43E3D80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14</w:t>
                  </w:r>
                </w:p>
              </w:tc>
              <w:tc>
                <w:tcPr>
                  <w:tcW w:w="1264" w:type="pct"/>
                  <w:tcBorders>
                    <w:tl2br w:val="nil"/>
                    <w:tr2bl w:val="nil"/>
                  </w:tcBorders>
                  <w:noWrap/>
                  <w:vAlign w:val="center"/>
                </w:tcPr>
                <w:p w14:paraId="23C4F8B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PH计</w:t>
                  </w:r>
                </w:p>
              </w:tc>
              <w:tc>
                <w:tcPr>
                  <w:tcW w:w="425" w:type="pct"/>
                  <w:tcBorders>
                    <w:tl2br w:val="nil"/>
                    <w:tr2bl w:val="nil"/>
                  </w:tcBorders>
                  <w:vAlign w:val="center"/>
                </w:tcPr>
                <w:p w14:paraId="3D897628">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w:t>
                  </w:r>
                </w:p>
              </w:tc>
              <w:tc>
                <w:tcPr>
                  <w:tcW w:w="506" w:type="pct"/>
                  <w:tcBorders>
                    <w:tl2br w:val="nil"/>
                    <w:tr2bl w:val="nil"/>
                  </w:tcBorders>
                  <w:vAlign w:val="center"/>
                </w:tcPr>
                <w:p w14:paraId="281980F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vAlign w:val="center"/>
                </w:tcPr>
                <w:p w14:paraId="7E71940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vAlign w:val="center"/>
                </w:tcPr>
                <w:p w14:paraId="5AE15A28">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测量pH</w:t>
                  </w:r>
                </w:p>
              </w:tc>
              <w:tc>
                <w:tcPr>
                  <w:tcW w:w="1013" w:type="pct"/>
                  <w:tcBorders>
                    <w:tl2br w:val="nil"/>
                    <w:tr2bl w:val="nil"/>
                  </w:tcBorders>
                  <w:shd w:val="clear" w:color="auto" w:fill="auto"/>
                  <w:vAlign w:val="center"/>
                </w:tcPr>
                <w:p w14:paraId="35D4A8D3">
                  <w:pPr>
                    <w:widowControl/>
                    <w:jc w:val="center"/>
                    <w:rPr>
                      <w:rFonts w:hint="eastAsia" w:ascii="Times New Roman" w:hAnsi="Times New Roman" w:cs="Times New Roman" w:eastAsiaTheme="minorEastAsia"/>
                      <w:color w:val="000000"/>
                      <w:kern w:val="0"/>
                      <w:sz w:val="21"/>
                      <w:szCs w:val="21"/>
                      <w:lang w:val="en-US" w:eastAsia="zh-CN"/>
                    </w:rPr>
                  </w:pPr>
                  <w:r>
                    <w:rPr>
                      <w:rFonts w:hint="eastAsia" w:cs="Times New Roman" w:eastAsiaTheme="minorEastAsia"/>
                      <w:color w:val="000000"/>
                      <w:kern w:val="0"/>
                      <w:sz w:val="21"/>
                      <w:szCs w:val="21"/>
                      <w:lang w:val="en-US" w:eastAsia="zh-CN"/>
                    </w:rPr>
                    <w:t>发酵间</w:t>
                  </w:r>
                </w:p>
              </w:tc>
            </w:tr>
            <w:tr w14:paraId="2D78D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vAlign w:val="center"/>
                </w:tcPr>
                <w:p w14:paraId="127AD54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15</w:t>
                  </w:r>
                </w:p>
              </w:tc>
              <w:tc>
                <w:tcPr>
                  <w:tcW w:w="1264" w:type="pct"/>
                  <w:tcBorders>
                    <w:tl2br w:val="nil"/>
                    <w:tr2bl w:val="nil"/>
                  </w:tcBorders>
                  <w:noWrap/>
                  <w:vAlign w:val="center"/>
                </w:tcPr>
                <w:p w14:paraId="5F104E14">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台式离心机</w:t>
                  </w:r>
                </w:p>
              </w:tc>
              <w:tc>
                <w:tcPr>
                  <w:tcW w:w="425" w:type="pct"/>
                  <w:tcBorders>
                    <w:tl2br w:val="nil"/>
                    <w:tr2bl w:val="nil"/>
                  </w:tcBorders>
                  <w:vAlign w:val="center"/>
                </w:tcPr>
                <w:p w14:paraId="600C627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vAlign w:val="center"/>
                </w:tcPr>
                <w:p w14:paraId="63E2D1C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vAlign w:val="center"/>
                </w:tcPr>
                <w:p w14:paraId="26485F0D">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vAlign w:val="center"/>
                </w:tcPr>
                <w:p w14:paraId="7CBEDCC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离心</w:t>
                  </w:r>
                </w:p>
              </w:tc>
              <w:tc>
                <w:tcPr>
                  <w:tcW w:w="1013" w:type="pct"/>
                  <w:tcBorders>
                    <w:tl2br w:val="nil"/>
                    <w:tr2bl w:val="nil"/>
                  </w:tcBorders>
                  <w:shd w:val="clear" w:color="auto" w:fill="auto"/>
                  <w:vAlign w:val="center"/>
                </w:tcPr>
                <w:p w14:paraId="6414918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5C8DA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2024247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16</w:t>
                  </w:r>
                </w:p>
              </w:tc>
              <w:tc>
                <w:tcPr>
                  <w:tcW w:w="1264" w:type="pct"/>
                  <w:tcBorders>
                    <w:tl2br w:val="nil"/>
                    <w:tr2bl w:val="nil"/>
                  </w:tcBorders>
                  <w:noWrap/>
                  <w:vAlign w:val="center"/>
                </w:tcPr>
                <w:p w14:paraId="6FBA2D7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Mini离心机</w:t>
                  </w:r>
                </w:p>
              </w:tc>
              <w:tc>
                <w:tcPr>
                  <w:tcW w:w="425" w:type="pct"/>
                  <w:tcBorders>
                    <w:tl2br w:val="nil"/>
                    <w:tr2bl w:val="nil"/>
                  </w:tcBorders>
                  <w:noWrap/>
                  <w:vAlign w:val="center"/>
                </w:tcPr>
                <w:p w14:paraId="3CA42A2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5BC3C1C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40D6925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43792CD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离心</w:t>
                  </w:r>
                </w:p>
              </w:tc>
              <w:tc>
                <w:tcPr>
                  <w:tcW w:w="1013" w:type="pct"/>
                  <w:tcBorders>
                    <w:tl2br w:val="nil"/>
                    <w:tr2bl w:val="nil"/>
                  </w:tcBorders>
                  <w:shd w:val="clear" w:color="auto" w:fill="auto"/>
                  <w:noWrap/>
                  <w:vAlign w:val="center"/>
                </w:tcPr>
                <w:p w14:paraId="7D10C204">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2B12C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7389248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17</w:t>
                  </w:r>
                </w:p>
              </w:tc>
              <w:tc>
                <w:tcPr>
                  <w:tcW w:w="1264" w:type="pct"/>
                  <w:tcBorders>
                    <w:tl2br w:val="nil"/>
                    <w:tr2bl w:val="nil"/>
                  </w:tcBorders>
                  <w:noWrap/>
                  <w:vAlign w:val="center"/>
                </w:tcPr>
                <w:p w14:paraId="6B8BA800">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涡旋震荡仪</w:t>
                  </w:r>
                </w:p>
              </w:tc>
              <w:tc>
                <w:tcPr>
                  <w:tcW w:w="425" w:type="pct"/>
                  <w:tcBorders>
                    <w:tl2br w:val="nil"/>
                    <w:tr2bl w:val="nil"/>
                  </w:tcBorders>
                  <w:noWrap/>
                  <w:vAlign w:val="center"/>
                </w:tcPr>
                <w:p w14:paraId="3F799F0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w:t>
                  </w:r>
                </w:p>
              </w:tc>
              <w:tc>
                <w:tcPr>
                  <w:tcW w:w="506" w:type="pct"/>
                  <w:tcBorders>
                    <w:tl2br w:val="nil"/>
                    <w:tr2bl w:val="nil"/>
                  </w:tcBorders>
                  <w:noWrap/>
                  <w:vAlign w:val="center"/>
                </w:tcPr>
                <w:p w14:paraId="7AF2055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736CBE1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7C3AE98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混合均匀</w:t>
                  </w:r>
                </w:p>
              </w:tc>
              <w:tc>
                <w:tcPr>
                  <w:tcW w:w="1013" w:type="pct"/>
                  <w:tcBorders>
                    <w:tl2br w:val="nil"/>
                    <w:tr2bl w:val="nil"/>
                  </w:tcBorders>
                  <w:shd w:val="clear" w:color="auto" w:fill="auto"/>
                  <w:noWrap/>
                  <w:vAlign w:val="center"/>
                </w:tcPr>
                <w:p w14:paraId="0D4D2A8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28EB0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76B3AC50">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18</w:t>
                  </w:r>
                </w:p>
              </w:tc>
              <w:tc>
                <w:tcPr>
                  <w:tcW w:w="1264" w:type="pct"/>
                  <w:tcBorders>
                    <w:tl2br w:val="nil"/>
                    <w:tr2bl w:val="nil"/>
                  </w:tcBorders>
                  <w:noWrap/>
                  <w:vAlign w:val="center"/>
                </w:tcPr>
                <w:p w14:paraId="056C789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电转仪</w:t>
                  </w:r>
                </w:p>
              </w:tc>
              <w:tc>
                <w:tcPr>
                  <w:tcW w:w="425" w:type="pct"/>
                  <w:tcBorders>
                    <w:tl2br w:val="nil"/>
                    <w:tr2bl w:val="nil"/>
                  </w:tcBorders>
                  <w:noWrap/>
                  <w:vAlign w:val="center"/>
                </w:tcPr>
                <w:p w14:paraId="49F846D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0B4344B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6C4ACA74">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61B0210D">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电转</w:t>
                  </w:r>
                </w:p>
              </w:tc>
              <w:tc>
                <w:tcPr>
                  <w:tcW w:w="1013" w:type="pct"/>
                  <w:tcBorders>
                    <w:tl2br w:val="nil"/>
                    <w:tr2bl w:val="nil"/>
                  </w:tcBorders>
                  <w:shd w:val="clear" w:color="auto" w:fill="auto"/>
                  <w:noWrap/>
                  <w:vAlign w:val="center"/>
                </w:tcPr>
                <w:p w14:paraId="313C783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57F1C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159445F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19</w:t>
                  </w:r>
                </w:p>
              </w:tc>
              <w:tc>
                <w:tcPr>
                  <w:tcW w:w="1264" w:type="pct"/>
                  <w:tcBorders>
                    <w:tl2br w:val="nil"/>
                    <w:tr2bl w:val="nil"/>
                  </w:tcBorders>
                  <w:noWrap/>
                  <w:vAlign w:val="center"/>
                </w:tcPr>
                <w:p w14:paraId="09D3A00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水浴锅</w:t>
                  </w:r>
                </w:p>
              </w:tc>
              <w:tc>
                <w:tcPr>
                  <w:tcW w:w="425" w:type="pct"/>
                  <w:tcBorders>
                    <w:tl2br w:val="nil"/>
                    <w:tr2bl w:val="nil"/>
                  </w:tcBorders>
                  <w:noWrap/>
                  <w:vAlign w:val="center"/>
                </w:tcPr>
                <w:p w14:paraId="050D058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206286B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729DE85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个</w:t>
                  </w:r>
                </w:p>
              </w:tc>
              <w:tc>
                <w:tcPr>
                  <w:tcW w:w="922" w:type="pct"/>
                  <w:tcBorders>
                    <w:tl2br w:val="nil"/>
                    <w:tr2bl w:val="nil"/>
                  </w:tcBorders>
                  <w:noWrap/>
                  <w:vAlign w:val="center"/>
                </w:tcPr>
                <w:p w14:paraId="4C29DA72">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水浴恒温</w:t>
                  </w:r>
                </w:p>
              </w:tc>
              <w:tc>
                <w:tcPr>
                  <w:tcW w:w="1013" w:type="pct"/>
                  <w:tcBorders>
                    <w:tl2br w:val="nil"/>
                    <w:tr2bl w:val="nil"/>
                  </w:tcBorders>
                  <w:shd w:val="clear" w:color="auto" w:fill="auto"/>
                  <w:noWrap/>
                  <w:vAlign w:val="center"/>
                </w:tcPr>
                <w:p w14:paraId="4CF75B8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149AD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5A86881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20</w:t>
                  </w:r>
                </w:p>
              </w:tc>
              <w:tc>
                <w:tcPr>
                  <w:tcW w:w="1264" w:type="pct"/>
                  <w:tcBorders>
                    <w:tl2br w:val="nil"/>
                    <w:tr2bl w:val="nil"/>
                  </w:tcBorders>
                  <w:noWrap/>
                  <w:vAlign w:val="center"/>
                </w:tcPr>
                <w:p w14:paraId="5F54387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核酸电泳仪</w:t>
                  </w:r>
                </w:p>
              </w:tc>
              <w:tc>
                <w:tcPr>
                  <w:tcW w:w="425" w:type="pct"/>
                  <w:tcBorders>
                    <w:tl2br w:val="nil"/>
                    <w:tr2bl w:val="nil"/>
                  </w:tcBorders>
                  <w:noWrap/>
                  <w:vAlign w:val="center"/>
                </w:tcPr>
                <w:p w14:paraId="631F154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107DE890">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585474E2">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个</w:t>
                  </w:r>
                </w:p>
              </w:tc>
              <w:tc>
                <w:tcPr>
                  <w:tcW w:w="922" w:type="pct"/>
                  <w:tcBorders>
                    <w:tl2br w:val="nil"/>
                    <w:tr2bl w:val="nil"/>
                  </w:tcBorders>
                  <w:noWrap/>
                  <w:vAlign w:val="center"/>
                </w:tcPr>
                <w:p w14:paraId="52D5F65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分离核酸</w:t>
                  </w:r>
                </w:p>
              </w:tc>
              <w:tc>
                <w:tcPr>
                  <w:tcW w:w="1013" w:type="pct"/>
                  <w:tcBorders>
                    <w:tl2br w:val="nil"/>
                    <w:tr2bl w:val="nil"/>
                  </w:tcBorders>
                  <w:shd w:val="clear" w:color="auto" w:fill="auto"/>
                  <w:noWrap/>
                  <w:vAlign w:val="center"/>
                </w:tcPr>
                <w:p w14:paraId="3E92427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5E9D5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0DE458DA">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21</w:t>
                  </w:r>
                </w:p>
              </w:tc>
              <w:tc>
                <w:tcPr>
                  <w:tcW w:w="1264" w:type="pct"/>
                  <w:tcBorders>
                    <w:tl2br w:val="nil"/>
                    <w:tr2bl w:val="nil"/>
                  </w:tcBorders>
                  <w:noWrap/>
                  <w:vAlign w:val="center"/>
                </w:tcPr>
                <w:p w14:paraId="6670B884">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微波炉</w:t>
                  </w:r>
                </w:p>
              </w:tc>
              <w:tc>
                <w:tcPr>
                  <w:tcW w:w="425" w:type="pct"/>
                  <w:tcBorders>
                    <w:tl2br w:val="nil"/>
                    <w:tr2bl w:val="nil"/>
                  </w:tcBorders>
                  <w:noWrap/>
                  <w:vAlign w:val="center"/>
                </w:tcPr>
                <w:p w14:paraId="46C9AF7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noWrap/>
                  <w:vAlign w:val="center"/>
                </w:tcPr>
                <w:p w14:paraId="1D96D10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7884E4C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个</w:t>
                  </w:r>
                </w:p>
              </w:tc>
              <w:tc>
                <w:tcPr>
                  <w:tcW w:w="922" w:type="pct"/>
                  <w:tcBorders>
                    <w:tl2br w:val="nil"/>
                    <w:tr2bl w:val="nil"/>
                  </w:tcBorders>
                  <w:noWrap/>
                  <w:vAlign w:val="center"/>
                </w:tcPr>
                <w:p w14:paraId="0F3D88A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加热</w:t>
                  </w:r>
                </w:p>
              </w:tc>
              <w:tc>
                <w:tcPr>
                  <w:tcW w:w="1013" w:type="pct"/>
                  <w:tcBorders>
                    <w:tl2br w:val="nil"/>
                    <w:tr2bl w:val="nil"/>
                  </w:tcBorders>
                  <w:shd w:val="clear" w:color="auto" w:fill="auto"/>
                  <w:noWrap/>
                  <w:vAlign w:val="center"/>
                </w:tcPr>
                <w:p w14:paraId="6985A608">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6BBFA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4CB84259">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22</w:t>
                  </w:r>
                </w:p>
              </w:tc>
              <w:tc>
                <w:tcPr>
                  <w:tcW w:w="1264" w:type="pct"/>
                  <w:tcBorders>
                    <w:tl2br w:val="nil"/>
                    <w:tr2bl w:val="nil"/>
                  </w:tcBorders>
                  <w:noWrap/>
                  <w:vAlign w:val="center"/>
                </w:tcPr>
                <w:p w14:paraId="46D9214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磁力搅拌器</w:t>
                  </w:r>
                </w:p>
              </w:tc>
              <w:tc>
                <w:tcPr>
                  <w:tcW w:w="425" w:type="pct"/>
                  <w:tcBorders>
                    <w:tl2br w:val="nil"/>
                    <w:tr2bl w:val="nil"/>
                  </w:tcBorders>
                  <w:shd w:val="clear" w:color="auto" w:fill="auto"/>
                  <w:noWrap/>
                  <w:vAlign w:val="center"/>
                </w:tcPr>
                <w:p w14:paraId="08B32AB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w:t>
                  </w:r>
                </w:p>
              </w:tc>
              <w:tc>
                <w:tcPr>
                  <w:tcW w:w="506" w:type="pct"/>
                  <w:tcBorders>
                    <w:tl2br w:val="nil"/>
                    <w:tr2bl w:val="nil"/>
                  </w:tcBorders>
                  <w:shd w:val="clear" w:color="auto" w:fill="auto"/>
                  <w:noWrap/>
                  <w:vAlign w:val="center"/>
                </w:tcPr>
                <w:p w14:paraId="1C23FE94">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62363C8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个</w:t>
                  </w:r>
                </w:p>
              </w:tc>
              <w:tc>
                <w:tcPr>
                  <w:tcW w:w="922" w:type="pct"/>
                  <w:tcBorders>
                    <w:tl2br w:val="nil"/>
                    <w:tr2bl w:val="nil"/>
                  </w:tcBorders>
                  <w:noWrap/>
                  <w:vAlign w:val="center"/>
                </w:tcPr>
                <w:p w14:paraId="46194794">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磁力搅拌</w:t>
                  </w:r>
                </w:p>
              </w:tc>
              <w:tc>
                <w:tcPr>
                  <w:tcW w:w="1013" w:type="pct"/>
                  <w:tcBorders>
                    <w:tl2br w:val="nil"/>
                    <w:tr2bl w:val="nil"/>
                  </w:tcBorders>
                  <w:shd w:val="clear" w:color="auto" w:fill="auto"/>
                  <w:noWrap/>
                  <w:vAlign w:val="center"/>
                </w:tcPr>
                <w:p w14:paraId="1567349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38B01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0344F76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23</w:t>
                  </w:r>
                </w:p>
              </w:tc>
              <w:tc>
                <w:tcPr>
                  <w:tcW w:w="1264" w:type="pct"/>
                  <w:tcBorders>
                    <w:tl2br w:val="nil"/>
                    <w:tr2bl w:val="nil"/>
                  </w:tcBorders>
                  <w:noWrap/>
                  <w:vAlign w:val="center"/>
                </w:tcPr>
                <w:p w14:paraId="575890E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移液枪</w:t>
                  </w:r>
                </w:p>
              </w:tc>
              <w:tc>
                <w:tcPr>
                  <w:tcW w:w="425" w:type="pct"/>
                  <w:tcBorders>
                    <w:tl2br w:val="nil"/>
                    <w:tr2bl w:val="nil"/>
                  </w:tcBorders>
                  <w:noWrap/>
                  <w:vAlign w:val="center"/>
                </w:tcPr>
                <w:p w14:paraId="6839A78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3</w:t>
                  </w:r>
                </w:p>
              </w:tc>
              <w:tc>
                <w:tcPr>
                  <w:tcW w:w="506" w:type="pct"/>
                  <w:tcBorders>
                    <w:tl2br w:val="nil"/>
                    <w:tr2bl w:val="nil"/>
                  </w:tcBorders>
                  <w:shd w:val="clear" w:color="auto" w:fill="auto"/>
                  <w:noWrap/>
                  <w:vAlign w:val="center"/>
                </w:tcPr>
                <w:p w14:paraId="573DAE1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5998DF5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套</w:t>
                  </w:r>
                </w:p>
              </w:tc>
              <w:tc>
                <w:tcPr>
                  <w:tcW w:w="922" w:type="pct"/>
                  <w:tcBorders>
                    <w:tl2br w:val="nil"/>
                    <w:tr2bl w:val="nil"/>
                  </w:tcBorders>
                  <w:noWrap/>
                  <w:vAlign w:val="center"/>
                </w:tcPr>
                <w:p w14:paraId="460759D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移取液体</w:t>
                  </w:r>
                </w:p>
              </w:tc>
              <w:tc>
                <w:tcPr>
                  <w:tcW w:w="1013" w:type="pct"/>
                  <w:tcBorders>
                    <w:tl2br w:val="nil"/>
                    <w:tr2bl w:val="nil"/>
                  </w:tcBorders>
                  <w:shd w:val="clear" w:color="auto" w:fill="auto"/>
                  <w:noWrap/>
                  <w:vAlign w:val="center"/>
                </w:tcPr>
                <w:p w14:paraId="4D48401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587D0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13A33CBC">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24</w:t>
                  </w:r>
                </w:p>
              </w:tc>
              <w:tc>
                <w:tcPr>
                  <w:tcW w:w="1264" w:type="pct"/>
                  <w:tcBorders>
                    <w:tl2br w:val="nil"/>
                    <w:tr2bl w:val="nil"/>
                  </w:tcBorders>
                  <w:noWrap/>
                  <w:vAlign w:val="center"/>
                </w:tcPr>
                <w:p w14:paraId="5ABBB75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金属浴</w:t>
                  </w:r>
                </w:p>
              </w:tc>
              <w:tc>
                <w:tcPr>
                  <w:tcW w:w="425" w:type="pct"/>
                  <w:tcBorders>
                    <w:tl2br w:val="nil"/>
                    <w:tr2bl w:val="nil"/>
                  </w:tcBorders>
                  <w:noWrap/>
                  <w:vAlign w:val="center"/>
                </w:tcPr>
                <w:p w14:paraId="7CEB2B6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shd w:val="clear" w:color="auto" w:fill="auto"/>
                  <w:noWrap/>
                  <w:vAlign w:val="center"/>
                </w:tcPr>
                <w:p w14:paraId="7AA419F1">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338C07F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3C97314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金属恒温</w:t>
                  </w:r>
                </w:p>
              </w:tc>
              <w:tc>
                <w:tcPr>
                  <w:tcW w:w="1013" w:type="pct"/>
                  <w:tcBorders>
                    <w:tl2br w:val="nil"/>
                    <w:tr2bl w:val="nil"/>
                  </w:tcBorders>
                  <w:shd w:val="clear" w:color="auto" w:fill="auto"/>
                  <w:noWrap/>
                  <w:vAlign w:val="center"/>
                </w:tcPr>
                <w:p w14:paraId="31671AF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7FEC3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332A8BD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25</w:t>
                  </w:r>
                </w:p>
              </w:tc>
              <w:tc>
                <w:tcPr>
                  <w:tcW w:w="1264" w:type="pct"/>
                  <w:tcBorders>
                    <w:tl2br w:val="nil"/>
                    <w:tr2bl w:val="nil"/>
                  </w:tcBorders>
                  <w:noWrap/>
                  <w:vAlign w:val="center"/>
                </w:tcPr>
                <w:p w14:paraId="36B33B84">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照胶仪</w:t>
                  </w:r>
                </w:p>
              </w:tc>
              <w:tc>
                <w:tcPr>
                  <w:tcW w:w="425" w:type="pct"/>
                  <w:tcBorders>
                    <w:tl2br w:val="nil"/>
                    <w:tr2bl w:val="nil"/>
                  </w:tcBorders>
                  <w:noWrap/>
                  <w:vAlign w:val="center"/>
                </w:tcPr>
                <w:p w14:paraId="0325CC5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shd w:val="clear" w:color="auto" w:fill="auto"/>
                  <w:noWrap/>
                  <w:vAlign w:val="center"/>
                </w:tcPr>
                <w:p w14:paraId="534C08E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770BCB4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7C16EE9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显示核酸大小</w:t>
                  </w:r>
                </w:p>
              </w:tc>
              <w:tc>
                <w:tcPr>
                  <w:tcW w:w="1013" w:type="pct"/>
                  <w:tcBorders>
                    <w:tl2br w:val="nil"/>
                    <w:tr2bl w:val="nil"/>
                  </w:tcBorders>
                  <w:shd w:val="clear" w:color="auto" w:fill="auto"/>
                  <w:noWrap/>
                  <w:vAlign w:val="center"/>
                </w:tcPr>
                <w:p w14:paraId="275A7EE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r w14:paraId="19373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4E5FBF9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26</w:t>
                  </w:r>
                </w:p>
              </w:tc>
              <w:tc>
                <w:tcPr>
                  <w:tcW w:w="1264" w:type="pct"/>
                  <w:tcBorders>
                    <w:tl2br w:val="nil"/>
                    <w:tr2bl w:val="nil"/>
                  </w:tcBorders>
                  <w:noWrap/>
                  <w:vAlign w:val="center"/>
                </w:tcPr>
                <w:p w14:paraId="5816DB6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5L发酵罐</w:t>
                  </w:r>
                </w:p>
              </w:tc>
              <w:tc>
                <w:tcPr>
                  <w:tcW w:w="425" w:type="pct"/>
                  <w:tcBorders>
                    <w:tl2br w:val="nil"/>
                    <w:tr2bl w:val="nil"/>
                  </w:tcBorders>
                  <w:noWrap/>
                  <w:vAlign w:val="center"/>
                </w:tcPr>
                <w:p w14:paraId="5B4C6C15">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shd w:val="clear" w:color="auto" w:fill="auto"/>
                  <w:noWrap/>
                  <w:vAlign w:val="center"/>
                </w:tcPr>
                <w:p w14:paraId="367D4B06">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5L</w:t>
                  </w:r>
                </w:p>
              </w:tc>
              <w:tc>
                <w:tcPr>
                  <w:tcW w:w="455" w:type="pct"/>
                  <w:tcBorders>
                    <w:tl2br w:val="nil"/>
                    <w:tr2bl w:val="nil"/>
                  </w:tcBorders>
                  <w:noWrap/>
                  <w:vAlign w:val="center"/>
                </w:tcPr>
                <w:p w14:paraId="3969107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组</w:t>
                  </w:r>
                </w:p>
              </w:tc>
              <w:tc>
                <w:tcPr>
                  <w:tcW w:w="922" w:type="pct"/>
                  <w:tcBorders>
                    <w:tl2br w:val="nil"/>
                    <w:tr2bl w:val="nil"/>
                  </w:tcBorders>
                  <w:noWrap/>
                  <w:vAlign w:val="center"/>
                </w:tcPr>
                <w:p w14:paraId="4535558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发酵</w:t>
                  </w:r>
                </w:p>
              </w:tc>
              <w:tc>
                <w:tcPr>
                  <w:tcW w:w="1013" w:type="pct"/>
                  <w:tcBorders>
                    <w:tl2br w:val="nil"/>
                    <w:tr2bl w:val="nil"/>
                  </w:tcBorders>
                  <w:shd w:val="clear" w:color="auto" w:fill="auto"/>
                  <w:noWrap/>
                  <w:vAlign w:val="center"/>
                </w:tcPr>
                <w:p w14:paraId="2E52687C">
                  <w:pPr>
                    <w:widowControl/>
                    <w:jc w:val="center"/>
                    <w:rPr>
                      <w:rFonts w:hint="eastAsia" w:ascii="Times New Roman" w:hAnsi="Times New Roman" w:cs="Times New Roman" w:eastAsiaTheme="minorEastAsia"/>
                      <w:color w:val="000000"/>
                      <w:kern w:val="0"/>
                      <w:sz w:val="21"/>
                      <w:szCs w:val="21"/>
                      <w:lang w:val="en-US" w:eastAsia="zh-CN"/>
                    </w:rPr>
                  </w:pPr>
                  <w:r>
                    <w:rPr>
                      <w:rFonts w:hint="eastAsia" w:cs="Times New Roman" w:eastAsiaTheme="minorEastAsia"/>
                      <w:color w:val="000000"/>
                      <w:kern w:val="0"/>
                      <w:sz w:val="21"/>
                      <w:szCs w:val="21"/>
                      <w:lang w:val="en-US" w:eastAsia="zh-CN"/>
                    </w:rPr>
                    <w:t>发酵间</w:t>
                  </w:r>
                </w:p>
              </w:tc>
            </w:tr>
            <w:tr w14:paraId="414A3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tl2br w:val="nil"/>
                    <w:tr2bl w:val="nil"/>
                  </w:tcBorders>
                  <w:noWrap/>
                  <w:vAlign w:val="center"/>
                </w:tcPr>
                <w:p w14:paraId="1F72221B">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27</w:t>
                  </w:r>
                </w:p>
              </w:tc>
              <w:tc>
                <w:tcPr>
                  <w:tcW w:w="1264" w:type="pct"/>
                  <w:tcBorders>
                    <w:tl2br w:val="nil"/>
                    <w:tr2bl w:val="nil"/>
                  </w:tcBorders>
                  <w:noWrap/>
                  <w:vAlign w:val="center"/>
                </w:tcPr>
                <w:p w14:paraId="32A87937">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PCR仪</w:t>
                  </w:r>
                </w:p>
              </w:tc>
              <w:tc>
                <w:tcPr>
                  <w:tcW w:w="425" w:type="pct"/>
                  <w:tcBorders>
                    <w:tl2br w:val="nil"/>
                    <w:tr2bl w:val="nil"/>
                  </w:tcBorders>
                  <w:noWrap/>
                  <w:vAlign w:val="center"/>
                </w:tcPr>
                <w:p w14:paraId="0AD2095F">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1</w:t>
                  </w:r>
                </w:p>
              </w:tc>
              <w:tc>
                <w:tcPr>
                  <w:tcW w:w="506" w:type="pct"/>
                  <w:tcBorders>
                    <w:tl2br w:val="nil"/>
                    <w:tr2bl w:val="nil"/>
                  </w:tcBorders>
                  <w:shd w:val="clear" w:color="auto" w:fill="auto"/>
                  <w:noWrap/>
                  <w:vAlign w:val="center"/>
                </w:tcPr>
                <w:p w14:paraId="478CF6C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w:t>
                  </w:r>
                </w:p>
              </w:tc>
              <w:tc>
                <w:tcPr>
                  <w:tcW w:w="455" w:type="pct"/>
                  <w:tcBorders>
                    <w:tl2br w:val="nil"/>
                    <w:tr2bl w:val="nil"/>
                  </w:tcBorders>
                  <w:noWrap/>
                  <w:vAlign w:val="center"/>
                </w:tcPr>
                <w:p w14:paraId="5F7F3B9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台</w:t>
                  </w:r>
                </w:p>
              </w:tc>
              <w:tc>
                <w:tcPr>
                  <w:tcW w:w="922" w:type="pct"/>
                  <w:tcBorders>
                    <w:tl2br w:val="nil"/>
                    <w:tr2bl w:val="nil"/>
                  </w:tcBorders>
                  <w:noWrap/>
                  <w:vAlign w:val="center"/>
                </w:tcPr>
                <w:p w14:paraId="4E0D7B5E">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扩增</w:t>
                  </w:r>
                </w:p>
              </w:tc>
              <w:tc>
                <w:tcPr>
                  <w:tcW w:w="1013" w:type="pct"/>
                  <w:tcBorders>
                    <w:tl2br w:val="nil"/>
                    <w:tr2bl w:val="nil"/>
                  </w:tcBorders>
                  <w:shd w:val="clear" w:color="auto" w:fill="auto"/>
                  <w:noWrap/>
                  <w:vAlign w:val="center"/>
                </w:tcPr>
                <w:p w14:paraId="4CB7F573">
                  <w:pPr>
                    <w:widowControl/>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kern w:val="0"/>
                      <w:sz w:val="21"/>
                      <w:szCs w:val="21"/>
                    </w:rPr>
                    <w:t>实验室</w:t>
                  </w:r>
                </w:p>
              </w:tc>
            </w:tr>
          </w:tbl>
          <w:p w14:paraId="7CA1E08E">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eastAsia="宋体"/>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产能匹配性分析：</w:t>
            </w:r>
          </w:p>
          <w:p w14:paraId="509C07B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eastAsia="宋体"/>
                <w:b w:val="0"/>
                <w:bCs w:val="0"/>
                <w:color w:val="000000" w:themeColor="text1"/>
                <w:kern w:val="0"/>
                <w:sz w:val="24"/>
                <w:szCs w:val="24"/>
                <w:lang w:val="en-US" w:eastAsia="zh-CN"/>
                <w14:textFill>
                  <w14:solidFill>
                    <w14:schemeClr w14:val="tx1"/>
                  </w14:solidFill>
                </w14:textFill>
              </w:rPr>
            </w:pPr>
            <w:r>
              <w:rPr>
                <w:rFonts w:hint="eastAsia"/>
                <w:b w:val="0"/>
                <w:bCs w:val="0"/>
                <w:color w:val="000000" w:themeColor="text1"/>
                <w:kern w:val="0"/>
                <w:sz w:val="24"/>
                <w:szCs w:val="24"/>
                <w:lang w:val="en-US" w:eastAsia="zh-CN"/>
                <w14:textFill>
                  <w14:solidFill>
                    <w14:schemeClr w14:val="tx1"/>
                  </w14:solidFill>
                </w14:textFill>
              </w:rPr>
              <w:t>本项目</w:t>
            </w:r>
            <w:bookmarkStart w:id="32" w:name="OLE_LINK61"/>
            <w:r>
              <w:rPr>
                <w:rFonts w:hint="eastAsia"/>
                <w:b w:val="0"/>
                <w:bCs w:val="0"/>
                <w:color w:val="000000" w:themeColor="text1"/>
                <w:kern w:val="0"/>
                <w:sz w:val="24"/>
                <w:szCs w:val="24"/>
                <w:lang w:val="en-US" w:eastAsia="zh-CN"/>
                <w14:textFill>
                  <w14:solidFill>
                    <w14:schemeClr w14:val="tx1"/>
                  </w14:solidFill>
                </w14:textFill>
              </w:rPr>
              <w:t>5-羟基色氨酸实验方案为50批次/a，单批次约为100g，色氨酸</w:t>
            </w:r>
            <w:bookmarkEnd w:id="32"/>
            <w:r>
              <w:rPr>
                <w:rFonts w:hint="eastAsia"/>
                <w:b w:val="0"/>
                <w:bCs w:val="0"/>
                <w:color w:val="000000" w:themeColor="text1"/>
                <w:kern w:val="0"/>
                <w:sz w:val="24"/>
                <w:szCs w:val="24"/>
                <w:lang w:val="en-US" w:eastAsia="zh-CN"/>
                <w14:textFill>
                  <w14:solidFill>
                    <w14:schemeClr w14:val="tx1"/>
                  </w14:solidFill>
                </w14:textFill>
              </w:rPr>
              <w:t>实验方案50批次/a，单批次约为200g。</w:t>
            </w:r>
          </w:p>
          <w:p w14:paraId="6BF428AB">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eastAsia="宋体"/>
                <w:b/>
                <w:bCs/>
                <w:color w:val="FF0000"/>
                <w:kern w:val="0"/>
                <w:sz w:val="21"/>
                <w:szCs w:val="21"/>
                <w:lang w:val="en-US" w:eastAsia="zh-CN"/>
              </w:rPr>
            </w:pPr>
            <w:r>
              <w:rPr>
                <w:rFonts w:hint="eastAsia"/>
                <w:b/>
                <w:bCs/>
                <w:color w:val="000000" w:themeColor="text1"/>
                <w:kern w:val="0"/>
                <w:sz w:val="21"/>
                <w:szCs w:val="21"/>
                <w:lang w:val="en-US" w:eastAsia="zh-CN"/>
                <w14:textFill>
                  <w14:solidFill>
                    <w14:schemeClr w14:val="tx1"/>
                  </w14:solidFill>
                </w14:textFill>
              </w:rPr>
              <w:t>表2-4  5-羟基色氨酸主要生产工艺与生产能力匹配分析</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877"/>
              <w:gridCol w:w="935"/>
              <w:gridCol w:w="1190"/>
              <w:gridCol w:w="1190"/>
              <w:gridCol w:w="1190"/>
              <w:gridCol w:w="1191"/>
            </w:tblGrid>
            <w:tr w14:paraId="09DDF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754635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FF0000"/>
                      <w:kern w:val="0"/>
                      <w:sz w:val="21"/>
                      <w:szCs w:val="21"/>
                      <w:vertAlign w:val="baseline"/>
                      <w:lang w:val="en-US" w:eastAsia="zh-CN"/>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工序</w:t>
                  </w:r>
                </w:p>
              </w:tc>
              <w:tc>
                <w:tcPr>
                  <w:tcW w:w="526" w:type="pct"/>
                  <w:tcBorders>
                    <w:tl2br w:val="nil"/>
                    <w:tr2bl w:val="nil"/>
                  </w:tcBorders>
                  <w:vAlign w:val="center"/>
                </w:tcPr>
                <w:p w14:paraId="0305C4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FF0000"/>
                      <w:kern w:val="0"/>
                      <w:sz w:val="21"/>
                      <w:szCs w:val="21"/>
                      <w:vertAlign w:val="baseline"/>
                      <w:lang w:val="en-US" w:eastAsia="zh-CN"/>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单批次生产耗时（h）</w:t>
                  </w:r>
                </w:p>
              </w:tc>
              <w:tc>
                <w:tcPr>
                  <w:tcW w:w="561" w:type="pct"/>
                  <w:tcBorders>
                    <w:tl2br w:val="nil"/>
                    <w:tr2bl w:val="nil"/>
                  </w:tcBorders>
                  <w:vAlign w:val="center"/>
                </w:tcPr>
                <w:p w14:paraId="2909D6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FF0000"/>
                      <w:kern w:val="0"/>
                      <w:sz w:val="21"/>
                      <w:szCs w:val="21"/>
                      <w:vertAlign w:val="baseline"/>
                      <w:lang w:val="en-US" w:eastAsia="zh-CN"/>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日设计生产批次</w:t>
                  </w:r>
                </w:p>
              </w:tc>
              <w:tc>
                <w:tcPr>
                  <w:tcW w:w="714" w:type="pct"/>
                  <w:tcBorders>
                    <w:tl2br w:val="nil"/>
                    <w:tr2bl w:val="nil"/>
                  </w:tcBorders>
                  <w:vAlign w:val="center"/>
                </w:tcPr>
                <w:p w14:paraId="4EF859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FF0000"/>
                      <w:kern w:val="0"/>
                      <w:sz w:val="21"/>
                      <w:szCs w:val="21"/>
                      <w:vertAlign w:val="baseline"/>
                      <w:lang w:val="en-US" w:eastAsia="zh-CN"/>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涉及产能批次（g/批次）</w:t>
                  </w:r>
                </w:p>
              </w:tc>
              <w:tc>
                <w:tcPr>
                  <w:tcW w:w="714" w:type="pct"/>
                  <w:tcBorders>
                    <w:tl2br w:val="nil"/>
                    <w:tr2bl w:val="nil"/>
                  </w:tcBorders>
                  <w:vAlign w:val="center"/>
                </w:tcPr>
                <w:p w14:paraId="508C66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FF0000"/>
                      <w:kern w:val="0"/>
                      <w:sz w:val="21"/>
                      <w:szCs w:val="21"/>
                      <w:vertAlign w:val="baseline"/>
                      <w:lang w:val="en-US" w:eastAsia="zh-CN"/>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每日身产量（g）</w:t>
                  </w:r>
                </w:p>
              </w:tc>
              <w:tc>
                <w:tcPr>
                  <w:tcW w:w="714" w:type="pct"/>
                  <w:tcBorders>
                    <w:tl2br w:val="nil"/>
                    <w:tr2bl w:val="nil"/>
                  </w:tcBorders>
                  <w:vAlign w:val="center"/>
                </w:tcPr>
                <w:p w14:paraId="1E4F74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FF0000"/>
                      <w:kern w:val="0"/>
                      <w:sz w:val="21"/>
                      <w:szCs w:val="21"/>
                      <w:vertAlign w:val="baseline"/>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本项目理论产能（kg/a）</w:t>
                  </w:r>
                </w:p>
              </w:tc>
              <w:tc>
                <w:tcPr>
                  <w:tcW w:w="714" w:type="pct"/>
                  <w:tcBorders>
                    <w:tl2br w:val="nil"/>
                    <w:tr2bl w:val="nil"/>
                  </w:tcBorders>
                  <w:vAlign w:val="center"/>
                </w:tcPr>
                <w:p w14:paraId="46B297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FF0000"/>
                      <w:kern w:val="0"/>
                      <w:sz w:val="21"/>
                      <w:szCs w:val="21"/>
                      <w:vertAlign w:val="baseline"/>
                      <w:lang w:val="en-US" w:eastAsia="zh-CN"/>
                    </w:rPr>
                  </w:pP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项目设计产能（kg/a）</w:t>
                  </w:r>
                </w:p>
              </w:tc>
            </w:tr>
            <w:tr w14:paraId="5CA64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5FB228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目标基因克隆</w:t>
                  </w:r>
                </w:p>
              </w:tc>
              <w:tc>
                <w:tcPr>
                  <w:tcW w:w="526" w:type="pct"/>
                  <w:tcBorders>
                    <w:tl2br w:val="nil"/>
                    <w:tr2bl w:val="nil"/>
                  </w:tcBorders>
                  <w:vAlign w:val="center"/>
                </w:tcPr>
                <w:p w14:paraId="56137F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0.5</w:t>
                  </w:r>
                </w:p>
              </w:tc>
              <w:tc>
                <w:tcPr>
                  <w:tcW w:w="561" w:type="pct"/>
                  <w:tcBorders>
                    <w:tl2br w:val="nil"/>
                    <w:tr2bl w:val="nil"/>
                  </w:tcBorders>
                  <w:vAlign w:val="center"/>
                </w:tcPr>
                <w:p w14:paraId="5C56AC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43FB8E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0B9CE5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4ACD7A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0439F4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735A3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339F18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表达载体构建</w:t>
                  </w:r>
                </w:p>
              </w:tc>
              <w:tc>
                <w:tcPr>
                  <w:tcW w:w="526" w:type="pct"/>
                  <w:tcBorders>
                    <w:tl2br w:val="nil"/>
                    <w:tr2bl w:val="nil"/>
                  </w:tcBorders>
                  <w:vAlign w:val="center"/>
                </w:tcPr>
                <w:p w14:paraId="111043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5986AE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6836E6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0874D8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0550E2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26C8F7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6A018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7197AE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遗传转化与筛选</w:t>
                  </w:r>
                </w:p>
              </w:tc>
              <w:tc>
                <w:tcPr>
                  <w:tcW w:w="526" w:type="pct"/>
                  <w:tcBorders>
                    <w:tl2br w:val="nil"/>
                    <w:tr2bl w:val="nil"/>
                  </w:tcBorders>
                  <w:vAlign w:val="center"/>
                </w:tcPr>
                <w:p w14:paraId="74BB38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79E15F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50E7F0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4B9977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392A99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71A07C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2F88D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104692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高产菌验证</w:t>
                  </w:r>
                </w:p>
              </w:tc>
              <w:tc>
                <w:tcPr>
                  <w:tcW w:w="526" w:type="pct"/>
                  <w:tcBorders>
                    <w:tl2br w:val="nil"/>
                    <w:tr2bl w:val="nil"/>
                  </w:tcBorders>
                  <w:vAlign w:val="center"/>
                </w:tcPr>
                <w:p w14:paraId="67B2B9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20</w:t>
                  </w:r>
                </w:p>
              </w:tc>
              <w:tc>
                <w:tcPr>
                  <w:tcW w:w="561" w:type="pct"/>
                  <w:tcBorders>
                    <w:tl2br w:val="nil"/>
                    <w:tr2bl w:val="nil"/>
                  </w:tcBorders>
                  <w:vAlign w:val="center"/>
                </w:tcPr>
                <w:p w14:paraId="1B489A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7950B4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42B34C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34A9A1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6E4795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45247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018FF8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工程菌获得</w:t>
                  </w:r>
                </w:p>
              </w:tc>
              <w:tc>
                <w:tcPr>
                  <w:tcW w:w="526" w:type="pct"/>
                  <w:tcBorders>
                    <w:tl2br w:val="nil"/>
                    <w:tr2bl w:val="nil"/>
                  </w:tcBorders>
                  <w:vAlign w:val="center"/>
                </w:tcPr>
                <w:p w14:paraId="64EBE7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6DB079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41EB4C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0C0A59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49A8B4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5E4DC4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467B0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56CAF9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菌种保藏</w:t>
                  </w:r>
                </w:p>
              </w:tc>
              <w:tc>
                <w:tcPr>
                  <w:tcW w:w="526" w:type="pct"/>
                  <w:tcBorders>
                    <w:tl2br w:val="nil"/>
                    <w:tr2bl w:val="nil"/>
                  </w:tcBorders>
                  <w:vAlign w:val="center"/>
                </w:tcPr>
                <w:p w14:paraId="7CD094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w:t>
                  </w:r>
                </w:p>
              </w:tc>
              <w:tc>
                <w:tcPr>
                  <w:tcW w:w="561" w:type="pct"/>
                  <w:tcBorders>
                    <w:tl2br w:val="nil"/>
                    <w:tr2bl w:val="nil"/>
                  </w:tcBorders>
                  <w:vAlign w:val="center"/>
                </w:tcPr>
                <w:p w14:paraId="42EC7F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61A414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722DDC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657E34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3B7438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001BB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7B42E1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种子培养</w:t>
                  </w:r>
                </w:p>
              </w:tc>
              <w:tc>
                <w:tcPr>
                  <w:tcW w:w="526" w:type="pct"/>
                  <w:tcBorders>
                    <w:tl2br w:val="nil"/>
                    <w:tr2bl w:val="nil"/>
                  </w:tcBorders>
                  <w:vAlign w:val="center"/>
                </w:tcPr>
                <w:p w14:paraId="43DE18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561" w:type="pct"/>
                  <w:tcBorders>
                    <w:tl2br w:val="nil"/>
                    <w:tr2bl w:val="nil"/>
                  </w:tcBorders>
                  <w:vAlign w:val="center"/>
                </w:tcPr>
                <w:p w14:paraId="0FC232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63AE05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0D492C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27BEE9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5C59F5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35D2A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630EDB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发酵罐配料</w:t>
                  </w:r>
                </w:p>
              </w:tc>
              <w:tc>
                <w:tcPr>
                  <w:tcW w:w="526" w:type="pct"/>
                  <w:tcBorders>
                    <w:tl2br w:val="nil"/>
                    <w:tr2bl w:val="nil"/>
                  </w:tcBorders>
                  <w:vAlign w:val="center"/>
                </w:tcPr>
                <w:p w14:paraId="772E92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44F3D3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4C23DF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5B098E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097E34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28DEA1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7CA59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5D05CF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电极检测与测定</w:t>
                  </w:r>
                </w:p>
              </w:tc>
              <w:tc>
                <w:tcPr>
                  <w:tcW w:w="526" w:type="pct"/>
                  <w:tcBorders>
                    <w:tl2br w:val="nil"/>
                    <w:tr2bl w:val="nil"/>
                  </w:tcBorders>
                  <w:vAlign w:val="center"/>
                </w:tcPr>
                <w:p w14:paraId="3E5FC9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7E55CE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1C57DD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090DAB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685E98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76FF15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58ADE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09EC64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发酵罐灭菌</w:t>
                  </w:r>
                </w:p>
              </w:tc>
              <w:tc>
                <w:tcPr>
                  <w:tcW w:w="526" w:type="pct"/>
                  <w:tcBorders>
                    <w:tl2br w:val="nil"/>
                    <w:tr2bl w:val="nil"/>
                  </w:tcBorders>
                  <w:vAlign w:val="center"/>
                </w:tcPr>
                <w:p w14:paraId="270995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0.5</w:t>
                  </w:r>
                </w:p>
              </w:tc>
              <w:tc>
                <w:tcPr>
                  <w:tcW w:w="561" w:type="pct"/>
                  <w:tcBorders>
                    <w:tl2br w:val="nil"/>
                    <w:tr2bl w:val="nil"/>
                  </w:tcBorders>
                  <w:vAlign w:val="center"/>
                </w:tcPr>
                <w:p w14:paraId="39BE4C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584507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5BC137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31D5D8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3F7C05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7612D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493536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发酵罐接种</w:t>
                  </w:r>
                </w:p>
              </w:tc>
              <w:tc>
                <w:tcPr>
                  <w:tcW w:w="526" w:type="pct"/>
                  <w:tcBorders>
                    <w:tl2br w:val="nil"/>
                    <w:tr2bl w:val="nil"/>
                  </w:tcBorders>
                  <w:vAlign w:val="center"/>
                </w:tcPr>
                <w:p w14:paraId="3D9FD0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0.5</w:t>
                  </w:r>
                </w:p>
              </w:tc>
              <w:tc>
                <w:tcPr>
                  <w:tcW w:w="561" w:type="pct"/>
                  <w:tcBorders>
                    <w:tl2br w:val="nil"/>
                    <w:tr2bl w:val="nil"/>
                  </w:tcBorders>
                  <w:vAlign w:val="center"/>
                </w:tcPr>
                <w:p w14:paraId="281637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79E8E4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47F9B2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2B4703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64D53E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r w14:paraId="46E23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411135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发酵培养</w:t>
                  </w:r>
                </w:p>
              </w:tc>
              <w:tc>
                <w:tcPr>
                  <w:tcW w:w="526" w:type="pct"/>
                  <w:tcBorders>
                    <w:tl2br w:val="nil"/>
                    <w:tr2bl w:val="nil"/>
                  </w:tcBorders>
                  <w:vAlign w:val="center"/>
                </w:tcPr>
                <w:p w14:paraId="46F74C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72</w:t>
                  </w:r>
                </w:p>
              </w:tc>
              <w:tc>
                <w:tcPr>
                  <w:tcW w:w="561" w:type="pct"/>
                  <w:tcBorders>
                    <w:tl2br w:val="nil"/>
                    <w:tr2bl w:val="nil"/>
                  </w:tcBorders>
                  <w:vAlign w:val="center"/>
                </w:tcPr>
                <w:p w14:paraId="4BEEAA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241F3F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4C7540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714" w:type="pct"/>
                  <w:tcBorders>
                    <w:tl2br w:val="nil"/>
                    <w:tr2bl w:val="nil"/>
                  </w:tcBorders>
                  <w:vAlign w:val="center"/>
                </w:tcPr>
                <w:p w14:paraId="6DF7A3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714" w:type="pct"/>
                  <w:tcBorders>
                    <w:tl2br w:val="nil"/>
                    <w:tr2bl w:val="nil"/>
                  </w:tcBorders>
                  <w:vAlign w:val="center"/>
                </w:tcPr>
                <w:p w14:paraId="2689D0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rPr>
                  </w:pPr>
                  <w:r>
                    <w:rPr>
                      <w:rFonts w:hint="default"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r>
          </w:tbl>
          <w:p w14:paraId="283021DA">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eastAsia="宋体"/>
                <w:b/>
                <w:bCs/>
                <w:color w:val="FF0000"/>
                <w:kern w:val="0"/>
                <w:sz w:val="21"/>
                <w:szCs w:val="21"/>
                <w:lang w:val="en-US" w:eastAsia="zh-CN"/>
              </w:rPr>
            </w:pPr>
            <w:r>
              <w:rPr>
                <w:rFonts w:hint="eastAsia"/>
                <w:b/>
                <w:bCs/>
                <w:color w:val="000000" w:themeColor="text1"/>
                <w:kern w:val="0"/>
                <w:sz w:val="21"/>
                <w:szCs w:val="21"/>
                <w:lang w:val="en-US" w:eastAsia="zh-CN"/>
                <w14:textFill>
                  <w14:solidFill>
                    <w14:schemeClr w14:val="tx1"/>
                  </w14:solidFill>
                </w14:textFill>
              </w:rPr>
              <w:t>表2-5  色氨酸主要生产工艺与生产能力匹配分析</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877"/>
              <w:gridCol w:w="935"/>
              <w:gridCol w:w="1190"/>
              <w:gridCol w:w="1190"/>
              <w:gridCol w:w="1190"/>
              <w:gridCol w:w="1191"/>
            </w:tblGrid>
            <w:tr w14:paraId="3B545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232F88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工序</w:t>
                  </w:r>
                </w:p>
              </w:tc>
              <w:tc>
                <w:tcPr>
                  <w:tcW w:w="526" w:type="pct"/>
                  <w:tcBorders>
                    <w:tl2br w:val="nil"/>
                    <w:tr2bl w:val="nil"/>
                  </w:tcBorders>
                  <w:vAlign w:val="center"/>
                </w:tcPr>
                <w:p w14:paraId="3EBD89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单批次生产耗时（h）</w:t>
                  </w:r>
                </w:p>
              </w:tc>
              <w:tc>
                <w:tcPr>
                  <w:tcW w:w="561" w:type="pct"/>
                  <w:tcBorders>
                    <w:tl2br w:val="nil"/>
                    <w:tr2bl w:val="nil"/>
                  </w:tcBorders>
                  <w:vAlign w:val="center"/>
                </w:tcPr>
                <w:p w14:paraId="49611D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日设计生产批次</w:t>
                  </w:r>
                </w:p>
              </w:tc>
              <w:tc>
                <w:tcPr>
                  <w:tcW w:w="714" w:type="pct"/>
                  <w:tcBorders>
                    <w:tl2br w:val="nil"/>
                    <w:tr2bl w:val="nil"/>
                  </w:tcBorders>
                  <w:vAlign w:val="center"/>
                </w:tcPr>
                <w:p w14:paraId="04E650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涉及产能批次（g/批次）</w:t>
                  </w:r>
                </w:p>
              </w:tc>
              <w:tc>
                <w:tcPr>
                  <w:tcW w:w="714" w:type="pct"/>
                  <w:tcBorders>
                    <w:tl2br w:val="nil"/>
                    <w:tr2bl w:val="nil"/>
                  </w:tcBorders>
                  <w:vAlign w:val="center"/>
                </w:tcPr>
                <w:p w14:paraId="3108BD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每日身产量（g）</w:t>
                  </w:r>
                </w:p>
              </w:tc>
              <w:tc>
                <w:tcPr>
                  <w:tcW w:w="714" w:type="pct"/>
                  <w:tcBorders>
                    <w:tl2br w:val="nil"/>
                    <w:tr2bl w:val="nil"/>
                  </w:tcBorders>
                  <w:vAlign w:val="center"/>
                </w:tcPr>
                <w:p w14:paraId="5C60A7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color w:val="FF0000"/>
                      <w:kern w:val="0"/>
                      <w:sz w:val="21"/>
                      <w:szCs w:val="21"/>
                      <w:vertAlign w:val="baseline"/>
                    </w:rPr>
                  </w:pPr>
                  <w:r>
                    <w:rPr>
                      <w:rFonts w:hint="eastAsia"/>
                      <w:b/>
                      <w:bCs/>
                      <w:color w:val="000000" w:themeColor="text1"/>
                      <w:kern w:val="0"/>
                      <w:sz w:val="21"/>
                      <w:szCs w:val="21"/>
                      <w:vertAlign w:val="baseline"/>
                      <w:lang w:val="en-US" w:eastAsia="zh-CN"/>
                      <w14:textFill>
                        <w14:solidFill>
                          <w14:schemeClr w14:val="tx1"/>
                        </w14:solidFill>
                      </w14:textFill>
                    </w:rPr>
                    <w:t>本项目理论产能（kg/a）</w:t>
                  </w:r>
                </w:p>
              </w:tc>
              <w:tc>
                <w:tcPr>
                  <w:tcW w:w="714" w:type="pct"/>
                  <w:tcBorders>
                    <w:tl2br w:val="nil"/>
                    <w:tr2bl w:val="nil"/>
                  </w:tcBorders>
                  <w:vAlign w:val="center"/>
                </w:tcPr>
                <w:p w14:paraId="7AA609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项目设计产能</w:t>
                  </w:r>
                  <w:r>
                    <w:rPr>
                      <w:rFonts w:hint="default" w:ascii="Times New Roman" w:hAnsi="Times New Roman" w:cs="Times New Roman"/>
                      <w:b/>
                      <w:bCs/>
                      <w:color w:val="000000" w:themeColor="text1"/>
                      <w:kern w:val="0"/>
                      <w:sz w:val="21"/>
                      <w:szCs w:val="21"/>
                      <w:vertAlign w:val="baseline"/>
                      <w:lang w:val="en-US" w:eastAsia="zh-CN"/>
                      <w14:textFill>
                        <w14:solidFill>
                          <w14:schemeClr w14:val="tx1"/>
                        </w14:solidFill>
                      </w14:textFill>
                    </w:rPr>
                    <w:t>（kg/a）</w:t>
                  </w:r>
                </w:p>
              </w:tc>
            </w:tr>
            <w:tr w14:paraId="78FAF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27D7AB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目标基因克隆</w:t>
                  </w:r>
                </w:p>
              </w:tc>
              <w:tc>
                <w:tcPr>
                  <w:tcW w:w="526" w:type="pct"/>
                  <w:tcBorders>
                    <w:tl2br w:val="nil"/>
                    <w:tr2bl w:val="nil"/>
                  </w:tcBorders>
                  <w:vAlign w:val="center"/>
                </w:tcPr>
                <w:p w14:paraId="1711E6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0.5</w:t>
                  </w:r>
                </w:p>
              </w:tc>
              <w:tc>
                <w:tcPr>
                  <w:tcW w:w="561" w:type="pct"/>
                  <w:tcBorders>
                    <w:tl2br w:val="nil"/>
                    <w:tr2bl w:val="nil"/>
                  </w:tcBorders>
                  <w:vAlign w:val="center"/>
                </w:tcPr>
                <w:p w14:paraId="7B5FFF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2B2702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32392E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1EE0E6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51BD96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59BDD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7E2915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表达载体构建</w:t>
                  </w:r>
                </w:p>
              </w:tc>
              <w:tc>
                <w:tcPr>
                  <w:tcW w:w="526" w:type="pct"/>
                  <w:tcBorders>
                    <w:tl2br w:val="nil"/>
                    <w:tr2bl w:val="nil"/>
                  </w:tcBorders>
                  <w:vAlign w:val="center"/>
                </w:tcPr>
                <w:p w14:paraId="57ECC7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39C3F6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4FCF14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7F0A5E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528AFA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0EF710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71BF8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6206B7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遗传转化与筛选</w:t>
                  </w:r>
                </w:p>
              </w:tc>
              <w:tc>
                <w:tcPr>
                  <w:tcW w:w="526" w:type="pct"/>
                  <w:tcBorders>
                    <w:tl2br w:val="nil"/>
                    <w:tr2bl w:val="nil"/>
                  </w:tcBorders>
                  <w:vAlign w:val="center"/>
                </w:tcPr>
                <w:p w14:paraId="284506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2B2C91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1F2ACB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4C4C88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562B0B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4C4301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338D9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167511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高产菌验证</w:t>
                  </w:r>
                </w:p>
              </w:tc>
              <w:tc>
                <w:tcPr>
                  <w:tcW w:w="526" w:type="pct"/>
                  <w:tcBorders>
                    <w:tl2br w:val="nil"/>
                    <w:tr2bl w:val="nil"/>
                  </w:tcBorders>
                  <w:vAlign w:val="center"/>
                </w:tcPr>
                <w:p w14:paraId="78DAFE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w:t>
                  </w:r>
                </w:p>
              </w:tc>
              <w:tc>
                <w:tcPr>
                  <w:tcW w:w="561" w:type="pct"/>
                  <w:tcBorders>
                    <w:tl2br w:val="nil"/>
                    <w:tr2bl w:val="nil"/>
                  </w:tcBorders>
                  <w:vAlign w:val="center"/>
                </w:tcPr>
                <w:p w14:paraId="44A5B4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4A5DF4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4C446E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282ED4F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4D4F22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1D937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4B34B1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工程菌获得</w:t>
                  </w:r>
                </w:p>
              </w:tc>
              <w:tc>
                <w:tcPr>
                  <w:tcW w:w="526" w:type="pct"/>
                  <w:tcBorders>
                    <w:tl2br w:val="nil"/>
                    <w:tr2bl w:val="nil"/>
                  </w:tcBorders>
                  <w:vAlign w:val="center"/>
                </w:tcPr>
                <w:p w14:paraId="26B799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094CC8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5D5EBA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54EAA8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0B9AA3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55EE7B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05CD6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562EF4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菌种保藏</w:t>
                  </w:r>
                </w:p>
              </w:tc>
              <w:tc>
                <w:tcPr>
                  <w:tcW w:w="526" w:type="pct"/>
                  <w:tcBorders>
                    <w:tl2br w:val="nil"/>
                    <w:tr2bl w:val="nil"/>
                  </w:tcBorders>
                  <w:vAlign w:val="center"/>
                </w:tcPr>
                <w:p w14:paraId="44B08A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w:t>
                  </w:r>
                </w:p>
              </w:tc>
              <w:tc>
                <w:tcPr>
                  <w:tcW w:w="561" w:type="pct"/>
                  <w:tcBorders>
                    <w:tl2br w:val="nil"/>
                    <w:tr2bl w:val="nil"/>
                  </w:tcBorders>
                  <w:vAlign w:val="center"/>
                </w:tcPr>
                <w:p w14:paraId="5825D8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5F0162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39F7C2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7EE052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1EBD34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42D67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2BD6C5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种子培养</w:t>
                  </w:r>
                </w:p>
              </w:tc>
              <w:tc>
                <w:tcPr>
                  <w:tcW w:w="526" w:type="pct"/>
                  <w:tcBorders>
                    <w:tl2br w:val="nil"/>
                    <w:tr2bl w:val="nil"/>
                  </w:tcBorders>
                  <w:vAlign w:val="center"/>
                </w:tcPr>
                <w:p w14:paraId="62DD22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12</w:t>
                  </w:r>
                </w:p>
              </w:tc>
              <w:tc>
                <w:tcPr>
                  <w:tcW w:w="561" w:type="pct"/>
                  <w:tcBorders>
                    <w:tl2br w:val="nil"/>
                    <w:tr2bl w:val="nil"/>
                  </w:tcBorders>
                  <w:vAlign w:val="center"/>
                </w:tcPr>
                <w:p w14:paraId="69B304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6E071B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6B66AC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144DE7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03BD8A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77320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237D5C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发酵罐配料</w:t>
                  </w:r>
                </w:p>
              </w:tc>
              <w:tc>
                <w:tcPr>
                  <w:tcW w:w="526" w:type="pct"/>
                  <w:tcBorders>
                    <w:tl2br w:val="nil"/>
                    <w:tr2bl w:val="nil"/>
                  </w:tcBorders>
                  <w:vAlign w:val="center"/>
                </w:tcPr>
                <w:p w14:paraId="1FCAD9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3E68E3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083F42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76389A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6847E3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361E26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579E4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2B01C5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电极检测与测定</w:t>
                  </w:r>
                </w:p>
              </w:tc>
              <w:tc>
                <w:tcPr>
                  <w:tcW w:w="526" w:type="pct"/>
                  <w:tcBorders>
                    <w:tl2br w:val="nil"/>
                    <w:tr2bl w:val="nil"/>
                  </w:tcBorders>
                  <w:vAlign w:val="center"/>
                </w:tcPr>
                <w:p w14:paraId="2AAF4F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561" w:type="pct"/>
                  <w:tcBorders>
                    <w:tl2br w:val="nil"/>
                    <w:tr2bl w:val="nil"/>
                  </w:tcBorders>
                  <w:vAlign w:val="center"/>
                </w:tcPr>
                <w:p w14:paraId="01F63E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15B565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4E9FCA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524731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67C6D3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7B442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46256A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发酵罐灭菌</w:t>
                  </w:r>
                </w:p>
              </w:tc>
              <w:tc>
                <w:tcPr>
                  <w:tcW w:w="526" w:type="pct"/>
                  <w:tcBorders>
                    <w:tl2br w:val="nil"/>
                    <w:tr2bl w:val="nil"/>
                  </w:tcBorders>
                  <w:vAlign w:val="center"/>
                </w:tcPr>
                <w:p w14:paraId="1A594E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0.5</w:t>
                  </w:r>
                </w:p>
              </w:tc>
              <w:tc>
                <w:tcPr>
                  <w:tcW w:w="561" w:type="pct"/>
                  <w:tcBorders>
                    <w:tl2br w:val="nil"/>
                    <w:tr2bl w:val="nil"/>
                  </w:tcBorders>
                  <w:vAlign w:val="center"/>
                </w:tcPr>
                <w:p w14:paraId="3A3B15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2DC6B5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655CAC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5E1FD6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2922AB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00A38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7BF965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发酵罐接种</w:t>
                  </w:r>
                </w:p>
              </w:tc>
              <w:tc>
                <w:tcPr>
                  <w:tcW w:w="526" w:type="pct"/>
                  <w:tcBorders>
                    <w:tl2br w:val="nil"/>
                    <w:tr2bl w:val="nil"/>
                  </w:tcBorders>
                  <w:vAlign w:val="center"/>
                </w:tcPr>
                <w:p w14:paraId="2D90AE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0.5</w:t>
                  </w:r>
                </w:p>
              </w:tc>
              <w:tc>
                <w:tcPr>
                  <w:tcW w:w="561" w:type="pct"/>
                  <w:tcBorders>
                    <w:tl2br w:val="nil"/>
                    <w:tr2bl w:val="nil"/>
                  </w:tcBorders>
                  <w:vAlign w:val="center"/>
                </w:tcPr>
                <w:p w14:paraId="536F66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05BAF4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308231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739EF6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435AF7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r w14:paraId="7FBDB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tcBorders>
                    <w:tl2br w:val="nil"/>
                    <w:tr2bl w:val="nil"/>
                  </w:tcBorders>
                  <w:vAlign w:val="center"/>
                </w:tcPr>
                <w:p w14:paraId="7CB6C7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发酵培养</w:t>
                  </w:r>
                </w:p>
              </w:tc>
              <w:tc>
                <w:tcPr>
                  <w:tcW w:w="526" w:type="pct"/>
                  <w:tcBorders>
                    <w:tl2br w:val="nil"/>
                    <w:tr2bl w:val="nil"/>
                  </w:tcBorders>
                  <w:vAlign w:val="center"/>
                </w:tcPr>
                <w:p w14:paraId="0DAFD6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48</w:t>
                  </w:r>
                </w:p>
              </w:tc>
              <w:tc>
                <w:tcPr>
                  <w:tcW w:w="561" w:type="pct"/>
                  <w:tcBorders>
                    <w:tl2br w:val="nil"/>
                    <w:tr2bl w:val="nil"/>
                  </w:tcBorders>
                  <w:vAlign w:val="center"/>
                </w:tcPr>
                <w:p w14:paraId="2386BB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714" w:type="pct"/>
                  <w:tcBorders>
                    <w:tl2br w:val="nil"/>
                    <w:tr2bl w:val="nil"/>
                  </w:tcBorders>
                  <w:vAlign w:val="center"/>
                </w:tcPr>
                <w:p w14:paraId="583F22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2BD115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714" w:type="pct"/>
                  <w:tcBorders>
                    <w:tl2br w:val="nil"/>
                    <w:tr2bl w:val="nil"/>
                  </w:tcBorders>
                  <w:vAlign w:val="center"/>
                </w:tcPr>
                <w:p w14:paraId="7841DF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c>
                <w:tcPr>
                  <w:tcW w:w="714" w:type="pct"/>
                  <w:tcBorders>
                    <w:tl2br w:val="nil"/>
                    <w:tr2bl w:val="nil"/>
                  </w:tcBorders>
                  <w:vAlign w:val="center"/>
                </w:tcPr>
                <w:p w14:paraId="7A5755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eastAsia"/>
                      <w:b w:val="0"/>
                      <w:bCs w:val="0"/>
                      <w:color w:val="000000" w:themeColor="text1"/>
                      <w:kern w:val="0"/>
                      <w:sz w:val="21"/>
                      <w:szCs w:val="21"/>
                      <w:vertAlign w:val="baseline"/>
                      <w:lang w:val="en-US" w:eastAsia="zh-CN"/>
                      <w14:textFill>
                        <w14:solidFill>
                          <w14:schemeClr w14:val="tx1"/>
                        </w14:solidFill>
                      </w14:textFill>
                    </w:rPr>
                    <w:t>10</w:t>
                  </w:r>
                </w:p>
              </w:tc>
            </w:tr>
          </w:tbl>
          <w:p w14:paraId="2FF860EE">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bCs/>
                <w:color w:val="000000" w:themeColor="text1"/>
                <w:kern w:val="0"/>
                <w:sz w:val="24"/>
                <w:szCs w:val="24"/>
                <w:lang w:val="en-US" w:eastAsia="zh-CN"/>
                <w14:textFill>
                  <w14:solidFill>
                    <w14:schemeClr w14:val="tx1"/>
                  </w14:solidFill>
                </w14:textFill>
              </w:rPr>
            </w:pPr>
          </w:p>
          <w:p w14:paraId="4258F61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FF0000"/>
                <w:sz w:val="21"/>
                <w:szCs w:val="21"/>
                <w:lang w:val="en-US" w:eastAsia="zh-CN"/>
              </w:rPr>
            </w:pPr>
            <w:r>
              <w:rPr>
                <w:rFonts w:hint="eastAsia"/>
                <w:b/>
                <w:bCs/>
                <w:color w:val="000000" w:themeColor="text1"/>
                <w:kern w:val="0"/>
                <w:sz w:val="21"/>
                <w:szCs w:val="21"/>
                <w:lang w:val="en-US" w:eastAsia="zh-CN"/>
                <w14:textFill>
                  <w14:solidFill>
                    <w14:schemeClr w14:val="tx1"/>
                  </w14:solidFill>
                </w14:textFill>
              </w:rPr>
              <w:t>表2-6  5-羟基色氨酸年生产工艺与生产能力匹配分析</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924"/>
              <w:gridCol w:w="924"/>
              <w:gridCol w:w="721"/>
              <w:gridCol w:w="1127"/>
              <w:gridCol w:w="925"/>
              <w:gridCol w:w="925"/>
              <w:gridCol w:w="925"/>
              <w:gridCol w:w="925"/>
            </w:tblGrid>
            <w:tr w14:paraId="06C2B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3" w:type="dxa"/>
                  <w:tcBorders>
                    <w:tl2br w:val="nil"/>
                    <w:tr2bl w:val="nil"/>
                  </w:tcBorders>
                  <w:vAlign w:val="center"/>
                </w:tcPr>
                <w:p w14:paraId="24A637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工序</w:t>
                  </w:r>
                </w:p>
              </w:tc>
              <w:tc>
                <w:tcPr>
                  <w:tcW w:w="924" w:type="dxa"/>
                  <w:tcBorders>
                    <w:tl2br w:val="nil"/>
                    <w:tr2bl w:val="nil"/>
                  </w:tcBorders>
                  <w:vAlign w:val="center"/>
                </w:tcPr>
                <w:p w14:paraId="254FB9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所用设备</w:t>
                  </w:r>
                </w:p>
              </w:tc>
              <w:tc>
                <w:tcPr>
                  <w:tcW w:w="924" w:type="dxa"/>
                  <w:tcBorders>
                    <w:tl2br w:val="nil"/>
                    <w:tr2bl w:val="nil"/>
                  </w:tcBorders>
                  <w:vAlign w:val="center"/>
                </w:tcPr>
                <w:p w14:paraId="0E30FF5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规格</w:t>
                  </w:r>
                </w:p>
              </w:tc>
              <w:tc>
                <w:tcPr>
                  <w:tcW w:w="721" w:type="dxa"/>
                  <w:tcBorders>
                    <w:tl2br w:val="nil"/>
                    <w:tr2bl w:val="nil"/>
                  </w:tcBorders>
                  <w:vAlign w:val="center"/>
                </w:tcPr>
                <w:p w14:paraId="2562C9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数量</w:t>
                  </w:r>
                </w:p>
              </w:tc>
              <w:tc>
                <w:tcPr>
                  <w:tcW w:w="1127" w:type="dxa"/>
                  <w:tcBorders>
                    <w:tl2br w:val="nil"/>
                    <w:tr2bl w:val="nil"/>
                  </w:tcBorders>
                  <w:vAlign w:val="center"/>
                </w:tcPr>
                <w:p w14:paraId="36AF79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单罐最大入料量（kg）</w:t>
                  </w:r>
                </w:p>
              </w:tc>
              <w:tc>
                <w:tcPr>
                  <w:tcW w:w="925" w:type="dxa"/>
                  <w:tcBorders>
                    <w:tl2br w:val="nil"/>
                    <w:tr2bl w:val="nil"/>
                  </w:tcBorders>
                  <w:vAlign w:val="center"/>
                </w:tcPr>
                <w:p w14:paraId="175F82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单批次入料量（kg）</w:t>
                  </w:r>
                </w:p>
              </w:tc>
              <w:tc>
                <w:tcPr>
                  <w:tcW w:w="925" w:type="dxa"/>
                  <w:tcBorders>
                    <w:tl2br w:val="nil"/>
                    <w:tr2bl w:val="nil"/>
                  </w:tcBorders>
                  <w:vAlign w:val="center"/>
                </w:tcPr>
                <w:p w14:paraId="01E2F9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批次生产时间（h）</w:t>
                  </w:r>
                </w:p>
              </w:tc>
              <w:tc>
                <w:tcPr>
                  <w:tcW w:w="925" w:type="dxa"/>
                  <w:tcBorders>
                    <w:tl2br w:val="nil"/>
                    <w:tr2bl w:val="nil"/>
                  </w:tcBorders>
                  <w:vAlign w:val="center"/>
                </w:tcPr>
                <w:p w14:paraId="7B4BE5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年生产批次</w:t>
                  </w:r>
                </w:p>
              </w:tc>
              <w:tc>
                <w:tcPr>
                  <w:tcW w:w="925" w:type="dxa"/>
                  <w:tcBorders>
                    <w:tl2br w:val="nil"/>
                    <w:tr2bl w:val="nil"/>
                  </w:tcBorders>
                  <w:vAlign w:val="center"/>
                </w:tcPr>
                <w:p w14:paraId="597D3C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投料系数</w:t>
                  </w:r>
                </w:p>
              </w:tc>
            </w:tr>
            <w:tr w14:paraId="79D9C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23" w:type="dxa"/>
                  <w:tcBorders>
                    <w:tl2br w:val="nil"/>
                    <w:tr2bl w:val="nil"/>
                  </w:tcBorders>
                  <w:vAlign w:val="center"/>
                </w:tcPr>
                <w:p w14:paraId="6E55A2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高产菌验证</w:t>
                  </w:r>
                </w:p>
              </w:tc>
              <w:tc>
                <w:tcPr>
                  <w:tcW w:w="924" w:type="dxa"/>
                  <w:tcBorders>
                    <w:tl2br w:val="nil"/>
                    <w:tr2bl w:val="nil"/>
                  </w:tcBorders>
                  <w:vAlign w:val="center"/>
                </w:tcPr>
                <w:p w14:paraId="3D43B6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default"/>
                      <w:b w:val="0"/>
                      <w:bCs w:val="0"/>
                      <w:color w:val="000000" w:themeColor="text1"/>
                      <w:kern w:val="0"/>
                      <w:sz w:val="21"/>
                      <w:szCs w:val="21"/>
                      <w:vertAlign w:val="baseline"/>
                      <w14:textFill>
                        <w14:solidFill>
                          <w14:schemeClr w14:val="tx1"/>
                        </w14:solidFill>
                      </w14:textFill>
                    </w:rPr>
                    <w:t>生化培养箱</w:t>
                  </w:r>
                </w:p>
              </w:tc>
              <w:tc>
                <w:tcPr>
                  <w:tcW w:w="924" w:type="dxa"/>
                  <w:tcBorders>
                    <w:tl2br w:val="nil"/>
                    <w:tr2bl w:val="nil"/>
                  </w:tcBorders>
                  <w:vAlign w:val="center"/>
                </w:tcPr>
                <w:p w14:paraId="129071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200L</w:t>
                  </w:r>
                </w:p>
              </w:tc>
              <w:tc>
                <w:tcPr>
                  <w:tcW w:w="721" w:type="dxa"/>
                  <w:tcBorders>
                    <w:tl2br w:val="nil"/>
                    <w:tr2bl w:val="nil"/>
                  </w:tcBorders>
                  <w:vAlign w:val="center"/>
                </w:tcPr>
                <w:p w14:paraId="021E10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1127" w:type="dxa"/>
                  <w:tcBorders>
                    <w:tl2br w:val="nil"/>
                    <w:tr2bl w:val="nil"/>
                  </w:tcBorders>
                  <w:vAlign w:val="center"/>
                </w:tcPr>
                <w:p w14:paraId="1FF194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925" w:type="dxa"/>
                  <w:tcBorders>
                    <w:tl2br w:val="nil"/>
                    <w:tr2bl w:val="nil"/>
                  </w:tcBorders>
                  <w:vAlign w:val="center"/>
                </w:tcPr>
                <w:p w14:paraId="5A0DAC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2.496</w:t>
                  </w:r>
                </w:p>
              </w:tc>
              <w:tc>
                <w:tcPr>
                  <w:tcW w:w="925" w:type="dxa"/>
                  <w:tcBorders>
                    <w:tl2br w:val="nil"/>
                    <w:tr2bl w:val="nil"/>
                  </w:tcBorders>
                  <w:vAlign w:val="center"/>
                </w:tcPr>
                <w:p w14:paraId="77CCFE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w:t>
                  </w:r>
                </w:p>
              </w:tc>
              <w:tc>
                <w:tcPr>
                  <w:tcW w:w="925" w:type="dxa"/>
                  <w:tcBorders>
                    <w:tl2br w:val="nil"/>
                    <w:tr2bl w:val="nil"/>
                  </w:tcBorders>
                  <w:vAlign w:val="center"/>
                </w:tcPr>
                <w:p w14:paraId="747180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50</w:t>
                  </w:r>
                </w:p>
              </w:tc>
              <w:tc>
                <w:tcPr>
                  <w:tcW w:w="925" w:type="dxa"/>
                  <w:tcBorders>
                    <w:tl2br w:val="nil"/>
                    <w:tr2bl w:val="nil"/>
                  </w:tcBorders>
                  <w:vAlign w:val="center"/>
                </w:tcPr>
                <w:p w14:paraId="0A0EC8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1.25%</w:t>
                  </w:r>
                </w:p>
              </w:tc>
            </w:tr>
            <w:tr w14:paraId="0E57A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3" w:type="dxa"/>
                  <w:tcBorders>
                    <w:tl2br w:val="nil"/>
                    <w:tr2bl w:val="nil"/>
                  </w:tcBorders>
                  <w:vAlign w:val="center"/>
                </w:tcPr>
                <w:p w14:paraId="619A4B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种子培养</w:t>
                  </w:r>
                </w:p>
              </w:tc>
              <w:tc>
                <w:tcPr>
                  <w:tcW w:w="924" w:type="dxa"/>
                  <w:tcBorders>
                    <w:tl2br w:val="nil"/>
                    <w:tr2bl w:val="nil"/>
                  </w:tcBorders>
                  <w:vAlign w:val="center"/>
                </w:tcPr>
                <w:p w14:paraId="5DF608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default"/>
                      <w:b w:val="0"/>
                      <w:bCs w:val="0"/>
                      <w:color w:val="000000" w:themeColor="text1"/>
                      <w:kern w:val="0"/>
                      <w:sz w:val="21"/>
                      <w:szCs w:val="21"/>
                      <w:vertAlign w:val="baseline"/>
                      <w14:textFill>
                        <w14:solidFill>
                          <w14:schemeClr w14:val="tx1"/>
                        </w14:solidFill>
                      </w14:textFill>
                    </w:rPr>
                    <w:t>生化培养箱</w:t>
                  </w:r>
                </w:p>
              </w:tc>
              <w:tc>
                <w:tcPr>
                  <w:tcW w:w="924" w:type="dxa"/>
                  <w:tcBorders>
                    <w:tl2br w:val="nil"/>
                    <w:tr2bl w:val="nil"/>
                  </w:tcBorders>
                  <w:vAlign w:val="center"/>
                </w:tcPr>
                <w:p w14:paraId="0DFED3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200L</w:t>
                  </w:r>
                </w:p>
              </w:tc>
              <w:tc>
                <w:tcPr>
                  <w:tcW w:w="721" w:type="dxa"/>
                  <w:tcBorders>
                    <w:tl2br w:val="nil"/>
                    <w:tr2bl w:val="nil"/>
                  </w:tcBorders>
                  <w:vAlign w:val="center"/>
                </w:tcPr>
                <w:p w14:paraId="13683F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1127" w:type="dxa"/>
                  <w:tcBorders>
                    <w:tl2br w:val="nil"/>
                    <w:tr2bl w:val="nil"/>
                  </w:tcBorders>
                  <w:vAlign w:val="center"/>
                </w:tcPr>
                <w:p w14:paraId="1A7AEC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925" w:type="dxa"/>
                  <w:tcBorders>
                    <w:tl2br w:val="nil"/>
                    <w:tr2bl w:val="nil"/>
                  </w:tcBorders>
                  <w:vAlign w:val="center"/>
                </w:tcPr>
                <w:p w14:paraId="0F194B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0.524kg</w:t>
                  </w:r>
                </w:p>
              </w:tc>
              <w:tc>
                <w:tcPr>
                  <w:tcW w:w="925" w:type="dxa"/>
                  <w:tcBorders>
                    <w:tl2br w:val="nil"/>
                    <w:tr2bl w:val="nil"/>
                  </w:tcBorders>
                  <w:vAlign w:val="center"/>
                </w:tcPr>
                <w:p w14:paraId="2D3175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12</w:t>
                  </w:r>
                </w:p>
              </w:tc>
              <w:tc>
                <w:tcPr>
                  <w:tcW w:w="925" w:type="dxa"/>
                  <w:tcBorders>
                    <w:tl2br w:val="nil"/>
                    <w:tr2bl w:val="nil"/>
                  </w:tcBorders>
                  <w:vAlign w:val="center"/>
                </w:tcPr>
                <w:p w14:paraId="603052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50</w:t>
                  </w:r>
                </w:p>
              </w:tc>
              <w:tc>
                <w:tcPr>
                  <w:tcW w:w="925" w:type="dxa"/>
                  <w:tcBorders>
                    <w:tl2br w:val="nil"/>
                    <w:tr2bl w:val="nil"/>
                  </w:tcBorders>
                  <w:vAlign w:val="center"/>
                </w:tcPr>
                <w:p w14:paraId="636523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0.26%</w:t>
                  </w:r>
                </w:p>
              </w:tc>
            </w:tr>
            <w:tr w14:paraId="15F51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3" w:type="dxa"/>
                  <w:tcBorders>
                    <w:tl2br w:val="nil"/>
                    <w:tr2bl w:val="nil"/>
                  </w:tcBorders>
                  <w:vAlign w:val="center"/>
                </w:tcPr>
                <w:p w14:paraId="58707E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发酵</w:t>
                  </w:r>
                </w:p>
              </w:tc>
              <w:tc>
                <w:tcPr>
                  <w:tcW w:w="924" w:type="dxa"/>
                  <w:tcBorders>
                    <w:tl2br w:val="nil"/>
                    <w:tr2bl w:val="nil"/>
                  </w:tcBorders>
                  <w:vAlign w:val="center"/>
                </w:tcPr>
                <w:p w14:paraId="5197DB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发酵罐</w:t>
                  </w:r>
                </w:p>
              </w:tc>
              <w:tc>
                <w:tcPr>
                  <w:tcW w:w="924" w:type="dxa"/>
                  <w:tcBorders>
                    <w:tl2br w:val="nil"/>
                    <w:tr2bl w:val="nil"/>
                  </w:tcBorders>
                  <w:vAlign w:val="center"/>
                </w:tcPr>
                <w:p w14:paraId="791D72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5L</w:t>
                  </w:r>
                </w:p>
              </w:tc>
              <w:tc>
                <w:tcPr>
                  <w:tcW w:w="721" w:type="dxa"/>
                  <w:tcBorders>
                    <w:tl2br w:val="nil"/>
                    <w:tr2bl w:val="nil"/>
                  </w:tcBorders>
                  <w:vAlign w:val="center"/>
                </w:tcPr>
                <w:p w14:paraId="4E4EF1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1127" w:type="dxa"/>
                  <w:tcBorders>
                    <w:tl2br w:val="nil"/>
                    <w:tr2bl w:val="nil"/>
                  </w:tcBorders>
                  <w:vAlign w:val="center"/>
                </w:tcPr>
                <w:p w14:paraId="51E9B4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5</w:t>
                  </w:r>
                </w:p>
              </w:tc>
              <w:tc>
                <w:tcPr>
                  <w:tcW w:w="925" w:type="dxa"/>
                  <w:tcBorders>
                    <w:tl2br w:val="nil"/>
                    <w:tr2bl w:val="nil"/>
                  </w:tcBorders>
                  <w:vAlign w:val="center"/>
                </w:tcPr>
                <w:p w14:paraId="5C0BF1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2.355</w:t>
                  </w:r>
                </w:p>
              </w:tc>
              <w:tc>
                <w:tcPr>
                  <w:tcW w:w="925" w:type="dxa"/>
                  <w:tcBorders>
                    <w:tl2br w:val="nil"/>
                    <w:tr2bl w:val="nil"/>
                  </w:tcBorders>
                  <w:vAlign w:val="center"/>
                </w:tcPr>
                <w:p w14:paraId="163104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72</w:t>
                  </w:r>
                </w:p>
              </w:tc>
              <w:tc>
                <w:tcPr>
                  <w:tcW w:w="925" w:type="dxa"/>
                  <w:tcBorders>
                    <w:tl2br w:val="nil"/>
                    <w:tr2bl w:val="nil"/>
                  </w:tcBorders>
                  <w:vAlign w:val="center"/>
                </w:tcPr>
                <w:p w14:paraId="67FA85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50</w:t>
                  </w:r>
                </w:p>
              </w:tc>
              <w:tc>
                <w:tcPr>
                  <w:tcW w:w="925" w:type="dxa"/>
                  <w:tcBorders>
                    <w:tl2br w:val="nil"/>
                    <w:tr2bl w:val="nil"/>
                  </w:tcBorders>
                  <w:vAlign w:val="center"/>
                </w:tcPr>
                <w:p w14:paraId="5FC53B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47.1%</w:t>
                  </w:r>
                </w:p>
              </w:tc>
            </w:tr>
          </w:tbl>
          <w:p w14:paraId="5BDE821B">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bCs/>
                <w:color w:val="FF0000"/>
                <w:lang w:val="en-US" w:eastAsia="zh-CN"/>
              </w:rPr>
            </w:pPr>
            <w:r>
              <w:rPr>
                <w:rFonts w:hint="eastAsia"/>
                <w:b/>
                <w:bCs/>
                <w:color w:val="000000" w:themeColor="text1"/>
                <w:kern w:val="0"/>
                <w:sz w:val="21"/>
                <w:szCs w:val="21"/>
                <w:lang w:val="en-US" w:eastAsia="zh-CN"/>
                <w14:textFill>
                  <w14:solidFill>
                    <w14:schemeClr w14:val="tx1"/>
                  </w14:solidFill>
                </w14:textFill>
              </w:rPr>
              <w:t>表2-7 色氨酸年生产工艺与生产能力匹配分析</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924"/>
              <w:gridCol w:w="924"/>
              <w:gridCol w:w="924"/>
              <w:gridCol w:w="924"/>
              <w:gridCol w:w="925"/>
              <w:gridCol w:w="925"/>
              <w:gridCol w:w="925"/>
              <w:gridCol w:w="925"/>
            </w:tblGrid>
            <w:tr w14:paraId="16D1B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3" w:type="dxa"/>
                  <w:tcBorders>
                    <w:tl2br w:val="nil"/>
                    <w:tr2bl w:val="nil"/>
                  </w:tcBorders>
                  <w:vAlign w:val="center"/>
                </w:tcPr>
                <w:p w14:paraId="5E945E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工序</w:t>
                  </w:r>
                </w:p>
              </w:tc>
              <w:tc>
                <w:tcPr>
                  <w:tcW w:w="924" w:type="dxa"/>
                  <w:tcBorders>
                    <w:tl2br w:val="nil"/>
                    <w:tr2bl w:val="nil"/>
                  </w:tcBorders>
                  <w:vAlign w:val="center"/>
                </w:tcPr>
                <w:p w14:paraId="15B105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所用设备</w:t>
                  </w:r>
                </w:p>
              </w:tc>
              <w:tc>
                <w:tcPr>
                  <w:tcW w:w="924" w:type="dxa"/>
                  <w:tcBorders>
                    <w:tl2br w:val="nil"/>
                    <w:tr2bl w:val="nil"/>
                  </w:tcBorders>
                  <w:vAlign w:val="center"/>
                </w:tcPr>
                <w:p w14:paraId="6BCABF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规格</w:t>
                  </w:r>
                </w:p>
              </w:tc>
              <w:tc>
                <w:tcPr>
                  <w:tcW w:w="924" w:type="dxa"/>
                  <w:tcBorders>
                    <w:tl2br w:val="nil"/>
                    <w:tr2bl w:val="nil"/>
                  </w:tcBorders>
                  <w:vAlign w:val="center"/>
                </w:tcPr>
                <w:p w14:paraId="6687A2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数量</w:t>
                  </w:r>
                </w:p>
              </w:tc>
              <w:tc>
                <w:tcPr>
                  <w:tcW w:w="924" w:type="dxa"/>
                  <w:tcBorders>
                    <w:tl2br w:val="nil"/>
                    <w:tr2bl w:val="nil"/>
                  </w:tcBorders>
                  <w:vAlign w:val="center"/>
                </w:tcPr>
                <w:p w14:paraId="376642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单罐最大入料量（kg）</w:t>
                  </w:r>
                </w:p>
              </w:tc>
              <w:tc>
                <w:tcPr>
                  <w:tcW w:w="925" w:type="dxa"/>
                  <w:tcBorders>
                    <w:tl2br w:val="nil"/>
                    <w:tr2bl w:val="nil"/>
                  </w:tcBorders>
                  <w:vAlign w:val="center"/>
                </w:tcPr>
                <w:p w14:paraId="3B2892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单批次入料量（kg）</w:t>
                  </w:r>
                </w:p>
              </w:tc>
              <w:tc>
                <w:tcPr>
                  <w:tcW w:w="925" w:type="dxa"/>
                  <w:tcBorders>
                    <w:tl2br w:val="nil"/>
                    <w:tr2bl w:val="nil"/>
                  </w:tcBorders>
                  <w:vAlign w:val="center"/>
                </w:tcPr>
                <w:p w14:paraId="7DE413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批次生产时间（h）</w:t>
                  </w:r>
                </w:p>
              </w:tc>
              <w:tc>
                <w:tcPr>
                  <w:tcW w:w="925" w:type="dxa"/>
                  <w:tcBorders>
                    <w:tl2br w:val="nil"/>
                    <w:tr2bl w:val="nil"/>
                  </w:tcBorders>
                  <w:vAlign w:val="center"/>
                </w:tcPr>
                <w:p w14:paraId="2C27CE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年生产批次</w:t>
                  </w:r>
                </w:p>
              </w:tc>
              <w:tc>
                <w:tcPr>
                  <w:tcW w:w="925" w:type="dxa"/>
                  <w:tcBorders>
                    <w:tl2br w:val="nil"/>
                    <w:tr2bl w:val="nil"/>
                  </w:tcBorders>
                  <w:vAlign w:val="center"/>
                </w:tcPr>
                <w:p w14:paraId="2D08B3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投料系数</w:t>
                  </w:r>
                </w:p>
              </w:tc>
            </w:tr>
            <w:tr w14:paraId="7A28F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3" w:type="dxa"/>
                  <w:tcBorders>
                    <w:tl2br w:val="nil"/>
                    <w:tr2bl w:val="nil"/>
                  </w:tcBorders>
                  <w:vAlign w:val="center"/>
                </w:tcPr>
                <w:p w14:paraId="4FCBB5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高产菌验证</w:t>
                  </w:r>
                </w:p>
              </w:tc>
              <w:tc>
                <w:tcPr>
                  <w:tcW w:w="924" w:type="dxa"/>
                  <w:tcBorders>
                    <w:tl2br w:val="nil"/>
                    <w:tr2bl w:val="nil"/>
                  </w:tcBorders>
                  <w:vAlign w:val="center"/>
                </w:tcPr>
                <w:p w14:paraId="68E29B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val="0"/>
                      <w:bCs w:val="0"/>
                      <w:color w:val="FF0000"/>
                      <w:kern w:val="0"/>
                      <w:sz w:val="21"/>
                      <w:szCs w:val="21"/>
                      <w:vertAlign w:val="baseline"/>
                    </w:rPr>
                  </w:pPr>
                  <w:r>
                    <w:rPr>
                      <w:rFonts w:hint="default"/>
                      <w:b w:val="0"/>
                      <w:bCs w:val="0"/>
                      <w:color w:val="000000" w:themeColor="text1"/>
                      <w:kern w:val="0"/>
                      <w:sz w:val="21"/>
                      <w:szCs w:val="21"/>
                      <w:vertAlign w:val="baseline"/>
                      <w14:textFill>
                        <w14:solidFill>
                          <w14:schemeClr w14:val="tx1"/>
                        </w14:solidFill>
                      </w14:textFill>
                    </w:rPr>
                    <w:t>生化培养箱</w:t>
                  </w:r>
                </w:p>
              </w:tc>
              <w:tc>
                <w:tcPr>
                  <w:tcW w:w="924" w:type="dxa"/>
                  <w:tcBorders>
                    <w:tl2br w:val="nil"/>
                    <w:tr2bl w:val="nil"/>
                  </w:tcBorders>
                  <w:vAlign w:val="center"/>
                </w:tcPr>
                <w:p w14:paraId="3C94B9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200L</w:t>
                  </w:r>
                </w:p>
              </w:tc>
              <w:tc>
                <w:tcPr>
                  <w:tcW w:w="924" w:type="dxa"/>
                  <w:tcBorders>
                    <w:tl2br w:val="nil"/>
                    <w:tr2bl w:val="nil"/>
                  </w:tcBorders>
                  <w:vAlign w:val="center"/>
                </w:tcPr>
                <w:p w14:paraId="60AC9E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924" w:type="dxa"/>
                  <w:tcBorders>
                    <w:tl2br w:val="nil"/>
                    <w:tr2bl w:val="nil"/>
                  </w:tcBorders>
                  <w:vAlign w:val="center"/>
                </w:tcPr>
                <w:p w14:paraId="36F7E8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925" w:type="dxa"/>
                  <w:tcBorders>
                    <w:tl2br w:val="nil"/>
                    <w:tr2bl w:val="nil"/>
                  </w:tcBorders>
                  <w:vAlign w:val="center"/>
                </w:tcPr>
                <w:p w14:paraId="5D0437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2.496</w:t>
                  </w:r>
                </w:p>
              </w:tc>
              <w:tc>
                <w:tcPr>
                  <w:tcW w:w="925" w:type="dxa"/>
                  <w:tcBorders>
                    <w:tl2br w:val="nil"/>
                    <w:tr2bl w:val="nil"/>
                  </w:tcBorders>
                  <w:vAlign w:val="center"/>
                </w:tcPr>
                <w:p w14:paraId="520CD1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w:t>
                  </w:r>
                </w:p>
              </w:tc>
              <w:tc>
                <w:tcPr>
                  <w:tcW w:w="925" w:type="dxa"/>
                  <w:tcBorders>
                    <w:tl2br w:val="nil"/>
                    <w:tr2bl w:val="nil"/>
                  </w:tcBorders>
                  <w:vAlign w:val="center"/>
                </w:tcPr>
                <w:p w14:paraId="590C78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50</w:t>
                  </w:r>
                </w:p>
              </w:tc>
              <w:tc>
                <w:tcPr>
                  <w:tcW w:w="925" w:type="dxa"/>
                  <w:tcBorders>
                    <w:tl2br w:val="nil"/>
                    <w:tr2bl w:val="nil"/>
                  </w:tcBorders>
                  <w:vAlign w:val="center"/>
                </w:tcPr>
                <w:p w14:paraId="4A0A52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1.25%</w:t>
                  </w:r>
                </w:p>
              </w:tc>
            </w:tr>
            <w:tr w14:paraId="712F8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3" w:type="dxa"/>
                  <w:tcBorders>
                    <w:tl2br w:val="nil"/>
                    <w:tr2bl w:val="nil"/>
                  </w:tcBorders>
                  <w:vAlign w:val="center"/>
                </w:tcPr>
                <w:p w14:paraId="57357C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种子培养</w:t>
                  </w:r>
                </w:p>
              </w:tc>
              <w:tc>
                <w:tcPr>
                  <w:tcW w:w="924" w:type="dxa"/>
                  <w:tcBorders>
                    <w:tl2br w:val="nil"/>
                    <w:tr2bl w:val="nil"/>
                  </w:tcBorders>
                  <w:vAlign w:val="center"/>
                </w:tcPr>
                <w:p w14:paraId="74F284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val="0"/>
                      <w:bCs w:val="0"/>
                      <w:color w:val="FF0000"/>
                      <w:kern w:val="0"/>
                      <w:sz w:val="21"/>
                      <w:szCs w:val="21"/>
                      <w:vertAlign w:val="baseline"/>
                      <w:lang w:val="en-US" w:eastAsia="zh-CN"/>
                    </w:rPr>
                  </w:pPr>
                  <w:r>
                    <w:rPr>
                      <w:rFonts w:hint="default"/>
                      <w:b w:val="0"/>
                      <w:bCs w:val="0"/>
                      <w:color w:val="000000" w:themeColor="text1"/>
                      <w:kern w:val="0"/>
                      <w:sz w:val="21"/>
                      <w:szCs w:val="21"/>
                      <w:vertAlign w:val="baseline"/>
                      <w14:textFill>
                        <w14:solidFill>
                          <w14:schemeClr w14:val="tx1"/>
                        </w14:solidFill>
                      </w14:textFill>
                    </w:rPr>
                    <w:t>生化培养箱</w:t>
                  </w:r>
                </w:p>
              </w:tc>
              <w:tc>
                <w:tcPr>
                  <w:tcW w:w="924" w:type="dxa"/>
                  <w:tcBorders>
                    <w:tl2br w:val="nil"/>
                    <w:tr2bl w:val="nil"/>
                  </w:tcBorders>
                  <w:vAlign w:val="center"/>
                </w:tcPr>
                <w:p w14:paraId="2EA8EE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200L</w:t>
                  </w:r>
                </w:p>
              </w:tc>
              <w:tc>
                <w:tcPr>
                  <w:tcW w:w="924" w:type="dxa"/>
                  <w:tcBorders>
                    <w:tl2br w:val="nil"/>
                    <w:tr2bl w:val="nil"/>
                  </w:tcBorders>
                  <w:vAlign w:val="center"/>
                </w:tcPr>
                <w:p w14:paraId="2CEF17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924" w:type="dxa"/>
                  <w:tcBorders>
                    <w:tl2br w:val="nil"/>
                    <w:tr2bl w:val="nil"/>
                  </w:tcBorders>
                  <w:vAlign w:val="center"/>
                </w:tcPr>
                <w:p w14:paraId="16A1C3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200</w:t>
                  </w:r>
                </w:p>
              </w:tc>
              <w:tc>
                <w:tcPr>
                  <w:tcW w:w="925" w:type="dxa"/>
                  <w:tcBorders>
                    <w:tl2br w:val="nil"/>
                    <w:tr2bl w:val="nil"/>
                  </w:tcBorders>
                  <w:vAlign w:val="center"/>
                </w:tcPr>
                <w:p w14:paraId="25AC5A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0.524kg</w:t>
                  </w:r>
                </w:p>
              </w:tc>
              <w:tc>
                <w:tcPr>
                  <w:tcW w:w="925" w:type="dxa"/>
                  <w:tcBorders>
                    <w:tl2br w:val="nil"/>
                    <w:tr2bl w:val="nil"/>
                  </w:tcBorders>
                  <w:vAlign w:val="center"/>
                </w:tcPr>
                <w:p w14:paraId="175479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12</w:t>
                  </w:r>
                </w:p>
              </w:tc>
              <w:tc>
                <w:tcPr>
                  <w:tcW w:w="925" w:type="dxa"/>
                  <w:tcBorders>
                    <w:tl2br w:val="nil"/>
                    <w:tr2bl w:val="nil"/>
                  </w:tcBorders>
                  <w:vAlign w:val="center"/>
                </w:tcPr>
                <w:p w14:paraId="05B52B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50</w:t>
                  </w:r>
                </w:p>
              </w:tc>
              <w:tc>
                <w:tcPr>
                  <w:tcW w:w="925" w:type="dxa"/>
                  <w:tcBorders>
                    <w:tl2br w:val="nil"/>
                    <w:tr2bl w:val="nil"/>
                  </w:tcBorders>
                  <w:vAlign w:val="center"/>
                </w:tcPr>
                <w:p w14:paraId="4CD972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0.26%</w:t>
                  </w:r>
                </w:p>
              </w:tc>
            </w:tr>
            <w:tr w14:paraId="50F7A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3" w:type="dxa"/>
                  <w:tcBorders>
                    <w:tl2br w:val="nil"/>
                    <w:tr2bl w:val="nil"/>
                  </w:tcBorders>
                  <w:vAlign w:val="center"/>
                </w:tcPr>
                <w:p w14:paraId="0F3A8B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发酵</w:t>
                  </w:r>
                </w:p>
              </w:tc>
              <w:tc>
                <w:tcPr>
                  <w:tcW w:w="924" w:type="dxa"/>
                  <w:tcBorders>
                    <w:tl2br w:val="nil"/>
                    <w:tr2bl w:val="nil"/>
                  </w:tcBorders>
                  <w:vAlign w:val="center"/>
                </w:tcPr>
                <w:p w14:paraId="6B4C02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发酵罐</w:t>
                  </w:r>
                </w:p>
              </w:tc>
              <w:tc>
                <w:tcPr>
                  <w:tcW w:w="924" w:type="dxa"/>
                  <w:tcBorders>
                    <w:tl2br w:val="nil"/>
                    <w:tr2bl w:val="nil"/>
                  </w:tcBorders>
                  <w:vAlign w:val="center"/>
                </w:tcPr>
                <w:p w14:paraId="238CDF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5L</w:t>
                  </w:r>
                </w:p>
              </w:tc>
              <w:tc>
                <w:tcPr>
                  <w:tcW w:w="924" w:type="dxa"/>
                  <w:tcBorders>
                    <w:tl2br w:val="nil"/>
                    <w:tr2bl w:val="nil"/>
                  </w:tcBorders>
                  <w:vAlign w:val="center"/>
                </w:tcPr>
                <w:p w14:paraId="185179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1</w:t>
                  </w:r>
                </w:p>
              </w:tc>
              <w:tc>
                <w:tcPr>
                  <w:tcW w:w="924" w:type="dxa"/>
                  <w:tcBorders>
                    <w:tl2br w:val="nil"/>
                    <w:tr2bl w:val="nil"/>
                  </w:tcBorders>
                  <w:vAlign w:val="center"/>
                </w:tcPr>
                <w:p w14:paraId="75837F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5</w:t>
                  </w:r>
                </w:p>
              </w:tc>
              <w:tc>
                <w:tcPr>
                  <w:tcW w:w="925" w:type="dxa"/>
                  <w:tcBorders>
                    <w:tl2br w:val="nil"/>
                    <w:tr2bl w:val="nil"/>
                  </w:tcBorders>
                  <w:vAlign w:val="center"/>
                </w:tcPr>
                <w:p w14:paraId="4494E0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2.355</w:t>
                  </w:r>
                </w:p>
              </w:tc>
              <w:tc>
                <w:tcPr>
                  <w:tcW w:w="925" w:type="dxa"/>
                  <w:tcBorders>
                    <w:tl2br w:val="nil"/>
                    <w:tr2bl w:val="nil"/>
                  </w:tcBorders>
                  <w:vAlign w:val="center"/>
                </w:tcPr>
                <w:p w14:paraId="701B01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48</w:t>
                  </w:r>
                </w:p>
              </w:tc>
              <w:tc>
                <w:tcPr>
                  <w:tcW w:w="925" w:type="dxa"/>
                  <w:tcBorders>
                    <w:tl2br w:val="nil"/>
                    <w:tr2bl w:val="nil"/>
                  </w:tcBorders>
                  <w:vAlign w:val="center"/>
                </w:tcPr>
                <w:p w14:paraId="7D65A8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50</w:t>
                  </w:r>
                </w:p>
              </w:tc>
              <w:tc>
                <w:tcPr>
                  <w:tcW w:w="925" w:type="dxa"/>
                  <w:tcBorders>
                    <w:tl2br w:val="nil"/>
                    <w:tr2bl w:val="nil"/>
                  </w:tcBorders>
                  <w:vAlign w:val="center"/>
                </w:tcPr>
                <w:p w14:paraId="278454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47.1%</w:t>
                  </w:r>
                </w:p>
              </w:tc>
            </w:tr>
          </w:tbl>
          <w:p w14:paraId="0456693B">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auto"/>
                <w:kern w:val="0"/>
                <w:sz w:val="24"/>
                <w:szCs w:val="24"/>
              </w:rPr>
            </w:pPr>
            <w:r>
              <w:rPr>
                <w:b/>
                <w:bCs/>
                <w:color w:val="auto"/>
                <w:kern w:val="0"/>
                <w:sz w:val="24"/>
                <w:szCs w:val="24"/>
              </w:rPr>
              <w:t>6、主要原辅材料</w:t>
            </w:r>
          </w:p>
          <w:p w14:paraId="5496443F">
            <w:pPr>
              <w:tabs>
                <w:tab w:val="left" w:pos="2127"/>
                <w:tab w:val="center" w:pos="4452"/>
                <w:tab w:val="right" w:pos="8246"/>
              </w:tabs>
              <w:spacing w:line="360" w:lineRule="exact"/>
              <w:jc w:val="center"/>
              <w:rPr>
                <w:b/>
                <w:color w:val="auto"/>
                <w:sz w:val="21"/>
                <w:szCs w:val="21"/>
              </w:rPr>
            </w:pPr>
            <w:r>
              <w:rPr>
                <w:b/>
                <w:color w:val="auto"/>
                <w:sz w:val="21"/>
                <w:szCs w:val="21"/>
              </w:rPr>
              <w:t>表2-</w:t>
            </w:r>
            <w:r>
              <w:rPr>
                <w:rFonts w:hint="eastAsia"/>
                <w:b/>
                <w:color w:val="auto"/>
                <w:sz w:val="21"/>
                <w:szCs w:val="21"/>
                <w:lang w:val="en-US" w:eastAsia="zh-CN"/>
              </w:rPr>
              <w:t>8</w:t>
            </w:r>
            <w:r>
              <w:rPr>
                <w:b/>
                <w:color w:val="auto"/>
                <w:sz w:val="21"/>
                <w:szCs w:val="21"/>
              </w:rPr>
              <w:t>本项目</w:t>
            </w:r>
            <w:r>
              <w:rPr>
                <w:rFonts w:hint="eastAsia"/>
                <w:b/>
                <w:color w:val="auto"/>
                <w:sz w:val="21"/>
                <w:szCs w:val="21"/>
                <w:lang w:val="en-US" w:eastAsia="zh-CN"/>
              </w:rPr>
              <w:t>原辅料</w:t>
            </w:r>
            <w:r>
              <w:rPr>
                <w:b/>
                <w:color w:val="auto"/>
                <w:sz w:val="21"/>
                <w:szCs w:val="21"/>
              </w:rPr>
              <w:t>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90"/>
              <w:gridCol w:w="1268"/>
              <w:gridCol w:w="1113"/>
              <w:gridCol w:w="767"/>
              <w:gridCol w:w="1308"/>
              <w:gridCol w:w="1290"/>
              <w:gridCol w:w="1290"/>
            </w:tblGrid>
            <w:tr w14:paraId="64FF7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6" w:hRule="atLeast"/>
                <w:tblHeader/>
                <w:jc w:val="center"/>
              </w:trPr>
              <w:tc>
                <w:tcPr>
                  <w:tcW w:w="774" w:type="pct"/>
                  <w:tcBorders>
                    <w:tl2br w:val="nil"/>
                    <w:tr2bl w:val="nil"/>
                  </w:tcBorders>
                  <w:vAlign w:val="center"/>
                </w:tcPr>
                <w:p w14:paraId="13D8E3D2">
                  <w:pPr>
                    <w:spacing w:line="3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名称</w:t>
                  </w:r>
                </w:p>
              </w:tc>
              <w:tc>
                <w:tcPr>
                  <w:tcW w:w="761" w:type="pct"/>
                  <w:tcBorders>
                    <w:tl2br w:val="nil"/>
                    <w:tr2bl w:val="nil"/>
                  </w:tcBorders>
                  <w:vAlign w:val="center"/>
                </w:tcPr>
                <w:p w14:paraId="1D6A42AF">
                  <w:pPr>
                    <w:spacing w:line="3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成分、含量</w:t>
                  </w:r>
                </w:p>
              </w:tc>
              <w:tc>
                <w:tcPr>
                  <w:tcW w:w="668" w:type="pct"/>
                  <w:tcBorders>
                    <w:tl2br w:val="nil"/>
                    <w:tr2bl w:val="nil"/>
                  </w:tcBorders>
                  <w:vAlign w:val="center"/>
                </w:tcPr>
                <w:p w14:paraId="4B85E197">
                  <w:pPr>
                    <w:spacing w:line="3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年耗量</w:t>
                  </w:r>
                </w:p>
              </w:tc>
              <w:tc>
                <w:tcPr>
                  <w:tcW w:w="460" w:type="pct"/>
                  <w:tcBorders>
                    <w:tl2br w:val="nil"/>
                    <w:tr2bl w:val="nil"/>
                  </w:tcBorders>
                  <w:vAlign w:val="center"/>
                </w:tcPr>
                <w:p w14:paraId="7A4E7A8B">
                  <w:pPr>
                    <w:spacing w:line="3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kern w:val="0"/>
                      <w:sz w:val="21"/>
                      <w:szCs w:val="21"/>
                    </w:rPr>
                    <w:t>最大储量</w:t>
                  </w:r>
                </w:p>
              </w:tc>
              <w:tc>
                <w:tcPr>
                  <w:tcW w:w="785" w:type="pct"/>
                  <w:tcBorders>
                    <w:tl2br w:val="nil"/>
                    <w:tr2bl w:val="nil"/>
                  </w:tcBorders>
                  <w:vAlign w:val="center"/>
                </w:tcPr>
                <w:p w14:paraId="0E793779">
                  <w:pPr>
                    <w:spacing w:line="3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包装规格</w:t>
                  </w:r>
                </w:p>
              </w:tc>
              <w:tc>
                <w:tcPr>
                  <w:tcW w:w="774" w:type="pct"/>
                  <w:tcBorders>
                    <w:tl2br w:val="nil"/>
                    <w:tr2bl w:val="nil"/>
                  </w:tcBorders>
                  <w:vAlign w:val="center"/>
                </w:tcPr>
                <w:p w14:paraId="426AE4E2">
                  <w:pPr>
                    <w:spacing w:line="3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存储位置</w:t>
                  </w:r>
                </w:p>
              </w:tc>
              <w:tc>
                <w:tcPr>
                  <w:tcW w:w="774" w:type="pct"/>
                  <w:tcBorders>
                    <w:tl2br w:val="nil"/>
                    <w:tr2bl w:val="nil"/>
                  </w:tcBorders>
                  <w:vAlign w:val="center"/>
                </w:tcPr>
                <w:p w14:paraId="6B75C5C8">
                  <w:pPr>
                    <w:spacing w:line="320" w:lineRule="exact"/>
                    <w:jc w:val="center"/>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来源及运输</w:t>
                  </w:r>
                </w:p>
              </w:tc>
            </w:tr>
            <w:tr w14:paraId="6FC99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774" w:type="pct"/>
                  <w:tcBorders>
                    <w:tl2br w:val="nil"/>
                    <w:tr2bl w:val="nil"/>
                  </w:tcBorders>
                  <w:vAlign w:val="center"/>
                </w:tcPr>
                <w:p w14:paraId="50065D3F">
                  <w:pPr>
                    <w:widowControl/>
                    <w:jc w:val="center"/>
                    <w:textAlignment w:val="center"/>
                    <w:rPr>
                      <w:rFonts w:hint="default" w:ascii="Times New Roman" w:hAnsi="Times New Roman" w:cs="Times New Roman" w:eastAsiaTheme="minorEastAsia"/>
                      <w:bCs/>
                      <w:color w:val="auto"/>
                      <w:sz w:val="21"/>
                      <w:szCs w:val="21"/>
                    </w:rPr>
                  </w:pPr>
                  <w:bookmarkStart w:id="33" w:name="OLE_LINK9" w:colFirst="0" w:colLast="2"/>
                  <w:r>
                    <w:rPr>
                      <w:rFonts w:hint="default" w:ascii="Times New Roman" w:hAnsi="Times New Roman" w:cs="Times New Roman" w:eastAsiaTheme="minorEastAsia"/>
                      <w:color w:val="auto"/>
                      <w:kern w:val="0"/>
                      <w:sz w:val="21"/>
                      <w:szCs w:val="21"/>
                      <w:lang w:bidi="ar"/>
                    </w:rPr>
                    <w:t>甘油</w:t>
                  </w:r>
                </w:p>
              </w:tc>
              <w:tc>
                <w:tcPr>
                  <w:tcW w:w="761" w:type="pct"/>
                  <w:tcBorders>
                    <w:tl2br w:val="nil"/>
                    <w:tr2bl w:val="nil"/>
                  </w:tcBorders>
                  <w:vAlign w:val="center"/>
                </w:tcPr>
                <w:p w14:paraId="1AC62D9B">
                  <w:pPr>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66483FC2">
                  <w:pPr>
                    <w:widowControl/>
                    <w:jc w:val="center"/>
                    <w:textAlignment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18.25</w:t>
                  </w:r>
                  <w:r>
                    <w:rPr>
                      <w:rFonts w:hint="default" w:ascii="Times New Roman" w:hAnsi="Times New Roman" w:cs="Times New Roman" w:eastAsiaTheme="minorEastAsia"/>
                      <w:color w:val="auto"/>
                      <w:sz w:val="21"/>
                      <w:szCs w:val="21"/>
                    </w:rPr>
                    <w:t>kg</w:t>
                  </w:r>
                </w:p>
              </w:tc>
              <w:tc>
                <w:tcPr>
                  <w:tcW w:w="460" w:type="pct"/>
                  <w:tcBorders>
                    <w:tl2br w:val="nil"/>
                    <w:tr2bl w:val="nil"/>
                  </w:tcBorders>
                  <w:vAlign w:val="center"/>
                </w:tcPr>
                <w:p w14:paraId="383A0490">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5kg</w:t>
                  </w:r>
                </w:p>
              </w:tc>
              <w:tc>
                <w:tcPr>
                  <w:tcW w:w="785" w:type="pct"/>
                  <w:tcBorders>
                    <w:tl2br w:val="nil"/>
                    <w:tr2bl w:val="nil"/>
                  </w:tcBorders>
                  <w:vAlign w:val="center"/>
                </w:tcPr>
                <w:p w14:paraId="33E7A8AE">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3D960F69">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73F9D1B4">
                  <w:pPr>
                    <w:spacing w:line="3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外购、汽运</w:t>
                  </w:r>
                </w:p>
              </w:tc>
            </w:tr>
            <w:tr w14:paraId="4F262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774" w:type="pct"/>
                  <w:tcBorders>
                    <w:tl2br w:val="nil"/>
                    <w:tr2bl w:val="nil"/>
                  </w:tcBorders>
                  <w:vAlign w:val="center"/>
                </w:tcPr>
                <w:p w14:paraId="1D64041F">
                  <w:pPr>
                    <w:widowControl/>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葡萄糖</w:t>
                  </w:r>
                </w:p>
              </w:tc>
              <w:tc>
                <w:tcPr>
                  <w:tcW w:w="761" w:type="pct"/>
                  <w:tcBorders>
                    <w:tl2br w:val="nil"/>
                    <w:tr2bl w:val="nil"/>
                  </w:tcBorders>
                  <w:vAlign w:val="center"/>
                </w:tcPr>
                <w:p w14:paraId="08AE74AC">
                  <w:pPr>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5AE1721F">
                  <w:pPr>
                    <w:widowControl/>
                    <w:jc w:val="center"/>
                    <w:textAlignment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134</w:t>
                  </w:r>
                  <w:r>
                    <w:rPr>
                      <w:rFonts w:hint="default" w:ascii="Times New Roman" w:hAnsi="Times New Roman" w:cs="Times New Roman" w:eastAsiaTheme="minorEastAsia"/>
                      <w:color w:val="auto"/>
                      <w:sz w:val="21"/>
                      <w:szCs w:val="21"/>
                    </w:rPr>
                    <w:t>kg</w:t>
                  </w:r>
                </w:p>
              </w:tc>
              <w:tc>
                <w:tcPr>
                  <w:tcW w:w="460" w:type="pct"/>
                  <w:tcBorders>
                    <w:tl2br w:val="nil"/>
                    <w:tr2bl w:val="nil"/>
                  </w:tcBorders>
                  <w:vAlign w:val="center"/>
                </w:tcPr>
                <w:p w14:paraId="0B6D6909">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50kg</w:t>
                  </w:r>
                </w:p>
              </w:tc>
              <w:tc>
                <w:tcPr>
                  <w:tcW w:w="785" w:type="pct"/>
                  <w:tcBorders>
                    <w:tl2br w:val="nil"/>
                    <w:tr2bl w:val="nil"/>
                  </w:tcBorders>
                  <w:vAlign w:val="center"/>
                </w:tcPr>
                <w:p w14:paraId="40955A45">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25kg/袋</w:t>
                  </w:r>
                </w:p>
              </w:tc>
              <w:tc>
                <w:tcPr>
                  <w:tcW w:w="774" w:type="pct"/>
                  <w:tcBorders>
                    <w:tl2br w:val="nil"/>
                    <w:tr2bl w:val="nil"/>
                  </w:tcBorders>
                  <w:vAlign w:val="center"/>
                </w:tcPr>
                <w:p w14:paraId="5B81C14E">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4752FB63">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23619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2CF304A4">
                  <w:pPr>
                    <w:widowControl/>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氯化钠</w:t>
                  </w:r>
                </w:p>
              </w:tc>
              <w:tc>
                <w:tcPr>
                  <w:tcW w:w="761" w:type="pct"/>
                  <w:tcBorders>
                    <w:tl2br w:val="nil"/>
                    <w:tr2bl w:val="nil"/>
                  </w:tcBorders>
                  <w:vAlign w:val="center"/>
                </w:tcPr>
                <w:p w14:paraId="0DBC09EA">
                  <w:pPr>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76E8070A">
                  <w:pPr>
                    <w:widowControl/>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1.9kg</w:t>
                  </w:r>
                </w:p>
              </w:tc>
              <w:tc>
                <w:tcPr>
                  <w:tcW w:w="460" w:type="pct"/>
                  <w:tcBorders>
                    <w:tl2br w:val="nil"/>
                    <w:tr2bl w:val="nil"/>
                  </w:tcBorders>
                  <w:vAlign w:val="center"/>
                </w:tcPr>
                <w:p w14:paraId="09F201D6">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r>
                    <w:rPr>
                      <w:rFonts w:hint="eastAsia" w:cs="Times New Roman" w:eastAsiaTheme="minorEastAsia"/>
                      <w:color w:val="auto"/>
                      <w:sz w:val="21"/>
                      <w:szCs w:val="21"/>
                      <w:lang w:val="en-US" w:eastAsia="zh-CN"/>
                    </w:rPr>
                    <w:t>k</w:t>
                  </w:r>
                  <w:r>
                    <w:rPr>
                      <w:rFonts w:hint="default" w:ascii="Times New Roman" w:hAnsi="Times New Roman" w:cs="Times New Roman" w:eastAsiaTheme="minorEastAsia"/>
                      <w:color w:val="auto"/>
                      <w:sz w:val="21"/>
                      <w:szCs w:val="21"/>
                    </w:rPr>
                    <w:t>g</w:t>
                  </w:r>
                </w:p>
              </w:tc>
              <w:tc>
                <w:tcPr>
                  <w:tcW w:w="785" w:type="pct"/>
                  <w:tcBorders>
                    <w:tl2br w:val="nil"/>
                    <w:tr2bl w:val="nil"/>
                  </w:tcBorders>
                  <w:vAlign w:val="center"/>
                </w:tcPr>
                <w:p w14:paraId="322B9B83">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704CCD40">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20BFB512">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20A8D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0FBF250C">
                  <w:pPr>
                    <w:widowControl/>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color w:val="auto"/>
                      <w:kern w:val="0"/>
                      <w:sz w:val="21"/>
                      <w:szCs w:val="21"/>
                      <w:lang w:bidi="ar"/>
                    </w:rPr>
                    <w:t>磷酸氢二钠</w:t>
                  </w:r>
                </w:p>
              </w:tc>
              <w:tc>
                <w:tcPr>
                  <w:tcW w:w="761" w:type="pct"/>
                  <w:tcBorders>
                    <w:tl2br w:val="nil"/>
                    <w:tr2bl w:val="nil"/>
                  </w:tcBorders>
                  <w:vAlign w:val="center"/>
                </w:tcPr>
                <w:p w14:paraId="729819AA">
                  <w:pPr>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601D5781">
                  <w:pPr>
                    <w:widowControl/>
                    <w:jc w:val="center"/>
                    <w:textAlignment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2.6k</w:t>
                  </w:r>
                  <w:r>
                    <w:rPr>
                      <w:rFonts w:hint="default" w:ascii="Times New Roman" w:hAnsi="Times New Roman" w:cs="Times New Roman" w:eastAsiaTheme="minorEastAsia"/>
                      <w:color w:val="auto"/>
                      <w:sz w:val="21"/>
                      <w:szCs w:val="21"/>
                    </w:rPr>
                    <w:t>g</w:t>
                  </w:r>
                </w:p>
              </w:tc>
              <w:tc>
                <w:tcPr>
                  <w:tcW w:w="460" w:type="pct"/>
                  <w:tcBorders>
                    <w:tl2br w:val="nil"/>
                    <w:tr2bl w:val="nil"/>
                  </w:tcBorders>
                  <w:vAlign w:val="center"/>
                </w:tcPr>
                <w:p w14:paraId="5AAAF790">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1k</w:t>
                  </w:r>
                  <w:r>
                    <w:rPr>
                      <w:rFonts w:hint="default" w:ascii="Times New Roman" w:hAnsi="Times New Roman" w:cs="Times New Roman" w:eastAsiaTheme="minorEastAsia"/>
                      <w:color w:val="auto"/>
                      <w:sz w:val="21"/>
                      <w:szCs w:val="21"/>
                    </w:rPr>
                    <w:t>g</w:t>
                  </w:r>
                </w:p>
              </w:tc>
              <w:tc>
                <w:tcPr>
                  <w:tcW w:w="785" w:type="pct"/>
                  <w:tcBorders>
                    <w:tl2br w:val="nil"/>
                    <w:tr2bl w:val="nil"/>
                  </w:tcBorders>
                  <w:vAlign w:val="center"/>
                </w:tcPr>
                <w:p w14:paraId="3F2AF54D">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769C77C0">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160051C2">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60CCD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515CB4A6">
                  <w:pPr>
                    <w:widowControl/>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color w:val="auto"/>
                      <w:kern w:val="0"/>
                      <w:sz w:val="21"/>
                      <w:szCs w:val="21"/>
                      <w:lang w:bidi="ar"/>
                    </w:rPr>
                    <w:t>硫酸镁</w:t>
                  </w:r>
                </w:p>
              </w:tc>
              <w:tc>
                <w:tcPr>
                  <w:tcW w:w="761" w:type="pct"/>
                  <w:tcBorders>
                    <w:tl2br w:val="nil"/>
                    <w:tr2bl w:val="nil"/>
                  </w:tcBorders>
                  <w:vAlign w:val="center"/>
                </w:tcPr>
                <w:p w14:paraId="6A14A425">
                  <w:pPr>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3828DD36">
                  <w:pPr>
                    <w:widowControl/>
                    <w:jc w:val="center"/>
                    <w:textAlignment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0.044k</w:t>
                  </w:r>
                  <w:r>
                    <w:rPr>
                      <w:rFonts w:hint="default" w:ascii="Times New Roman" w:hAnsi="Times New Roman" w:cs="Times New Roman" w:eastAsiaTheme="minorEastAsia"/>
                      <w:color w:val="auto"/>
                      <w:sz w:val="21"/>
                      <w:szCs w:val="21"/>
                    </w:rPr>
                    <w:t>g</w:t>
                  </w:r>
                </w:p>
              </w:tc>
              <w:tc>
                <w:tcPr>
                  <w:tcW w:w="460" w:type="pct"/>
                  <w:tcBorders>
                    <w:tl2br w:val="nil"/>
                    <w:tr2bl w:val="nil"/>
                  </w:tcBorders>
                  <w:vAlign w:val="center"/>
                </w:tcPr>
                <w:p w14:paraId="63BA4B85">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0g</w:t>
                  </w:r>
                </w:p>
              </w:tc>
              <w:tc>
                <w:tcPr>
                  <w:tcW w:w="785" w:type="pct"/>
                  <w:tcBorders>
                    <w:tl2br w:val="nil"/>
                    <w:tr2bl w:val="nil"/>
                  </w:tcBorders>
                  <w:vAlign w:val="center"/>
                </w:tcPr>
                <w:p w14:paraId="47C8A602">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0g/瓶</w:t>
                  </w:r>
                </w:p>
              </w:tc>
              <w:tc>
                <w:tcPr>
                  <w:tcW w:w="774" w:type="pct"/>
                  <w:tcBorders>
                    <w:tl2br w:val="nil"/>
                    <w:tr2bl w:val="nil"/>
                  </w:tcBorders>
                  <w:vAlign w:val="center"/>
                </w:tcPr>
                <w:p w14:paraId="32090385">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1766BE15">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40696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458788F5">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磷酸二氢钾</w:t>
                  </w:r>
                </w:p>
              </w:tc>
              <w:tc>
                <w:tcPr>
                  <w:tcW w:w="761" w:type="pct"/>
                  <w:tcBorders>
                    <w:tl2br w:val="nil"/>
                    <w:tr2bl w:val="nil"/>
                  </w:tcBorders>
                  <w:vAlign w:val="center"/>
                </w:tcPr>
                <w:p w14:paraId="3D416178">
                  <w:pPr>
                    <w:widowControl/>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6E82C490">
                  <w:pPr>
                    <w:widowControl/>
                    <w:jc w:val="center"/>
                    <w:textAlignment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1.3k</w:t>
                  </w:r>
                  <w:r>
                    <w:rPr>
                      <w:rFonts w:hint="default" w:ascii="Times New Roman" w:hAnsi="Times New Roman" w:cs="Times New Roman" w:eastAsiaTheme="minorEastAsia"/>
                      <w:color w:val="auto"/>
                      <w:sz w:val="21"/>
                      <w:szCs w:val="21"/>
                    </w:rPr>
                    <w:t>g</w:t>
                  </w:r>
                </w:p>
              </w:tc>
              <w:tc>
                <w:tcPr>
                  <w:tcW w:w="460" w:type="pct"/>
                  <w:tcBorders>
                    <w:tl2br w:val="nil"/>
                    <w:tr2bl w:val="nil"/>
                  </w:tcBorders>
                  <w:vAlign w:val="center"/>
                </w:tcPr>
                <w:p w14:paraId="295BC4DB">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00g</w:t>
                  </w:r>
                </w:p>
              </w:tc>
              <w:tc>
                <w:tcPr>
                  <w:tcW w:w="785" w:type="pct"/>
                  <w:tcBorders>
                    <w:tl2br w:val="nil"/>
                    <w:tr2bl w:val="nil"/>
                  </w:tcBorders>
                  <w:vAlign w:val="center"/>
                </w:tcPr>
                <w:p w14:paraId="5215C57B">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63AB7FA1">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4086DC33">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38CC8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11935AAD">
                  <w:pPr>
                    <w:pStyle w:val="84"/>
                    <w:spacing w:line="7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氢氧化钠</w:t>
                  </w:r>
                </w:p>
              </w:tc>
              <w:tc>
                <w:tcPr>
                  <w:tcW w:w="761" w:type="pct"/>
                  <w:tcBorders>
                    <w:tl2br w:val="nil"/>
                    <w:tr2bl w:val="nil"/>
                  </w:tcBorders>
                  <w:vAlign w:val="center"/>
                </w:tcPr>
                <w:p w14:paraId="585421CE">
                  <w:pPr>
                    <w:widowControl/>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596CC2CB">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1.9</w:t>
                  </w:r>
                  <w:r>
                    <w:rPr>
                      <w:rFonts w:hint="default" w:ascii="Times New Roman" w:hAnsi="Times New Roman" w:cs="Times New Roman" w:eastAsiaTheme="minorEastAsia"/>
                      <w:color w:val="auto"/>
                      <w:sz w:val="21"/>
                      <w:szCs w:val="21"/>
                    </w:rPr>
                    <w:t>kg</w:t>
                  </w:r>
                </w:p>
              </w:tc>
              <w:tc>
                <w:tcPr>
                  <w:tcW w:w="460" w:type="pct"/>
                  <w:tcBorders>
                    <w:tl2br w:val="nil"/>
                    <w:tr2bl w:val="nil"/>
                  </w:tcBorders>
                  <w:vAlign w:val="center"/>
                </w:tcPr>
                <w:p w14:paraId="7165415F">
                  <w:pPr>
                    <w:spacing w:line="3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500g</w:t>
                  </w:r>
                </w:p>
              </w:tc>
              <w:tc>
                <w:tcPr>
                  <w:tcW w:w="785" w:type="pct"/>
                  <w:tcBorders>
                    <w:tl2br w:val="nil"/>
                    <w:tr2bl w:val="nil"/>
                  </w:tcBorders>
                  <w:vAlign w:val="center"/>
                </w:tcPr>
                <w:p w14:paraId="12F5675C">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72154642">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56657684">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01AFD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689BF50E">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乙醇</w:t>
                  </w:r>
                </w:p>
              </w:tc>
              <w:tc>
                <w:tcPr>
                  <w:tcW w:w="761" w:type="pct"/>
                  <w:tcBorders>
                    <w:tl2br w:val="nil"/>
                    <w:tr2bl w:val="nil"/>
                  </w:tcBorders>
                  <w:vAlign w:val="center"/>
                </w:tcPr>
                <w:p w14:paraId="492FA5C7">
                  <w:pPr>
                    <w:widowControl/>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3454F90E">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L</w:t>
                  </w:r>
                </w:p>
              </w:tc>
              <w:tc>
                <w:tcPr>
                  <w:tcW w:w="460" w:type="pct"/>
                  <w:tcBorders>
                    <w:tl2br w:val="nil"/>
                    <w:tr2bl w:val="nil"/>
                  </w:tcBorders>
                  <w:vAlign w:val="center"/>
                </w:tcPr>
                <w:p w14:paraId="6430DFB5">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5L</w:t>
                  </w:r>
                </w:p>
              </w:tc>
              <w:tc>
                <w:tcPr>
                  <w:tcW w:w="785" w:type="pct"/>
                  <w:tcBorders>
                    <w:tl2br w:val="nil"/>
                    <w:tr2bl w:val="nil"/>
                  </w:tcBorders>
                  <w:vAlign w:val="center"/>
                </w:tcPr>
                <w:p w14:paraId="61AAEE31">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500ml/瓶</w:t>
                  </w:r>
                </w:p>
              </w:tc>
              <w:tc>
                <w:tcPr>
                  <w:tcW w:w="774" w:type="pct"/>
                  <w:tcBorders>
                    <w:tl2br w:val="nil"/>
                    <w:tr2bl w:val="nil"/>
                  </w:tcBorders>
                  <w:vAlign w:val="center"/>
                </w:tcPr>
                <w:p w14:paraId="3908E6DF">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防爆柜</w:t>
                  </w:r>
                </w:p>
              </w:tc>
              <w:tc>
                <w:tcPr>
                  <w:tcW w:w="774" w:type="pct"/>
                  <w:tcBorders>
                    <w:tl2br w:val="nil"/>
                    <w:tr2bl w:val="nil"/>
                  </w:tcBorders>
                  <w:vAlign w:val="center"/>
                </w:tcPr>
                <w:p w14:paraId="71CA4A69">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057DC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4" w:type="pct"/>
                  <w:tcBorders>
                    <w:tl2br w:val="nil"/>
                    <w:tr2bl w:val="nil"/>
                  </w:tcBorders>
                  <w:shd w:val="clear" w:color="auto" w:fill="auto"/>
                  <w:vAlign w:val="center"/>
                </w:tcPr>
                <w:p w14:paraId="22D31228">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酵母粉</w:t>
                  </w:r>
                </w:p>
              </w:tc>
              <w:tc>
                <w:tcPr>
                  <w:tcW w:w="761" w:type="pct"/>
                  <w:tcBorders>
                    <w:tl2br w:val="nil"/>
                    <w:tr2bl w:val="nil"/>
                  </w:tcBorders>
                  <w:vAlign w:val="center"/>
                </w:tcPr>
                <w:p w14:paraId="7EF92573">
                  <w:pPr>
                    <w:widowControl/>
                    <w:spacing w:line="320" w:lineRule="exact"/>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4FDB14D4">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6.75</w:t>
                  </w:r>
                  <w:r>
                    <w:rPr>
                      <w:rFonts w:hint="default" w:ascii="Times New Roman" w:hAnsi="Times New Roman" w:cs="Times New Roman" w:eastAsiaTheme="minorEastAsia"/>
                      <w:color w:val="auto"/>
                      <w:sz w:val="21"/>
                      <w:szCs w:val="21"/>
                    </w:rPr>
                    <w:t>kg</w:t>
                  </w:r>
                </w:p>
              </w:tc>
              <w:tc>
                <w:tcPr>
                  <w:tcW w:w="460" w:type="pct"/>
                  <w:tcBorders>
                    <w:tl2br w:val="nil"/>
                    <w:tr2bl w:val="nil"/>
                  </w:tcBorders>
                  <w:vAlign w:val="center"/>
                </w:tcPr>
                <w:p w14:paraId="7A830570">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kg</w:t>
                  </w:r>
                </w:p>
              </w:tc>
              <w:tc>
                <w:tcPr>
                  <w:tcW w:w="785" w:type="pct"/>
                  <w:tcBorders>
                    <w:tl2br w:val="nil"/>
                    <w:tr2bl w:val="nil"/>
                  </w:tcBorders>
                  <w:vAlign w:val="center"/>
                </w:tcPr>
                <w:p w14:paraId="3315CF45">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56DF7852">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55103D1B">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094EF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shd w:val="clear" w:color="auto" w:fill="auto"/>
                  <w:vAlign w:val="center"/>
                </w:tcPr>
                <w:p w14:paraId="6D017DE0">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蛋白胨</w:t>
                  </w:r>
                </w:p>
              </w:tc>
              <w:tc>
                <w:tcPr>
                  <w:tcW w:w="761" w:type="pct"/>
                  <w:tcBorders>
                    <w:tl2br w:val="nil"/>
                    <w:tr2bl w:val="nil"/>
                  </w:tcBorders>
                  <w:vAlign w:val="center"/>
                </w:tcPr>
                <w:p w14:paraId="648EB605">
                  <w:pPr>
                    <w:widowControl/>
                    <w:spacing w:line="320" w:lineRule="exact"/>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2A5E7904">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9.5</w:t>
                  </w:r>
                  <w:r>
                    <w:rPr>
                      <w:rFonts w:hint="default" w:ascii="Times New Roman" w:hAnsi="Times New Roman" w:cs="Times New Roman" w:eastAsiaTheme="minorEastAsia"/>
                      <w:color w:val="auto"/>
                      <w:sz w:val="21"/>
                      <w:szCs w:val="21"/>
                    </w:rPr>
                    <w:t>kg</w:t>
                  </w:r>
                </w:p>
              </w:tc>
              <w:tc>
                <w:tcPr>
                  <w:tcW w:w="460" w:type="pct"/>
                  <w:tcBorders>
                    <w:tl2br w:val="nil"/>
                    <w:tr2bl w:val="nil"/>
                  </w:tcBorders>
                  <w:vAlign w:val="center"/>
                </w:tcPr>
                <w:p w14:paraId="016023C8">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1kg</w:t>
                  </w:r>
                </w:p>
              </w:tc>
              <w:tc>
                <w:tcPr>
                  <w:tcW w:w="785" w:type="pct"/>
                  <w:tcBorders>
                    <w:tl2br w:val="nil"/>
                    <w:tr2bl w:val="nil"/>
                  </w:tcBorders>
                  <w:vAlign w:val="center"/>
                </w:tcPr>
                <w:p w14:paraId="28B515C1">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1BB29FCC">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725B7F18">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4ACED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23990B24">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氯化钙</w:t>
                  </w:r>
                </w:p>
              </w:tc>
              <w:tc>
                <w:tcPr>
                  <w:tcW w:w="761" w:type="pct"/>
                  <w:tcBorders>
                    <w:tl2br w:val="nil"/>
                    <w:tr2bl w:val="nil"/>
                  </w:tcBorders>
                  <w:vAlign w:val="center"/>
                </w:tcPr>
                <w:p w14:paraId="365FFC81">
                  <w:pPr>
                    <w:widowControl/>
                    <w:spacing w:line="320" w:lineRule="exact"/>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3C009B8F">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0.05</w:t>
                  </w:r>
                  <w:r>
                    <w:rPr>
                      <w:rFonts w:hint="default" w:ascii="Times New Roman" w:hAnsi="Times New Roman" w:cs="Times New Roman" w:eastAsiaTheme="minorEastAsia"/>
                      <w:color w:val="auto"/>
                      <w:sz w:val="21"/>
                      <w:szCs w:val="21"/>
                    </w:rPr>
                    <w:t>kg</w:t>
                  </w:r>
                </w:p>
              </w:tc>
              <w:tc>
                <w:tcPr>
                  <w:tcW w:w="460" w:type="pct"/>
                  <w:tcBorders>
                    <w:tl2br w:val="nil"/>
                    <w:tr2bl w:val="nil"/>
                  </w:tcBorders>
                  <w:vAlign w:val="center"/>
                </w:tcPr>
                <w:p w14:paraId="1EF07BEE">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g</w:t>
                  </w:r>
                </w:p>
              </w:tc>
              <w:tc>
                <w:tcPr>
                  <w:tcW w:w="785" w:type="pct"/>
                  <w:tcBorders>
                    <w:tl2br w:val="nil"/>
                    <w:tr2bl w:val="nil"/>
                  </w:tcBorders>
                  <w:vAlign w:val="center"/>
                </w:tcPr>
                <w:p w14:paraId="6531527C">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0g/瓶</w:t>
                  </w:r>
                </w:p>
              </w:tc>
              <w:tc>
                <w:tcPr>
                  <w:tcW w:w="774" w:type="pct"/>
                  <w:tcBorders>
                    <w:tl2br w:val="nil"/>
                    <w:tr2bl w:val="nil"/>
                  </w:tcBorders>
                  <w:vAlign w:val="center"/>
                </w:tcPr>
                <w:p w14:paraId="0F6E3A70">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25120A1D">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4324D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51D78AFA">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消泡剂</w:t>
                  </w:r>
                </w:p>
              </w:tc>
              <w:tc>
                <w:tcPr>
                  <w:tcW w:w="761" w:type="pct"/>
                  <w:tcBorders>
                    <w:tl2br w:val="nil"/>
                    <w:tr2bl w:val="nil"/>
                  </w:tcBorders>
                  <w:vAlign w:val="center"/>
                </w:tcPr>
                <w:p w14:paraId="7DB630EC">
                  <w:pPr>
                    <w:widowControl/>
                    <w:spacing w:line="320" w:lineRule="exact"/>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37C29112">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1.5k</w:t>
                  </w:r>
                  <w:r>
                    <w:rPr>
                      <w:rFonts w:hint="default" w:ascii="Times New Roman" w:hAnsi="Times New Roman" w:cs="Times New Roman" w:eastAsiaTheme="minorEastAsia"/>
                      <w:color w:val="auto"/>
                      <w:sz w:val="21"/>
                      <w:szCs w:val="21"/>
                    </w:rPr>
                    <w:t>g</w:t>
                  </w:r>
                </w:p>
              </w:tc>
              <w:tc>
                <w:tcPr>
                  <w:tcW w:w="460" w:type="pct"/>
                  <w:tcBorders>
                    <w:tl2br w:val="nil"/>
                    <w:tr2bl w:val="nil"/>
                  </w:tcBorders>
                  <w:vAlign w:val="center"/>
                </w:tcPr>
                <w:p w14:paraId="5BC727E3">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w:t>
                  </w:r>
                </w:p>
              </w:tc>
              <w:tc>
                <w:tcPr>
                  <w:tcW w:w="785" w:type="pct"/>
                  <w:tcBorders>
                    <w:tl2br w:val="nil"/>
                    <w:tr2bl w:val="nil"/>
                  </w:tcBorders>
                  <w:vAlign w:val="center"/>
                </w:tcPr>
                <w:p w14:paraId="566F76A8">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79459FE9">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4E8FAEE0">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17CEC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4A6B921B">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硫酸铵</w:t>
                  </w:r>
                </w:p>
              </w:tc>
              <w:tc>
                <w:tcPr>
                  <w:tcW w:w="761" w:type="pct"/>
                  <w:tcBorders>
                    <w:tl2br w:val="nil"/>
                    <w:tr2bl w:val="nil"/>
                  </w:tcBorders>
                  <w:vAlign w:val="center"/>
                </w:tcPr>
                <w:p w14:paraId="5F51DA3D">
                  <w:pPr>
                    <w:widowControl/>
                    <w:spacing w:line="320" w:lineRule="exact"/>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49F23B61">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2.4</w:t>
                  </w:r>
                  <w:r>
                    <w:rPr>
                      <w:rFonts w:hint="default" w:ascii="Times New Roman" w:hAnsi="Times New Roman" w:cs="Times New Roman" w:eastAsiaTheme="minorEastAsia"/>
                      <w:color w:val="auto"/>
                      <w:sz w:val="21"/>
                      <w:szCs w:val="21"/>
                    </w:rPr>
                    <w:t>kg</w:t>
                  </w:r>
                </w:p>
              </w:tc>
              <w:tc>
                <w:tcPr>
                  <w:tcW w:w="460" w:type="pct"/>
                  <w:tcBorders>
                    <w:tl2br w:val="nil"/>
                    <w:tr2bl w:val="nil"/>
                  </w:tcBorders>
                  <w:vAlign w:val="center"/>
                </w:tcPr>
                <w:p w14:paraId="51928328">
                  <w:pPr>
                    <w:spacing w:line="320" w:lineRule="exact"/>
                    <w:jc w:val="center"/>
                    <w:rPr>
                      <w:rFonts w:hint="default" w:ascii="Times New Roman" w:hAnsi="Times New Roman" w:cs="Times New Roman" w:eastAsiaTheme="minorEastAsia"/>
                      <w:color w:val="FF0000"/>
                      <w:sz w:val="21"/>
                      <w:szCs w:val="21"/>
                    </w:rPr>
                  </w:pPr>
                  <w:r>
                    <w:rPr>
                      <w:rFonts w:hint="eastAsia"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kg</w:t>
                  </w:r>
                </w:p>
              </w:tc>
              <w:tc>
                <w:tcPr>
                  <w:tcW w:w="785" w:type="pct"/>
                  <w:tcBorders>
                    <w:tl2br w:val="nil"/>
                    <w:tr2bl w:val="nil"/>
                  </w:tcBorders>
                  <w:vAlign w:val="center"/>
                </w:tcPr>
                <w:p w14:paraId="53999AA4">
                  <w:pPr>
                    <w:spacing w:line="320" w:lineRule="exact"/>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500g/瓶</w:t>
                  </w:r>
                </w:p>
              </w:tc>
              <w:tc>
                <w:tcPr>
                  <w:tcW w:w="774" w:type="pct"/>
                  <w:tcBorders>
                    <w:tl2br w:val="nil"/>
                    <w:tr2bl w:val="nil"/>
                  </w:tcBorders>
                  <w:vAlign w:val="center"/>
                </w:tcPr>
                <w:p w14:paraId="375A460B">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7C45DD68">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2C82D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1588ECDC">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硫酸卡那霉素</w:t>
                  </w:r>
                </w:p>
              </w:tc>
              <w:tc>
                <w:tcPr>
                  <w:tcW w:w="761" w:type="pct"/>
                  <w:tcBorders>
                    <w:tl2br w:val="nil"/>
                    <w:tr2bl w:val="nil"/>
                  </w:tcBorders>
                  <w:vAlign w:val="center"/>
                </w:tcPr>
                <w:p w14:paraId="191A66A0">
                  <w:pPr>
                    <w:widowControl/>
                    <w:spacing w:line="320" w:lineRule="exact"/>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1CCFCD75">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20g</w:t>
                  </w:r>
                </w:p>
              </w:tc>
              <w:tc>
                <w:tcPr>
                  <w:tcW w:w="460" w:type="pct"/>
                  <w:tcBorders>
                    <w:tl2br w:val="nil"/>
                    <w:tr2bl w:val="nil"/>
                  </w:tcBorders>
                  <w:vAlign w:val="center"/>
                </w:tcPr>
                <w:p w14:paraId="33C9B069">
                  <w:pPr>
                    <w:spacing w:line="320" w:lineRule="exact"/>
                    <w:jc w:val="center"/>
                    <w:rPr>
                      <w:rFonts w:hint="default" w:ascii="Times New Roman" w:hAnsi="Times New Roman" w:cs="Times New Roman" w:eastAsiaTheme="minorEastAsia"/>
                      <w:color w:val="FF0000"/>
                      <w:sz w:val="21"/>
                      <w:szCs w:val="21"/>
                    </w:rPr>
                  </w:pPr>
                  <w:r>
                    <w:rPr>
                      <w:rFonts w:hint="eastAsia"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0g</w:t>
                  </w:r>
                </w:p>
              </w:tc>
              <w:tc>
                <w:tcPr>
                  <w:tcW w:w="785" w:type="pct"/>
                  <w:tcBorders>
                    <w:tl2br w:val="nil"/>
                    <w:tr2bl w:val="nil"/>
                  </w:tcBorders>
                  <w:vAlign w:val="center"/>
                </w:tcPr>
                <w:p w14:paraId="6578BF49">
                  <w:pPr>
                    <w:spacing w:line="320" w:lineRule="exact"/>
                    <w:jc w:val="center"/>
                    <w:rPr>
                      <w:rFonts w:hint="default" w:ascii="Times New Roman" w:hAnsi="Times New Roman" w:cs="Times New Roman" w:eastAsiaTheme="minorEastAsia"/>
                      <w:color w:val="FF0000"/>
                      <w:sz w:val="21"/>
                      <w:szCs w:val="21"/>
                    </w:rPr>
                  </w:pPr>
                  <w:r>
                    <w:rPr>
                      <w:rFonts w:hint="eastAsia"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14:textFill>
                        <w14:solidFill>
                          <w14:schemeClr w14:val="tx1"/>
                        </w14:solidFill>
                      </w14:textFill>
                    </w:rPr>
                    <w:t>g/瓶</w:t>
                  </w:r>
                </w:p>
              </w:tc>
              <w:tc>
                <w:tcPr>
                  <w:tcW w:w="774" w:type="pct"/>
                  <w:tcBorders>
                    <w:tl2br w:val="nil"/>
                    <w:tr2bl w:val="nil"/>
                  </w:tcBorders>
                  <w:vAlign w:val="center"/>
                </w:tcPr>
                <w:p w14:paraId="138D2670">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7753746C">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12E6A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53E0D5BF">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氨苄青霉素</w:t>
                  </w:r>
                </w:p>
              </w:tc>
              <w:tc>
                <w:tcPr>
                  <w:tcW w:w="761" w:type="pct"/>
                  <w:tcBorders>
                    <w:tl2br w:val="nil"/>
                    <w:tr2bl w:val="nil"/>
                  </w:tcBorders>
                  <w:vAlign w:val="center"/>
                </w:tcPr>
                <w:p w14:paraId="51D3051C">
                  <w:pPr>
                    <w:widowControl/>
                    <w:spacing w:line="320" w:lineRule="exact"/>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04C1CA68">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40g</w:t>
                  </w:r>
                </w:p>
              </w:tc>
              <w:tc>
                <w:tcPr>
                  <w:tcW w:w="460" w:type="pct"/>
                  <w:tcBorders>
                    <w:tl2br w:val="nil"/>
                    <w:tr2bl w:val="nil"/>
                  </w:tcBorders>
                  <w:vAlign w:val="center"/>
                </w:tcPr>
                <w:p w14:paraId="4E179BD9">
                  <w:pPr>
                    <w:spacing w:line="320" w:lineRule="exact"/>
                    <w:jc w:val="center"/>
                    <w:rPr>
                      <w:rFonts w:hint="default" w:ascii="Times New Roman" w:hAnsi="Times New Roman" w:cs="Times New Roman" w:eastAsiaTheme="minorEastAsia"/>
                      <w:color w:val="FF0000"/>
                      <w:sz w:val="21"/>
                      <w:szCs w:val="21"/>
                    </w:rPr>
                  </w:pPr>
                  <w:r>
                    <w:rPr>
                      <w:rFonts w:hint="eastAsia"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0g</w:t>
                  </w:r>
                </w:p>
              </w:tc>
              <w:tc>
                <w:tcPr>
                  <w:tcW w:w="785" w:type="pct"/>
                  <w:tcBorders>
                    <w:tl2br w:val="nil"/>
                    <w:tr2bl w:val="nil"/>
                  </w:tcBorders>
                  <w:vAlign w:val="center"/>
                </w:tcPr>
                <w:p w14:paraId="714FCE79">
                  <w:pPr>
                    <w:spacing w:line="320" w:lineRule="exact"/>
                    <w:jc w:val="center"/>
                    <w:rPr>
                      <w:rFonts w:hint="default" w:ascii="Times New Roman" w:hAnsi="Times New Roman" w:cs="Times New Roman" w:eastAsiaTheme="minorEastAsia"/>
                      <w:color w:val="FF0000"/>
                      <w:sz w:val="21"/>
                      <w:szCs w:val="21"/>
                    </w:rPr>
                  </w:pPr>
                  <w:r>
                    <w:rPr>
                      <w:rFonts w:hint="eastAsia"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0g/瓶</w:t>
                  </w:r>
                </w:p>
              </w:tc>
              <w:tc>
                <w:tcPr>
                  <w:tcW w:w="774" w:type="pct"/>
                  <w:tcBorders>
                    <w:tl2br w:val="nil"/>
                    <w:tr2bl w:val="nil"/>
                  </w:tcBorders>
                  <w:vAlign w:val="center"/>
                </w:tcPr>
                <w:p w14:paraId="7163A151">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3C127D1C">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6EA49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52EB4580">
                  <w:pPr>
                    <w:pStyle w:val="84"/>
                    <w:spacing w:line="70" w:lineRule="atLeas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玉米浆粉</w:t>
                  </w:r>
                </w:p>
              </w:tc>
              <w:tc>
                <w:tcPr>
                  <w:tcW w:w="761" w:type="pct"/>
                  <w:tcBorders>
                    <w:tl2br w:val="nil"/>
                    <w:tr2bl w:val="nil"/>
                  </w:tcBorders>
                  <w:vAlign w:val="center"/>
                </w:tcPr>
                <w:p w14:paraId="54845B2D">
                  <w:pPr>
                    <w:widowControl/>
                    <w:spacing w:line="320" w:lineRule="exact"/>
                    <w:jc w:val="center"/>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99.7%</w:t>
                  </w:r>
                </w:p>
              </w:tc>
              <w:tc>
                <w:tcPr>
                  <w:tcW w:w="668" w:type="pct"/>
                  <w:tcBorders>
                    <w:tl2br w:val="nil"/>
                    <w:tr2bl w:val="nil"/>
                  </w:tcBorders>
                  <w:vAlign w:val="center"/>
                </w:tcPr>
                <w:p w14:paraId="05051BBF">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kg</w:t>
                  </w:r>
                </w:p>
              </w:tc>
              <w:tc>
                <w:tcPr>
                  <w:tcW w:w="460" w:type="pct"/>
                  <w:tcBorders>
                    <w:tl2br w:val="nil"/>
                    <w:tr2bl w:val="nil"/>
                  </w:tcBorders>
                  <w:vAlign w:val="center"/>
                </w:tcPr>
                <w:p w14:paraId="4C42CE97">
                  <w:pPr>
                    <w:spacing w:line="3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100g</w:t>
                  </w:r>
                </w:p>
              </w:tc>
              <w:tc>
                <w:tcPr>
                  <w:tcW w:w="785" w:type="pct"/>
                  <w:tcBorders>
                    <w:tl2br w:val="nil"/>
                    <w:tr2bl w:val="nil"/>
                  </w:tcBorders>
                  <w:vAlign w:val="center"/>
                </w:tcPr>
                <w:p w14:paraId="64FE5663">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50g/瓶</w:t>
                  </w:r>
                </w:p>
              </w:tc>
              <w:tc>
                <w:tcPr>
                  <w:tcW w:w="774" w:type="pct"/>
                  <w:tcBorders>
                    <w:tl2br w:val="nil"/>
                    <w:tr2bl w:val="nil"/>
                  </w:tcBorders>
                  <w:vAlign w:val="center"/>
                </w:tcPr>
                <w:p w14:paraId="7697203E">
                  <w:pPr>
                    <w:spacing w:line="320" w:lineRule="exact"/>
                    <w:jc w:val="center"/>
                    <w:rPr>
                      <w:rFonts w:hint="default" w:ascii="Times New Roman" w:hAnsi="Times New Roman" w:cs="Times New Roman" w:eastAsiaTheme="minorEastAsia"/>
                      <w:color w:val="auto"/>
                      <w:sz w:val="21"/>
                      <w:szCs w:val="21"/>
                    </w:rPr>
                  </w:pPr>
                  <w:bookmarkStart w:id="34" w:name="OLE_LINK3"/>
                  <w:r>
                    <w:rPr>
                      <w:rFonts w:hint="default" w:ascii="Times New Roman" w:hAnsi="Times New Roman" w:cs="Times New Roman" w:eastAsiaTheme="minorEastAsia"/>
                      <w:color w:val="auto"/>
                      <w:sz w:val="21"/>
                      <w:szCs w:val="21"/>
                    </w:rPr>
                    <w:t>化学品仓库</w:t>
                  </w:r>
                  <w:bookmarkEnd w:id="34"/>
                </w:p>
              </w:tc>
              <w:tc>
                <w:tcPr>
                  <w:tcW w:w="774" w:type="pct"/>
                  <w:tcBorders>
                    <w:tl2br w:val="nil"/>
                    <w:tr2bl w:val="nil"/>
                  </w:tcBorders>
                  <w:vAlign w:val="center"/>
                </w:tcPr>
                <w:p w14:paraId="01EA9CD9">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1A1CF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3E3A93DD">
                  <w:pPr>
                    <w:pStyle w:val="84"/>
                    <w:spacing w:line="7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纯水</w:t>
                  </w:r>
                </w:p>
              </w:tc>
              <w:tc>
                <w:tcPr>
                  <w:tcW w:w="761" w:type="pct"/>
                  <w:tcBorders>
                    <w:tl2br w:val="nil"/>
                    <w:tr2bl w:val="nil"/>
                  </w:tcBorders>
                  <w:vAlign w:val="center"/>
                </w:tcPr>
                <w:p w14:paraId="045062F7">
                  <w:pPr>
                    <w:widowControl/>
                    <w:spacing w:line="320" w:lineRule="exact"/>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668" w:type="pct"/>
                  <w:tcBorders>
                    <w:tl2br w:val="nil"/>
                    <w:tr2bl w:val="nil"/>
                  </w:tcBorders>
                  <w:vAlign w:val="center"/>
                </w:tcPr>
                <w:p w14:paraId="273793C1">
                  <w:pPr>
                    <w:spacing w:line="3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1t</w:t>
                  </w:r>
                </w:p>
              </w:tc>
              <w:tc>
                <w:tcPr>
                  <w:tcW w:w="460" w:type="pct"/>
                  <w:tcBorders>
                    <w:tl2br w:val="nil"/>
                    <w:tr2bl w:val="nil"/>
                  </w:tcBorders>
                  <w:vAlign w:val="center"/>
                </w:tcPr>
                <w:p w14:paraId="4553C3B6">
                  <w:pPr>
                    <w:spacing w:line="3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5.5kg</w:t>
                  </w:r>
                </w:p>
              </w:tc>
              <w:tc>
                <w:tcPr>
                  <w:tcW w:w="785" w:type="pct"/>
                  <w:tcBorders>
                    <w:tl2br w:val="nil"/>
                    <w:tr2bl w:val="nil"/>
                  </w:tcBorders>
                  <w:vAlign w:val="center"/>
                </w:tcPr>
                <w:p w14:paraId="3683A5AE">
                  <w:pPr>
                    <w:spacing w:line="3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5.5kg/瓶</w:t>
                  </w:r>
                </w:p>
              </w:tc>
              <w:tc>
                <w:tcPr>
                  <w:tcW w:w="774" w:type="pct"/>
                  <w:tcBorders>
                    <w:tl2br w:val="nil"/>
                    <w:tr2bl w:val="nil"/>
                  </w:tcBorders>
                  <w:vAlign w:val="center"/>
                </w:tcPr>
                <w:p w14:paraId="1DEF015B">
                  <w:pPr>
                    <w:spacing w:line="320" w:lineRule="exact"/>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1D55A14C">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47A84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42B72C48">
                  <w:pPr>
                    <w:pStyle w:val="84"/>
                    <w:spacing w:line="7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琼脂粉</w:t>
                  </w:r>
                </w:p>
              </w:tc>
              <w:tc>
                <w:tcPr>
                  <w:tcW w:w="761" w:type="pct"/>
                  <w:tcBorders>
                    <w:tl2br w:val="nil"/>
                    <w:tr2bl w:val="nil"/>
                  </w:tcBorders>
                  <w:vAlign w:val="center"/>
                </w:tcPr>
                <w:p w14:paraId="75575215">
                  <w:pPr>
                    <w:widowControl/>
                    <w:spacing w:line="320" w:lineRule="exact"/>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668" w:type="pct"/>
                  <w:tcBorders>
                    <w:tl2br w:val="nil"/>
                    <w:tr2bl w:val="nil"/>
                  </w:tcBorders>
                  <w:vAlign w:val="center"/>
                </w:tcPr>
                <w:p w14:paraId="7AE4162D">
                  <w:pPr>
                    <w:spacing w:line="320" w:lineRule="exact"/>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5kg</w:t>
                  </w:r>
                </w:p>
              </w:tc>
              <w:tc>
                <w:tcPr>
                  <w:tcW w:w="460" w:type="pct"/>
                  <w:tcBorders>
                    <w:tl2br w:val="nil"/>
                    <w:tr2bl w:val="nil"/>
                  </w:tcBorders>
                  <w:vAlign w:val="center"/>
                </w:tcPr>
                <w:p w14:paraId="58F21CAE">
                  <w:pPr>
                    <w:spacing w:line="320" w:lineRule="exact"/>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1kg</w:t>
                  </w:r>
                </w:p>
              </w:tc>
              <w:tc>
                <w:tcPr>
                  <w:tcW w:w="785" w:type="pct"/>
                  <w:tcBorders>
                    <w:tl2br w:val="nil"/>
                    <w:tr2bl w:val="nil"/>
                  </w:tcBorders>
                  <w:vAlign w:val="center"/>
                </w:tcPr>
                <w:p w14:paraId="7F56308A">
                  <w:pPr>
                    <w:spacing w:line="320" w:lineRule="exact"/>
                    <w:jc w:val="center"/>
                    <w:rPr>
                      <w:rFonts w:hint="eastAsia"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500g/瓶</w:t>
                  </w:r>
                </w:p>
              </w:tc>
              <w:tc>
                <w:tcPr>
                  <w:tcW w:w="774" w:type="pct"/>
                  <w:tcBorders>
                    <w:tl2br w:val="nil"/>
                    <w:tr2bl w:val="nil"/>
                  </w:tcBorders>
                  <w:vAlign w:val="center"/>
                </w:tcPr>
                <w:p w14:paraId="55AA5759">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2820AC23">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48EC4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237DED2C">
                  <w:pPr>
                    <w:pStyle w:val="84"/>
                    <w:spacing w:line="70" w:lineRule="atLeas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大肠杆菌</w:t>
                  </w:r>
                </w:p>
              </w:tc>
              <w:tc>
                <w:tcPr>
                  <w:tcW w:w="761" w:type="pct"/>
                  <w:tcBorders>
                    <w:tl2br w:val="nil"/>
                    <w:tr2bl w:val="nil"/>
                  </w:tcBorders>
                  <w:vAlign w:val="center"/>
                </w:tcPr>
                <w:p w14:paraId="27B84784">
                  <w:pPr>
                    <w:widowControl/>
                    <w:spacing w:line="320" w:lineRule="exact"/>
                    <w:jc w:val="center"/>
                    <w:rPr>
                      <w:rFonts w:hint="eastAsia" w:cs="Times New Roman" w:eastAsiaTheme="minorEastAsia"/>
                      <w:bCs/>
                      <w:color w:val="000000" w:themeColor="text1"/>
                      <w:sz w:val="21"/>
                      <w:szCs w:val="21"/>
                      <w:lang w:val="en-US" w:eastAsia="zh-CN"/>
                      <w14:textFill>
                        <w14:solidFill>
                          <w14:schemeClr w14:val="tx1"/>
                        </w14:solidFill>
                      </w14:textFill>
                    </w:rPr>
                  </w:pPr>
                  <w:r>
                    <w:rPr>
                      <w:rFonts w:hint="eastAsia" w:cs="Times New Roman" w:eastAsiaTheme="minorEastAsia"/>
                      <w:bCs/>
                      <w:color w:val="000000" w:themeColor="text1"/>
                      <w:sz w:val="21"/>
                      <w:szCs w:val="21"/>
                      <w:lang w:val="en-US" w:eastAsia="zh-CN"/>
                      <w14:textFill>
                        <w14:solidFill>
                          <w14:schemeClr w14:val="tx1"/>
                        </w14:solidFill>
                      </w14:textFill>
                    </w:rPr>
                    <w:t>BW25113</w:t>
                  </w:r>
                </w:p>
              </w:tc>
              <w:tc>
                <w:tcPr>
                  <w:tcW w:w="668" w:type="pct"/>
                  <w:tcBorders>
                    <w:tl2br w:val="nil"/>
                    <w:tr2bl w:val="nil"/>
                  </w:tcBorders>
                  <w:vAlign w:val="center"/>
                </w:tcPr>
                <w:p w14:paraId="00F95B79">
                  <w:pPr>
                    <w:spacing w:line="320" w:lineRule="exact"/>
                    <w:jc w:val="center"/>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1.1kg</w:t>
                  </w:r>
                </w:p>
              </w:tc>
              <w:tc>
                <w:tcPr>
                  <w:tcW w:w="460" w:type="pct"/>
                  <w:tcBorders>
                    <w:tl2br w:val="nil"/>
                    <w:tr2bl w:val="nil"/>
                  </w:tcBorders>
                  <w:vAlign w:val="center"/>
                </w:tcPr>
                <w:p w14:paraId="7F90F605">
                  <w:pPr>
                    <w:spacing w:line="320" w:lineRule="exact"/>
                    <w:jc w:val="center"/>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0.5kg</w:t>
                  </w:r>
                </w:p>
              </w:tc>
              <w:tc>
                <w:tcPr>
                  <w:tcW w:w="785" w:type="pct"/>
                  <w:tcBorders>
                    <w:tl2br w:val="nil"/>
                    <w:tr2bl w:val="nil"/>
                  </w:tcBorders>
                  <w:vAlign w:val="center"/>
                </w:tcPr>
                <w:p w14:paraId="00E6FB25">
                  <w:pPr>
                    <w:spacing w:line="32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100g/盒</w:t>
                  </w:r>
                </w:p>
              </w:tc>
              <w:tc>
                <w:tcPr>
                  <w:tcW w:w="774" w:type="pct"/>
                  <w:tcBorders>
                    <w:tl2br w:val="nil"/>
                    <w:tr2bl w:val="nil"/>
                  </w:tcBorders>
                  <w:vAlign w:val="center"/>
                </w:tcPr>
                <w:p w14:paraId="03F0EE8E">
                  <w:pPr>
                    <w:spacing w:line="32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化学品仓库</w:t>
                  </w:r>
                </w:p>
              </w:tc>
              <w:tc>
                <w:tcPr>
                  <w:tcW w:w="774" w:type="pct"/>
                  <w:tcBorders>
                    <w:tl2br w:val="nil"/>
                    <w:tr2bl w:val="nil"/>
                  </w:tcBorders>
                  <w:vAlign w:val="center"/>
                </w:tcPr>
                <w:p w14:paraId="7FC0BD9F">
                  <w:pPr>
                    <w:spacing w:line="32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外购、汽运</w:t>
                  </w:r>
                </w:p>
              </w:tc>
            </w:tr>
            <w:tr w14:paraId="318D7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4" w:type="pct"/>
                  <w:tcBorders>
                    <w:tl2br w:val="nil"/>
                    <w:tr2bl w:val="nil"/>
                  </w:tcBorders>
                  <w:vAlign w:val="center"/>
                </w:tcPr>
                <w:p w14:paraId="65E46502">
                  <w:pPr>
                    <w:pStyle w:val="84"/>
                    <w:spacing w:line="7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聚合酶</w:t>
                  </w:r>
                </w:p>
              </w:tc>
              <w:tc>
                <w:tcPr>
                  <w:tcW w:w="761" w:type="pct"/>
                  <w:tcBorders>
                    <w:tl2br w:val="nil"/>
                    <w:tr2bl w:val="nil"/>
                  </w:tcBorders>
                  <w:vAlign w:val="center"/>
                </w:tcPr>
                <w:p w14:paraId="621DE3FB">
                  <w:pPr>
                    <w:pStyle w:val="84"/>
                    <w:spacing w:line="70" w:lineRule="atLeast"/>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668" w:type="pct"/>
                  <w:tcBorders>
                    <w:tl2br w:val="nil"/>
                    <w:tr2bl w:val="nil"/>
                  </w:tcBorders>
                  <w:vAlign w:val="center"/>
                </w:tcPr>
                <w:p w14:paraId="678D4D08">
                  <w:pPr>
                    <w:spacing w:line="320" w:lineRule="exact"/>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0.1kg</w:t>
                  </w:r>
                </w:p>
              </w:tc>
              <w:tc>
                <w:tcPr>
                  <w:tcW w:w="460" w:type="pct"/>
                  <w:tcBorders>
                    <w:tl2br w:val="nil"/>
                    <w:tr2bl w:val="nil"/>
                  </w:tcBorders>
                  <w:vAlign w:val="center"/>
                </w:tcPr>
                <w:p w14:paraId="3406EE20">
                  <w:pPr>
                    <w:spacing w:line="320" w:lineRule="exact"/>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0.1kg</w:t>
                  </w:r>
                </w:p>
              </w:tc>
              <w:tc>
                <w:tcPr>
                  <w:tcW w:w="785" w:type="pct"/>
                  <w:tcBorders>
                    <w:tl2br w:val="nil"/>
                    <w:tr2bl w:val="nil"/>
                  </w:tcBorders>
                  <w:vAlign w:val="center"/>
                </w:tcPr>
                <w:p w14:paraId="3ABBBC98">
                  <w:pPr>
                    <w:spacing w:line="3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10g/盒</w:t>
                  </w:r>
                </w:p>
              </w:tc>
              <w:tc>
                <w:tcPr>
                  <w:tcW w:w="774" w:type="pct"/>
                  <w:tcBorders>
                    <w:tl2br w:val="nil"/>
                    <w:tr2bl w:val="nil"/>
                  </w:tcBorders>
                  <w:vAlign w:val="center"/>
                </w:tcPr>
                <w:p w14:paraId="1E41B86D">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206CC150">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tr w14:paraId="57924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4" w:type="pct"/>
                  <w:tcBorders>
                    <w:tl2br w:val="nil"/>
                    <w:tr2bl w:val="nil"/>
                  </w:tcBorders>
                  <w:vAlign w:val="center"/>
                </w:tcPr>
                <w:p w14:paraId="41C3F7B2">
                  <w:pPr>
                    <w:pStyle w:val="84"/>
                    <w:spacing w:line="7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脱氧核苷酸</w:t>
                  </w:r>
                </w:p>
              </w:tc>
              <w:tc>
                <w:tcPr>
                  <w:tcW w:w="761" w:type="pct"/>
                  <w:tcBorders>
                    <w:tl2br w:val="nil"/>
                    <w:tr2bl w:val="nil"/>
                  </w:tcBorders>
                  <w:vAlign w:val="center"/>
                </w:tcPr>
                <w:p w14:paraId="5F7A21AE">
                  <w:pPr>
                    <w:pStyle w:val="84"/>
                    <w:spacing w:line="70" w:lineRule="atLeast"/>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668" w:type="pct"/>
                  <w:tcBorders>
                    <w:tl2br w:val="nil"/>
                    <w:tr2bl w:val="nil"/>
                  </w:tcBorders>
                  <w:vAlign w:val="center"/>
                </w:tcPr>
                <w:p w14:paraId="25194B21">
                  <w:pPr>
                    <w:spacing w:line="320" w:lineRule="exact"/>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0.1kg</w:t>
                  </w:r>
                </w:p>
              </w:tc>
              <w:tc>
                <w:tcPr>
                  <w:tcW w:w="460" w:type="pct"/>
                  <w:tcBorders>
                    <w:tl2br w:val="nil"/>
                    <w:tr2bl w:val="nil"/>
                  </w:tcBorders>
                  <w:vAlign w:val="center"/>
                </w:tcPr>
                <w:p w14:paraId="0EDA1F02">
                  <w:pPr>
                    <w:spacing w:line="320" w:lineRule="exact"/>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0.1kg</w:t>
                  </w:r>
                </w:p>
              </w:tc>
              <w:tc>
                <w:tcPr>
                  <w:tcW w:w="785" w:type="pct"/>
                  <w:tcBorders>
                    <w:tl2br w:val="nil"/>
                    <w:tr2bl w:val="nil"/>
                  </w:tcBorders>
                  <w:vAlign w:val="center"/>
                </w:tcPr>
                <w:p w14:paraId="4F0543C1">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10g/盒</w:t>
                  </w:r>
                </w:p>
              </w:tc>
              <w:tc>
                <w:tcPr>
                  <w:tcW w:w="774" w:type="pct"/>
                  <w:tcBorders>
                    <w:tl2br w:val="nil"/>
                    <w:tr2bl w:val="nil"/>
                  </w:tcBorders>
                  <w:vAlign w:val="center"/>
                </w:tcPr>
                <w:p w14:paraId="5EF158FB">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化学品仓库</w:t>
                  </w:r>
                </w:p>
              </w:tc>
              <w:tc>
                <w:tcPr>
                  <w:tcW w:w="774" w:type="pct"/>
                  <w:tcBorders>
                    <w:tl2br w:val="nil"/>
                    <w:tr2bl w:val="nil"/>
                  </w:tcBorders>
                  <w:vAlign w:val="center"/>
                </w:tcPr>
                <w:p w14:paraId="07D64F5B">
                  <w:pPr>
                    <w:spacing w:line="320" w:lineRule="exact"/>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外购、汽运</w:t>
                  </w:r>
                </w:p>
              </w:tc>
            </w:tr>
            <w:bookmarkEnd w:id="33"/>
          </w:tbl>
          <w:p w14:paraId="1A674D7A">
            <w:pPr>
              <w:tabs>
                <w:tab w:val="left" w:pos="2127"/>
                <w:tab w:val="center" w:pos="4452"/>
                <w:tab w:val="right" w:pos="8246"/>
              </w:tabs>
              <w:spacing w:line="360" w:lineRule="exact"/>
              <w:jc w:val="center"/>
              <w:rPr>
                <w:b/>
                <w:color w:val="auto"/>
                <w:sz w:val="21"/>
                <w:szCs w:val="21"/>
              </w:rPr>
            </w:pPr>
            <w:r>
              <w:rPr>
                <w:b/>
                <w:color w:val="auto"/>
                <w:sz w:val="21"/>
                <w:szCs w:val="21"/>
              </w:rPr>
              <w:t>表2-</w:t>
            </w:r>
            <w:r>
              <w:rPr>
                <w:rFonts w:hint="eastAsia"/>
                <w:b/>
                <w:color w:val="auto"/>
                <w:sz w:val="21"/>
                <w:szCs w:val="21"/>
                <w:lang w:val="en-US" w:eastAsia="zh-CN"/>
              </w:rPr>
              <w:t>9</w:t>
            </w:r>
            <w:r>
              <w:rPr>
                <w:b/>
                <w:color w:val="auto"/>
                <w:sz w:val="21"/>
                <w:szCs w:val="21"/>
              </w:rPr>
              <w:t>本项目</w:t>
            </w:r>
            <w:r>
              <w:rPr>
                <w:rFonts w:hint="eastAsia"/>
                <w:b/>
                <w:color w:val="auto"/>
                <w:sz w:val="21"/>
                <w:szCs w:val="21"/>
                <w:lang w:val="en-US" w:eastAsia="zh-CN"/>
              </w:rPr>
              <w:t>原辅料理化性质</w:t>
            </w:r>
            <w:r>
              <w:rPr>
                <w:b/>
                <w:color w:val="auto"/>
                <w:sz w:val="21"/>
                <w:szCs w:val="21"/>
              </w:rPr>
              <w:t>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196"/>
              <w:gridCol w:w="3573"/>
              <w:gridCol w:w="1904"/>
              <w:gridCol w:w="779"/>
            </w:tblGrid>
            <w:tr w14:paraId="6D8B6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38F3A3E3">
                  <w:pPr>
                    <w:pStyle w:val="95"/>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名称</w:t>
                  </w:r>
                </w:p>
              </w:tc>
              <w:tc>
                <w:tcPr>
                  <w:tcW w:w="618" w:type="pct"/>
                  <w:noWrap w:val="0"/>
                  <w:vAlign w:val="center"/>
                </w:tcPr>
                <w:p w14:paraId="6AF937F9">
                  <w:pPr>
                    <w:pStyle w:val="95"/>
                    <w:spacing w:line="240" w:lineRule="auto"/>
                    <w:jc w:val="center"/>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CAS号</w:t>
                  </w:r>
                </w:p>
              </w:tc>
              <w:tc>
                <w:tcPr>
                  <w:tcW w:w="2170" w:type="pct"/>
                  <w:noWrap w:val="0"/>
                  <w:vAlign w:val="center"/>
                </w:tcPr>
                <w:p w14:paraId="5133707B">
                  <w:pPr>
                    <w:pStyle w:val="95"/>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理化特性</w:t>
                  </w:r>
                </w:p>
              </w:tc>
              <w:tc>
                <w:tcPr>
                  <w:tcW w:w="1144" w:type="pct"/>
                  <w:noWrap w:val="0"/>
                  <w:vAlign w:val="center"/>
                </w:tcPr>
                <w:p w14:paraId="6DFF7254">
                  <w:pPr>
                    <w:pStyle w:val="95"/>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毒理性</w:t>
                  </w:r>
                </w:p>
              </w:tc>
              <w:tc>
                <w:tcPr>
                  <w:tcW w:w="516" w:type="pct"/>
                  <w:noWrap w:val="0"/>
                  <w:vAlign w:val="center"/>
                </w:tcPr>
                <w:p w14:paraId="135C4694">
                  <w:pPr>
                    <w:pStyle w:val="95"/>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燃爆性</w:t>
                  </w:r>
                </w:p>
              </w:tc>
            </w:tr>
            <w:tr w14:paraId="041FB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33C4A899">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甘油</w:t>
                  </w:r>
                </w:p>
              </w:tc>
              <w:tc>
                <w:tcPr>
                  <w:tcW w:w="618" w:type="pct"/>
                  <w:noWrap w:val="0"/>
                  <w:vAlign w:val="center"/>
                </w:tcPr>
                <w:p w14:paraId="79ACA560">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56-81-5</w:t>
                  </w:r>
                </w:p>
              </w:tc>
              <w:tc>
                <w:tcPr>
                  <w:tcW w:w="2170" w:type="pct"/>
                  <w:noWrap w:val="0"/>
                  <w:vAlign w:val="center"/>
                </w:tcPr>
                <w:p w14:paraId="6B217D59">
                  <w:pPr>
                    <w:pStyle w:val="95"/>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无色、无臭、有甜味的黏性液体。</w:t>
                  </w:r>
                  <w:r>
                    <w:rPr>
                      <w:rFonts w:hint="default" w:ascii="Times New Roman" w:hAnsi="Times New Roman" w:cs="Times New Roman" w:eastAsiaTheme="minorEastAsia"/>
                      <w:color w:val="auto"/>
                      <w:sz w:val="21"/>
                      <w:szCs w:val="21"/>
                      <w:lang w:val="en-US" w:eastAsia="zh-CN"/>
                    </w:rPr>
                    <w:t>化学式：C</w:t>
                  </w:r>
                  <w:r>
                    <w:rPr>
                      <w:rFonts w:hint="default" w:ascii="Times New Roman" w:hAnsi="Times New Roman" w:cs="Times New Roman" w:eastAsiaTheme="minorEastAsia"/>
                      <w:color w:val="auto"/>
                      <w:sz w:val="21"/>
                      <w:szCs w:val="21"/>
                      <w:vertAlign w:val="subscript"/>
                      <w:lang w:val="en-US" w:eastAsia="zh-CN"/>
                    </w:rPr>
                    <w:t>3</w:t>
                  </w:r>
                  <w:r>
                    <w:rPr>
                      <w:rFonts w:hint="default" w:ascii="Times New Roman" w:hAnsi="Times New Roman" w:cs="Times New Roman" w:eastAsiaTheme="minorEastAsia"/>
                      <w:color w:val="auto"/>
                      <w:sz w:val="21"/>
                      <w:szCs w:val="21"/>
                      <w:lang w:val="en-US" w:eastAsia="zh-CN"/>
                    </w:rPr>
                    <w:t>H</w:t>
                  </w:r>
                  <w:r>
                    <w:rPr>
                      <w:rFonts w:hint="default" w:ascii="Times New Roman" w:hAnsi="Times New Roman" w:cs="Times New Roman" w:eastAsiaTheme="minorEastAsia"/>
                      <w:color w:val="auto"/>
                      <w:sz w:val="21"/>
                      <w:szCs w:val="21"/>
                      <w:vertAlign w:val="subscript"/>
                      <w:lang w:val="en-US" w:eastAsia="zh-CN"/>
                    </w:rPr>
                    <w:t>8</w:t>
                  </w:r>
                  <w:r>
                    <w:rPr>
                      <w:rFonts w:hint="default" w:ascii="Times New Roman" w:hAnsi="Times New Roman" w:cs="Times New Roman" w:eastAsiaTheme="minorEastAsia"/>
                      <w:color w:val="auto"/>
                      <w:sz w:val="21"/>
                      <w:szCs w:val="21"/>
                      <w:lang w:val="en-US" w:eastAsia="zh-CN"/>
                    </w:rPr>
                    <w:t>O</w:t>
                  </w:r>
                  <w:r>
                    <w:rPr>
                      <w:rFonts w:hint="default" w:ascii="Times New Roman" w:hAnsi="Times New Roman" w:cs="Times New Roman" w:eastAsiaTheme="minorEastAsia"/>
                      <w:color w:val="auto"/>
                      <w:sz w:val="21"/>
                      <w:szCs w:val="21"/>
                      <w:vertAlign w:val="subscript"/>
                      <w:lang w:val="en-US" w:eastAsia="zh-CN"/>
                    </w:rPr>
                    <w:t>3</w:t>
                  </w:r>
                  <w:r>
                    <w:rPr>
                      <w:rFonts w:hint="default" w:ascii="Times New Roman" w:hAnsi="Times New Roman" w:cs="Times New Roman" w:eastAsiaTheme="minorEastAsia"/>
                      <w:color w:val="auto"/>
                      <w:sz w:val="21"/>
                      <w:szCs w:val="21"/>
                      <w:vertAlign w:val="baseline"/>
                      <w:lang w:val="en-US" w:eastAsia="zh-CN"/>
                    </w:rPr>
                    <w:t>；密度：1.26331g/cm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；熔点：17.4</w:t>
                  </w:r>
                  <w:r>
                    <w:rPr>
                      <w:rFonts w:hint="default" w:ascii="Times New Roman" w:hAnsi="Times New Roman" w:eastAsia="宋体" w:cs="Times New Roman"/>
                      <w:color w:val="auto"/>
                      <w:sz w:val="21"/>
                      <w:szCs w:val="21"/>
                      <w:vertAlign w:val="baseline"/>
                      <w:lang w:val="en-US" w:eastAsia="zh-CN"/>
                    </w:rPr>
                    <w:t>℃；沸点：290℃；闪点：177℃；易溶于水、乙醇。</w:t>
                  </w:r>
                </w:p>
              </w:tc>
              <w:tc>
                <w:tcPr>
                  <w:tcW w:w="1144" w:type="pct"/>
                  <w:noWrap w:val="0"/>
                  <w:vAlign w:val="center"/>
                </w:tcPr>
                <w:p w14:paraId="1951E509">
                  <w:pPr>
                    <w:pStyle w:val="95"/>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大鼠口径：LD</w:t>
                  </w:r>
                  <w:r>
                    <w:rPr>
                      <w:rFonts w:hint="eastAsia" w:cs="Times New Roman" w:eastAsiaTheme="minorEastAsia"/>
                      <w:color w:val="auto"/>
                      <w:sz w:val="21"/>
                      <w:szCs w:val="21"/>
                      <w:vertAlign w:val="subscript"/>
                      <w:lang w:val="en-US" w:eastAsia="zh-CN"/>
                    </w:rPr>
                    <w:t>50</w:t>
                  </w:r>
                  <w:r>
                    <w:rPr>
                      <w:rFonts w:hint="eastAsia" w:cs="Times New Roman" w:eastAsiaTheme="minorEastAsia"/>
                      <w:color w:val="auto"/>
                      <w:sz w:val="21"/>
                      <w:szCs w:val="21"/>
                      <w:lang w:val="en-US" w:eastAsia="zh-CN"/>
                    </w:rPr>
                    <w:t>26000mg/kg；</w:t>
                  </w:r>
                </w:p>
                <w:p w14:paraId="739606B9">
                  <w:pPr>
                    <w:pStyle w:val="95"/>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小鼠口径：LD</w:t>
                  </w:r>
                  <w:r>
                    <w:rPr>
                      <w:rFonts w:hint="eastAsia" w:cs="Times New Roman" w:eastAsiaTheme="minorEastAsia"/>
                      <w:color w:val="auto"/>
                      <w:sz w:val="21"/>
                      <w:szCs w:val="21"/>
                      <w:vertAlign w:val="subscript"/>
                      <w:lang w:val="en-US" w:eastAsia="zh-CN"/>
                    </w:rPr>
                    <w:t>50</w:t>
                  </w:r>
                  <w:r>
                    <w:rPr>
                      <w:rFonts w:hint="eastAsia" w:cs="Times New Roman" w:eastAsiaTheme="minorEastAsia"/>
                      <w:color w:val="auto"/>
                      <w:sz w:val="21"/>
                      <w:szCs w:val="21"/>
                      <w:lang w:val="en-US" w:eastAsia="zh-CN"/>
                    </w:rPr>
                    <w:t>4090mg/kg；</w:t>
                  </w:r>
                </w:p>
              </w:tc>
              <w:tc>
                <w:tcPr>
                  <w:tcW w:w="516" w:type="pct"/>
                  <w:noWrap w:val="0"/>
                  <w:vAlign w:val="center"/>
                </w:tcPr>
                <w:p w14:paraId="6026E247">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难燃</w:t>
                  </w:r>
                </w:p>
              </w:tc>
            </w:tr>
            <w:tr w14:paraId="640E6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642CA751">
                  <w:pPr>
                    <w:pStyle w:val="95"/>
                    <w:spacing w:line="240" w:lineRule="auto"/>
                    <w:jc w:val="center"/>
                    <w:rPr>
                      <w:rFonts w:hint="default" w:ascii="Times New Roman" w:hAnsi="Times New Roman" w:cs="Times New Roman" w:eastAsiaTheme="minorEastAsia"/>
                      <w:color w:val="auto"/>
                      <w:sz w:val="21"/>
                      <w:szCs w:val="21"/>
                    </w:rPr>
                  </w:pPr>
                  <w:bookmarkStart w:id="35" w:name="OLE_LINK30"/>
                  <w:r>
                    <w:rPr>
                      <w:rFonts w:hint="default" w:ascii="Times New Roman" w:hAnsi="Times New Roman" w:cs="Times New Roman" w:eastAsiaTheme="minorEastAsia"/>
                      <w:color w:val="auto"/>
                      <w:kern w:val="0"/>
                      <w:sz w:val="21"/>
                      <w:szCs w:val="21"/>
                      <w:lang w:bidi="ar"/>
                    </w:rPr>
                    <w:t>葡萄糖</w:t>
                  </w:r>
                  <w:bookmarkEnd w:id="35"/>
                </w:p>
              </w:tc>
              <w:tc>
                <w:tcPr>
                  <w:tcW w:w="618" w:type="pct"/>
                  <w:noWrap w:val="0"/>
                  <w:vAlign w:val="center"/>
                </w:tcPr>
                <w:p w14:paraId="6116FC2C">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bidi="ar"/>
                    </w:rPr>
                    <w:t>50-99-7</w:t>
                  </w:r>
                </w:p>
              </w:tc>
              <w:tc>
                <w:tcPr>
                  <w:tcW w:w="2170" w:type="pct"/>
                  <w:noWrap w:val="0"/>
                  <w:vAlign w:val="center"/>
                </w:tcPr>
                <w:p w14:paraId="07C5F7AF">
                  <w:pPr>
                    <w:pStyle w:val="95"/>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白色无臭结晶性颗粒或者晶粒状末；化学式：NH</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lang w:val="en-US" w:eastAsia="zh-CN"/>
                    </w:rPr>
                    <w:t>Cl</w:t>
                  </w:r>
                  <w:r>
                    <w:rPr>
                      <w:rFonts w:hint="default" w:ascii="Times New Roman" w:hAnsi="Times New Roman" w:cs="Times New Roman" w:eastAsiaTheme="minorEastAsia"/>
                      <w:color w:val="auto"/>
                      <w:sz w:val="21"/>
                      <w:szCs w:val="21"/>
                      <w:vertAlign w:val="baseline"/>
                      <w:lang w:val="en-US" w:eastAsia="zh-CN"/>
                    </w:rPr>
                    <w:t>；密度：1.527g/cm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；熔点：337.8</w:t>
                  </w:r>
                  <w:r>
                    <w:rPr>
                      <w:rFonts w:hint="default" w:ascii="Times New Roman" w:hAnsi="Times New Roman" w:eastAsia="宋体" w:cs="Times New Roman"/>
                      <w:color w:val="auto"/>
                      <w:sz w:val="21"/>
                      <w:szCs w:val="21"/>
                      <w:vertAlign w:val="baseline"/>
                      <w:lang w:val="en-US" w:eastAsia="zh-CN"/>
                    </w:rPr>
                    <w:t>℃；沸点：520℃；易溶于水，微溶于乙醇，不溶于乙醚。</w:t>
                  </w:r>
                </w:p>
              </w:tc>
              <w:tc>
                <w:tcPr>
                  <w:tcW w:w="1144" w:type="pct"/>
                  <w:noWrap w:val="0"/>
                  <w:vAlign w:val="center"/>
                </w:tcPr>
                <w:p w14:paraId="05C57C1E">
                  <w:pPr>
                    <w:spacing w:line="240" w:lineRule="auto"/>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无资料</w:t>
                  </w:r>
                </w:p>
              </w:tc>
              <w:tc>
                <w:tcPr>
                  <w:tcW w:w="516" w:type="pct"/>
                  <w:noWrap w:val="0"/>
                  <w:vAlign w:val="center"/>
                </w:tcPr>
                <w:p w14:paraId="78E12B76">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难燃</w:t>
                  </w:r>
                </w:p>
              </w:tc>
            </w:tr>
            <w:tr w14:paraId="3285E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6AF0DB2D">
                  <w:pPr>
                    <w:spacing w:line="240" w:lineRule="auto"/>
                    <w:jc w:val="center"/>
                    <w:rPr>
                      <w:rFonts w:hint="default" w:ascii="Times New Roman" w:hAnsi="Times New Roman" w:cs="Times New Roman" w:eastAsiaTheme="minorEastAsia"/>
                      <w:color w:val="auto"/>
                      <w:sz w:val="21"/>
                      <w:szCs w:val="21"/>
                    </w:rPr>
                  </w:pPr>
                  <w:bookmarkStart w:id="36" w:name="OLE_LINK31"/>
                  <w:r>
                    <w:rPr>
                      <w:rFonts w:hint="default" w:ascii="Times New Roman" w:hAnsi="Times New Roman" w:cs="Times New Roman" w:eastAsiaTheme="minorEastAsia"/>
                      <w:color w:val="auto"/>
                      <w:kern w:val="0"/>
                      <w:sz w:val="21"/>
                      <w:szCs w:val="21"/>
                      <w:lang w:bidi="ar"/>
                    </w:rPr>
                    <w:t>氯化铵</w:t>
                  </w:r>
                  <w:bookmarkEnd w:id="36"/>
                </w:p>
              </w:tc>
              <w:tc>
                <w:tcPr>
                  <w:tcW w:w="618" w:type="pct"/>
                  <w:noWrap w:val="0"/>
                  <w:vAlign w:val="center"/>
                </w:tcPr>
                <w:p w14:paraId="6BB9B0A2">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12125-02-9</w:t>
                  </w:r>
                </w:p>
              </w:tc>
              <w:tc>
                <w:tcPr>
                  <w:tcW w:w="2170" w:type="pct"/>
                  <w:noWrap w:val="0"/>
                  <w:vAlign w:val="center"/>
                </w:tcPr>
                <w:p w14:paraId="791A3EDD">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白色结晶固体；化学式：C</w:t>
                  </w:r>
                  <w:r>
                    <w:rPr>
                      <w:rFonts w:hint="default" w:ascii="Times New Roman" w:hAnsi="Times New Roman" w:cs="Times New Roman" w:eastAsiaTheme="minorEastAsia"/>
                      <w:color w:val="auto"/>
                      <w:sz w:val="21"/>
                      <w:szCs w:val="21"/>
                      <w:vertAlign w:val="subscript"/>
                      <w:lang w:val="en-US" w:eastAsia="zh-CN"/>
                    </w:rPr>
                    <w:t>3</w:t>
                  </w:r>
                  <w:r>
                    <w:rPr>
                      <w:rFonts w:hint="default" w:ascii="Times New Roman" w:hAnsi="Times New Roman" w:cs="Times New Roman" w:eastAsiaTheme="minorEastAsia"/>
                      <w:color w:val="auto"/>
                      <w:sz w:val="21"/>
                      <w:szCs w:val="21"/>
                      <w:lang w:val="en-US" w:eastAsia="zh-CN"/>
                    </w:rPr>
                    <w:t>H</w:t>
                  </w:r>
                  <w:r>
                    <w:rPr>
                      <w:rFonts w:hint="default" w:ascii="Times New Roman" w:hAnsi="Times New Roman" w:cs="Times New Roman" w:eastAsiaTheme="minorEastAsia"/>
                      <w:color w:val="auto"/>
                      <w:sz w:val="21"/>
                      <w:szCs w:val="21"/>
                      <w:vertAlign w:val="subscript"/>
                      <w:lang w:val="en-US" w:eastAsia="zh-CN"/>
                    </w:rPr>
                    <w:t>8</w:t>
                  </w:r>
                  <w:r>
                    <w:rPr>
                      <w:rFonts w:hint="default" w:ascii="Times New Roman" w:hAnsi="Times New Roman" w:cs="Times New Roman" w:eastAsiaTheme="minorEastAsia"/>
                      <w:color w:val="auto"/>
                      <w:sz w:val="21"/>
                      <w:szCs w:val="21"/>
                      <w:lang w:val="en-US" w:eastAsia="zh-CN"/>
                    </w:rPr>
                    <w:t>O</w:t>
                  </w:r>
                  <w:r>
                    <w:rPr>
                      <w:rFonts w:hint="default" w:ascii="Times New Roman" w:hAnsi="Times New Roman" w:cs="Times New Roman" w:eastAsiaTheme="minorEastAsia"/>
                      <w:color w:val="auto"/>
                      <w:sz w:val="21"/>
                      <w:szCs w:val="21"/>
                      <w:vertAlign w:val="subscript"/>
                      <w:lang w:val="en-US" w:eastAsia="zh-CN"/>
                    </w:rPr>
                    <w:t>3</w:t>
                  </w:r>
                  <w:r>
                    <w:rPr>
                      <w:rFonts w:hint="default" w:ascii="Times New Roman" w:hAnsi="Times New Roman" w:cs="Times New Roman" w:eastAsiaTheme="minorEastAsia"/>
                      <w:color w:val="auto"/>
                      <w:sz w:val="21"/>
                      <w:szCs w:val="21"/>
                      <w:vertAlign w:val="baseline"/>
                      <w:lang w:val="en-US" w:eastAsia="zh-CN"/>
                    </w:rPr>
                    <w:t>；密度：1.26331g/cm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；熔点：17.4</w:t>
                  </w:r>
                  <w:r>
                    <w:rPr>
                      <w:rFonts w:hint="default" w:ascii="Times New Roman" w:hAnsi="Times New Roman" w:eastAsia="宋体" w:cs="Times New Roman"/>
                      <w:color w:val="auto"/>
                      <w:sz w:val="21"/>
                      <w:szCs w:val="21"/>
                      <w:vertAlign w:val="baseline"/>
                      <w:lang w:val="en-US" w:eastAsia="zh-CN"/>
                    </w:rPr>
                    <w:t>℃；沸点：290℃；闪点：177℃；溶于水、醇、甘油，不溶于丙酮、乙醚、乙酸乙酯。</w:t>
                  </w:r>
                </w:p>
              </w:tc>
              <w:tc>
                <w:tcPr>
                  <w:tcW w:w="1144" w:type="pct"/>
                  <w:noWrap w:val="0"/>
                  <w:vAlign w:val="center"/>
                </w:tcPr>
                <w:p w14:paraId="1179C6A1">
                  <w:pPr>
                    <w:spacing w:line="240" w:lineRule="auto"/>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无资料</w:t>
                  </w:r>
                </w:p>
              </w:tc>
              <w:tc>
                <w:tcPr>
                  <w:tcW w:w="516" w:type="pct"/>
                  <w:noWrap w:val="0"/>
                  <w:vAlign w:val="center"/>
                </w:tcPr>
                <w:p w14:paraId="45FF604A">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0DCD9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3020DFD7">
                  <w:pPr>
                    <w:pStyle w:val="95"/>
                    <w:spacing w:line="240" w:lineRule="auto"/>
                    <w:jc w:val="center"/>
                    <w:rPr>
                      <w:rFonts w:hint="default" w:ascii="Times New Roman" w:hAnsi="Times New Roman" w:cs="Times New Roman" w:eastAsiaTheme="minorEastAsia"/>
                      <w:color w:val="auto"/>
                      <w:sz w:val="21"/>
                      <w:szCs w:val="21"/>
                    </w:rPr>
                  </w:pPr>
                  <w:bookmarkStart w:id="37" w:name="OLE_LINK33"/>
                  <w:r>
                    <w:rPr>
                      <w:rFonts w:hint="default" w:ascii="Times New Roman" w:hAnsi="Times New Roman" w:cs="Times New Roman" w:eastAsiaTheme="minorEastAsia"/>
                      <w:color w:val="auto"/>
                      <w:kern w:val="0"/>
                      <w:sz w:val="21"/>
                      <w:szCs w:val="21"/>
                      <w:lang w:bidi="ar"/>
                    </w:rPr>
                    <w:t>氯化钠</w:t>
                  </w:r>
                  <w:bookmarkEnd w:id="37"/>
                </w:p>
              </w:tc>
              <w:tc>
                <w:tcPr>
                  <w:tcW w:w="618" w:type="pct"/>
                  <w:noWrap w:val="0"/>
                  <w:vAlign w:val="center"/>
                </w:tcPr>
                <w:p w14:paraId="42E3CAE2">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7647-14-5</w:t>
                  </w:r>
                </w:p>
              </w:tc>
              <w:tc>
                <w:tcPr>
                  <w:tcW w:w="2170" w:type="pct"/>
                  <w:noWrap w:val="0"/>
                  <w:vAlign w:val="center"/>
                </w:tcPr>
                <w:p w14:paraId="7307F05D">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无色晶体或白色粉末；化学式：NaCl</w:t>
                  </w:r>
                  <w:r>
                    <w:rPr>
                      <w:rFonts w:hint="default" w:ascii="Times New Roman" w:hAnsi="Times New Roman" w:cs="Times New Roman" w:eastAsiaTheme="minorEastAsia"/>
                      <w:color w:val="auto"/>
                      <w:sz w:val="21"/>
                      <w:szCs w:val="21"/>
                      <w:vertAlign w:val="baseline"/>
                      <w:lang w:val="en-US" w:eastAsia="zh-CN"/>
                    </w:rPr>
                    <w:t>；密度：2.165g/cm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；熔点：801</w:t>
                  </w:r>
                  <w:r>
                    <w:rPr>
                      <w:rFonts w:hint="default" w:ascii="Times New Roman" w:hAnsi="Times New Roman" w:eastAsia="宋体" w:cs="Times New Roman"/>
                      <w:color w:val="auto"/>
                      <w:sz w:val="21"/>
                      <w:szCs w:val="21"/>
                      <w:vertAlign w:val="baseline"/>
                      <w:lang w:val="en-US" w:eastAsia="zh-CN"/>
                    </w:rPr>
                    <w:t>℃；沸点：1465℃；易溶于水，水中溶解度35.9g/100g水（室温）。</w:t>
                  </w:r>
                </w:p>
              </w:tc>
              <w:tc>
                <w:tcPr>
                  <w:tcW w:w="1144" w:type="pct"/>
                  <w:noWrap w:val="0"/>
                  <w:vAlign w:val="center"/>
                </w:tcPr>
                <w:p w14:paraId="74F64EFE">
                  <w:pPr>
                    <w:spacing w:line="240" w:lineRule="auto"/>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无资料</w:t>
                  </w:r>
                </w:p>
              </w:tc>
              <w:tc>
                <w:tcPr>
                  <w:tcW w:w="516" w:type="pct"/>
                  <w:noWrap w:val="0"/>
                  <w:vAlign w:val="center"/>
                </w:tcPr>
                <w:p w14:paraId="04C5BDDC">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625DD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254A6B3F">
                  <w:pPr>
                    <w:pStyle w:val="95"/>
                    <w:spacing w:line="240" w:lineRule="auto"/>
                    <w:jc w:val="center"/>
                    <w:rPr>
                      <w:rFonts w:hint="default" w:ascii="Times New Roman" w:hAnsi="Times New Roman" w:cs="Times New Roman" w:eastAsiaTheme="minorEastAsia"/>
                      <w:color w:val="auto"/>
                      <w:sz w:val="21"/>
                      <w:szCs w:val="21"/>
                    </w:rPr>
                  </w:pPr>
                  <w:bookmarkStart w:id="38" w:name="OLE_LINK35"/>
                  <w:r>
                    <w:rPr>
                      <w:rFonts w:hint="default" w:ascii="Times New Roman" w:hAnsi="Times New Roman" w:cs="Times New Roman" w:eastAsiaTheme="minorEastAsia"/>
                      <w:color w:val="auto"/>
                      <w:kern w:val="0"/>
                      <w:sz w:val="21"/>
                      <w:szCs w:val="21"/>
                      <w:lang w:bidi="ar"/>
                    </w:rPr>
                    <w:t>磷酸氢二钠</w:t>
                  </w:r>
                  <w:bookmarkEnd w:id="38"/>
                </w:p>
              </w:tc>
              <w:tc>
                <w:tcPr>
                  <w:tcW w:w="618" w:type="pct"/>
                  <w:noWrap w:val="0"/>
                  <w:vAlign w:val="center"/>
                </w:tcPr>
                <w:p w14:paraId="17592BC6">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7558-79-4</w:t>
                  </w:r>
                </w:p>
              </w:tc>
              <w:tc>
                <w:tcPr>
                  <w:tcW w:w="2170" w:type="pct"/>
                  <w:noWrap w:val="0"/>
                  <w:vAlign w:val="center"/>
                </w:tcPr>
                <w:p w14:paraId="29407AF8">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白色粒状粉末；化学式：Na</w:t>
                  </w:r>
                  <w:r>
                    <w:rPr>
                      <w:rFonts w:hint="default" w:ascii="Times New Roman" w:hAnsi="Times New Roman" w:cs="Times New Roman" w:eastAsiaTheme="minorEastAsia"/>
                      <w:color w:val="auto"/>
                      <w:sz w:val="21"/>
                      <w:szCs w:val="21"/>
                      <w:vertAlign w:val="subscript"/>
                      <w:lang w:val="en-US" w:eastAsia="zh-CN"/>
                    </w:rPr>
                    <w:t>2</w:t>
                  </w:r>
                  <w:r>
                    <w:rPr>
                      <w:rFonts w:hint="default" w:ascii="Times New Roman" w:hAnsi="Times New Roman" w:cs="Times New Roman" w:eastAsiaTheme="minorEastAsia"/>
                      <w:color w:val="auto"/>
                      <w:sz w:val="21"/>
                      <w:szCs w:val="21"/>
                      <w:lang w:val="en-US" w:eastAsia="zh-CN"/>
                    </w:rPr>
                    <w:t>HPO</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vertAlign w:val="baseline"/>
                      <w:lang w:val="en-US" w:eastAsia="zh-CN"/>
                    </w:rPr>
                    <w:t>；密度：</w:t>
                  </w:r>
                  <w:r>
                    <w:rPr>
                      <w:rFonts w:hint="eastAsia" w:cs="Times New Roman" w:eastAsiaTheme="minorEastAsia"/>
                      <w:color w:val="auto"/>
                      <w:sz w:val="21"/>
                      <w:szCs w:val="21"/>
                      <w:vertAlign w:val="baseline"/>
                      <w:lang w:val="en-US" w:eastAsia="zh-CN"/>
                    </w:rPr>
                    <w:t>0.231</w:t>
                  </w:r>
                  <w:r>
                    <w:rPr>
                      <w:rFonts w:hint="default" w:ascii="Times New Roman" w:hAnsi="Times New Roman" w:cs="Times New Roman" w:eastAsiaTheme="minorEastAsia"/>
                      <w:color w:val="auto"/>
                      <w:sz w:val="21"/>
                      <w:szCs w:val="21"/>
                      <w:vertAlign w:val="baseline"/>
                      <w:lang w:val="en-US" w:eastAsia="zh-CN"/>
                    </w:rPr>
                    <w:t>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；熔点：243-245</w:t>
                  </w:r>
                  <w:r>
                    <w:rPr>
                      <w:rFonts w:hint="default" w:ascii="Times New Roman" w:hAnsi="Times New Roman" w:eastAsia="宋体" w:cs="Times New Roman"/>
                      <w:color w:val="auto"/>
                      <w:sz w:val="21"/>
                      <w:szCs w:val="21"/>
                      <w:vertAlign w:val="baseline"/>
                      <w:lang w:val="en-US" w:eastAsia="zh-CN"/>
                    </w:rPr>
                    <w:t>℃；易溶于水，不溶于醇</w:t>
                  </w:r>
                </w:p>
              </w:tc>
              <w:tc>
                <w:tcPr>
                  <w:tcW w:w="1144" w:type="pct"/>
                  <w:noWrap w:val="0"/>
                  <w:vAlign w:val="center"/>
                </w:tcPr>
                <w:p w14:paraId="0E96691E">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2D397FF0">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不燃</w:t>
                  </w:r>
                </w:p>
              </w:tc>
            </w:tr>
            <w:tr w14:paraId="63FFC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71399CD8">
                  <w:pPr>
                    <w:pStyle w:val="95"/>
                    <w:spacing w:line="240" w:lineRule="auto"/>
                    <w:jc w:val="center"/>
                    <w:rPr>
                      <w:rFonts w:hint="default" w:ascii="Times New Roman" w:hAnsi="Times New Roman" w:cs="Times New Roman" w:eastAsiaTheme="minorEastAsia"/>
                      <w:color w:val="auto"/>
                      <w:sz w:val="21"/>
                      <w:szCs w:val="21"/>
                    </w:rPr>
                  </w:pPr>
                  <w:bookmarkStart w:id="39" w:name="OLE_LINK36"/>
                  <w:r>
                    <w:rPr>
                      <w:rFonts w:hint="default" w:ascii="Times New Roman" w:hAnsi="Times New Roman" w:cs="Times New Roman" w:eastAsiaTheme="minorEastAsia"/>
                      <w:color w:val="auto"/>
                      <w:kern w:val="0"/>
                      <w:sz w:val="21"/>
                      <w:szCs w:val="21"/>
                      <w:lang w:bidi="ar"/>
                    </w:rPr>
                    <w:t>硫酸镁</w:t>
                  </w:r>
                  <w:bookmarkEnd w:id="39"/>
                </w:p>
              </w:tc>
              <w:tc>
                <w:tcPr>
                  <w:tcW w:w="618" w:type="pct"/>
                  <w:noWrap w:val="0"/>
                  <w:vAlign w:val="center"/>
                </w:tcPr>
                <w:p w14:paraId="4B1A4C15">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7487-88-9</w:t>
                  </w:r>
                </w:p>
              </w:tc>
              <w:tc>
                <w:tcPr>
                  <w:tcW w:w="2170" w:type="pct"/>
                  <w:noWrap w:val="0"/>
                  <w:vAlign w:val="center"/>
                </w:tcPr>
                <w:p w14:paraId="5DFE2F86">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白色结晶粉末；化学式：MgSO</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vertAlign w:val="baseline"/>
                      <w:lang w:val="en-US" w:eastAsia="zh-CN"/>
                    </w:rPr>
                    <w:t>；密度：2.66g/cm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；熔点：1124</w:t>
                  </w:r>
                  <w:r>
                    <w:rPr>
                      <w:rFonts w:hint="default" w:ascii="Times New Roman" w:hAnsi="Times New Roman" w:eastAsia="宋体" w:cs="Times New Roman"/>
                      <w:color w:val="auto"/>
                      <w:sz w:val="21"/>
                      <w:szCs w:val="21"/>
                      <w:vertAlign w:val="baseline"/>
                      <w:lang w:val="en-US" w:eastAsia="zh-CN"/>
                    </w:rPr>
                    <w:t>℃；易溶于水，微溶于乙醇、甘油，不溶于丙酮。</w:t>
                  </w:r>
                </w:p>
              </w:tc>
              <w:tc>
                <w:tcPr>
                  <w:tcW w:w="1144" w:type="pct"/>
                  <w:noWrap w:val="0"/>
                  <w:vAlign w:val="center"/>
                </w:tcPr>
                <w:p w14:paraId="0D6A7899">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小鼠皮下： LD</w:t>
                  </w:r>
                  <w:r>
                    <w:rPr>
                      <w:rFonts w:hint="default" w:ascii="Times New Roman" w:hAnsi="Times New Roman" w:cs="Times New Roman" w:eastAsiaTheme="minorEastAsia"/>
                      <w:color w:val="auto"/>
                      <w:sz w:val="21"/>
                      <w:szCs w:val="21"/>
                      <w:vertAlign w:val="subscript"/>
                    </w:rPr>
                    <w:t>50</w:t>
                  </w:r>
                  <w:r>
                    <w:rPr>
                      <w:rFonts w:hint="default" w:ascii="Times New Roman" w:hAnsi="Times New Roman" w:cs="Times New Roman" w:eastAsiaTheme="minorEastAsia"/>
                      <w:color w:val="auto"/>
                      <w:sz w:val="21"/>
                      <w:szCs w:val="21"/>
                    </w:rPr>
                    <w:t> 645 mg/kg；</w:t>
                  </w:r>
                </w:p>
                <w:p w14:paraId="7B03318E">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小鼠腹腔：670-733mg/kg</w:t>
                  </w:r>
                </w:p>
              </w:tc>
              <w:tc>
                <w:tcPr>
                  <w:tcW w:w="516" w:type="pct"/>
                  <w:noWrap w:val="0"/>
                  <w:vAlign w:val="center"/>
                </w:tcPr>
                <w:p w14:paraId="36484CA2">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不燃</w:t>
                  </w:r>
                </w:p>
              </w:tc>
            </w:tr>
            <w:tr w14:paraId="04677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097EA396">
                  <w:pPr>
                    <w:pStyle w:val="95"/>
                    <w:spacing w:line="240" w:lineRule="auto"/>
                    <w:jc w:val="center"/>
                    <w:rPr>
                      <w:rFonts w:hint="default" w:ascii="Times New Roman" w:hAnsi="Times New Roman" w:cs="Times New Roman" w:eastAsiaTheme="minorEastAsia"/>
                      <w:color w:val="auto"/>
                      <w:kern w:val="0"/>
                      <w:sz w:val="21"/>
                      <w:szCs w:val="21"/>
                      <w:lang w:bidi="ar"/>
                    </w:rPr>
                  </w:pPr>
                  <w:bookmarkStart w:id="40" w:name="OLE_LINK37"/>
                  <w:r>
                    <w:rPr>
                      <w:rFonts w:hint="default" w:ascii="Times New Roman" w:hAnsi="Times New Roman" w:cs="Times New Roman" w:eastAsiaTheme="minorEastAsia"/>
                      <w:color w:val="auto"/>
                      <w:kern w:val="0"/>
                      <w:sz w:val="21"/>
                      <w:szCs w:val="21"/>
                      <w:lang w:bidi="ar"/>
                    </w:rPr>
                    <w:t>磷酸二氢钾</w:t>
                  </w:r>
                  <w:bookmarkEnd w:id="40"/>
                </w:p>
              </w:tc>
              <w:tc>
                <w:tcPr>
                  <w:tcW w:w="618" w:type="pct"/>
                  <w:noWrap w:val="0"/>
                  <w:vAlign w:val="center"/>
                </w:tcPr>
                <w:p w14:paraId="760B84C1">
                  <w:pPr>
                    <w:pStyle w:val="95"/>
                    <w:spacing w:line="240" w:lineRule="auto"/>
                    <w:jc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7778-77-0</w:t>
                  </w:r>
                </w:p>
              </w:tc>
              <w:tc>
                <w:tcPr>
                  <w:tcW w:w="2170" w:type="pct"/>
                  <w:noWrap w:val="0"/>
                  <w:vAlign w:val="center"/>
                </w:tcPr>
                <w:p w14:paraId="24B7CDC7">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白色结晶粉末；化学式：KH</w:t>
                  </w:r>
                  <w:r>
                    <w:rPr>
                      <w:rFonts w:hint="default" w:ascii="Times New Roman" w:hAnsi="Times New Roman" w:cs="Times New Roman" w:eastAsiaTheme="minorEastAsia"/>
                      <w:color w:val="auto"/>
                      <w:sz w:val="21"/>
                      <w:szCs w:val="21"/>
                      <w:vertAlign w:val="subscript"/>
                      <w:lang w:val="en-US" w:eastAsia="zh-CN"/>
                    </w:rPr>
                    <w:t>2</w:t>
                  </w:r>
                  <w:r>
                    <w:rPr>
                      <w:rFonts w:hint="default" w:ascii="Times New Roman" w:hAnsi="Times New Roman" w:cs="Times New Roman" w:eastAsiaTheme="minorEastAsia"/>
                      <w:color w:val="auto"/>
                      <w:sz w:val="21"/>
                      <w:szCs w:val="21"/>
                      <w:lang w:val="en-US" w:eastAsia="zh-CN"/>
                    </w:rPr>
                    <w:t>PO</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vertAlign w:val="baseline"/>
                      <w:lang w:val="en-US" w:eastAsia="zh-CN"/>
                    </w:rPr>
                    <w:t>；密度：2.338g/cm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；熔点：252.6</w:t>
                  </w:r>
                  <w:r>
                    <w:rPr>
                      <w:rFonts w:hint="default" w:ascii="Times New Roman" w:hAnsi="Times New Roman" w:eastAsia="宋体" w:cs="Times New Roman"/>
                      <w:color w:val="auto"/>
                      <w:sz w:val="21"/>
                      <w:szCs w:val="21"/>
                      <w:vertAlign w:val="baseline"/>
                      <w:lang w:val="en-US" w:eastAsia="zh-CN"/>
                    </w:rPr>
                    <w:t>℃；溶于水，不溶于乙醇。</w:t>
                  </w:r>
                </w:p>
              </w:tc>
              <w:tc>
                <w:tcPr>
                  <w:tcW w:w="1144" w:type="pct"/>
                  <w:noWrap w:val="0"/>
                  <w:vAlign w:val="center"/>
                </w:tcPr>
                <w:p w14:paraId="08887204">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44BEF70B">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不燃</w:t>
                  </w:r>
                </w:p>
              </w:tc>
            </w:tr>
            <w:tr w14:paraId="6522A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16FC5F9E">
                  <w:pPr>
                    <w:pStyle w:val="95"/>
                    <w:spacing w:line="240" w:lineRule="auto"/>
                    <w:jc w:val="center"/>
                    <w:rPr>
                      <w:rFonts w:hint="default" w:ascii="Times New Roman" w:hAnsi="Times New Roman" w:cs="Times New Roman" w:eastAsiaTheme="minorEastAsia"/>
                      <w:color w:val="auto"/>
                      <w:kern w:val="0"/>
                      <w:sz w:val="21"/>
                      <w:szCs w:val="21"/>
                      <w:lang w:bidi="ar"/>
                    </w:rPr>
                  </w:pPr>
                  <w:bookmarkStart w:id="41" w:name="OLE_LINK38"/>
                  <w:r>
                    <w:rPr>
                      <w:rFonts w:hint="default" w:ascii="Times New Roman" w:hAnsi="Times New Roman" w:cs="Times New Roman" w:eastAsiaTheme="minorEastAsia"/>
                      <w:color w:val="auto"/>
                      <w:kern w:val="0"/>
                      <w:sz w:val="21"/>
                      <w:szCs w:val="21"/>
                      <w:lang w:val="en-US" w:eastAsia="zh-CN" w:bidi="ar"/>
                    </w:rPr>
                    <w:t>氢氧化钠</w:t>
                  </w:r>
                  <w:bookmarkEnd w:id="41"/>
                </w:p>
              </w:tc>
              <w:tc>
                <w:tcPr>
                  <w:tcW w:w="618" w:type="pct"/>
                  <w:noWrap w:val="0"/>
                  <w:vAlign w:val="center"/>
                </w:tcPr>
                <w:p w14:paraId="33955C61">
                  <w:pPr>
                    <w:pStyle w:val="95"/>
                    <w:spacing w:line="240" w:lineRule="auto"/>
                    <w:jc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1310-73-2</w:t>
                  </w:r>
                </w:p>
              </w:tc>
              <w:tc>
                <w:tcPr>
                  <w:tcW w:w="2170" w:type="pct"/>
                  <w:noWrap w:val="0"/>
                  <w:vAlign w:val="center"/>
                </w:tcPr>
                <w:p w14:paraId="34E72AAE">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白色结晶粉末；化学式：</w:t>
                  </w:r>
                  <w:r>
                    <w:rPr>
                      <w:rFonts w:hint="default" w:ascii="Times New Roman" w:hAnsi="Times New Roman" w:cs="Times New Roman" w:eastAsiaTheme="minorEastAsia"/>
                      <w:color w:val="auto"/>
                      <w:sz w:val="21"/>
                      <w:szCs w:val="21"/>
                      <w:vertAlign w:val="baseline"/>
                      <w:lang w:val="en-US" w:eastAsia="zh-CN"/>
                    </w:rPr>
                    <w:t>NaOH；密度：2.13g/cm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；熔点：318.4</w:t>
                  </w:r>
                  <w:r>
                    <w:rPr>
                      <w:rFonts w:hint="default" w:ascii="Times New Roman" w:hAnsi="Times New Roman" w:eastAsia="宋体" w:cs="Times New Roman"/>
                      <w:color w:val="auto"/>
                      <w:sz w:val="21"/>
                      <w:szCs w:val="21"/>
                      <w:vertAlign w:val="baseline"/>
                      <w:lang w:val="en-US" w:eastAsia="zh-CN"/>
                    </w:rPr>
                    <w:t>℃；沸点：</w:t>
                  </w:r>
                  <w:r>
                    <w:rPr>
                      <w:rFonts w:hint="default" w:ascii="Times New Roman" w:hAnsi="Times New Roman" w:cs="Times New Roman" w:eastAsiaTheme="minorEastAsia"/>
                      <w:color w:val="auto"/>
                      <w:sz w:val="21"/>
                      <w:szCs w:val="21"/>
                      <w:vertAlign w:val="baseline"/>
                      <w:lang w:val="en-US" w:eastAsia="zh-CN"/>
                    </w:rPr>
                    <w:t>1390</w:t>
                  </w:r>
                  <w:r>
                    <w:rPr>
                      <w:rFonts w:hint="default" w:ascii="Times New Roman" w:hAnsi="Times New Roman" w:eastAsia="宋体" w:cs="Times New Roman"/>
                      <w:color w:val="auto"/>
                      <w:sz w:val="21"/>
                      <w:szCs w:val="21"/>
                      <w:vertAlign w:val="baseline"/>
                      <w:lang w:val="en-US" w:eastAsia="zh-CN"/>
                    </w:rPr>
                    <w:t>℃；易溶于水、乙醇、甘油，不溶于丙酮、乙醚。</w:t>
                  </w:r>
                </w:p>
              </w:tc>
              <w:tc>
                <w:tcPr>
                  <w:tcW w:w="1144" w:type="pct"/>
                  <w:noWrap w:val="0"/>
                  <w:vAlign w:val="center"/>
                </w:tcPr>
                <w:p w14:paraId="6DA1BE15">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6E91B6CE">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不燃</w:t>
                  </w:r>
                </w:p>
              </w:tc>
            </w:tr>
            <w:tr w14:paraId="1D18F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5E9A70DD">
                  <w:pPr>
                    <w:pStyle w:val="95"/>
                    <w:spacing w:line="240" w:lineRule="auto"/>
                    <w:jc w:val="center"/>
                    <w:rPr>
                      <w:rFonts w:hint="default" w:ascii="Times New Roman" w:hAnsi="Times New Roman" w:cs="Times New Roman" w:eastAsiaTheme="minorEastAsia"/>
                      <w:color w:val="auto"/>
                      <w:sz w:val="21"/>
                      <w:szCs w:val="21"/>
                    </w:rPr>
                  </w:pPr>
                  <w:bookmarkStart w:id="42" w:name="OLE_LINK39"/>
                  <w:r>
                    <w:rPr>
                      <w:rFonts w:hint="default" w:ascii="Times New Roman" w:hAnsi="Times New Roman" w:cs="Times New Roman" w:eastAsiaTheme="minorEastAsia"/>
                      <w:color w:val="auto"/>
                      <w:sz w:val="21"/>
                      <w:szCs w:val="21"/>
                    </w:rPr>
                    <w:t>乙醇</w:t>
                  </w:r>
                  <w:bookmarkEnd w:id="42"/>
                </w:p>
              </w:tc>
              <w:tc>
                <w:tcPr>
                  <w:tcW w:w="618" w:type="pct"/>
                  <w:noWrap w:val="0"/>
                  <w:vAlign w:val="center"/>
                </w:tcPr>
                <w:p w14:paraId="7324C363">
                  <w:pPr>
                    <w:pStyle w:val="95"/>
                    <w:spacing w:line="240" w:lineRule="auto"/>
                    <w:jc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64-17-5</w:t>
                  </w:r>
                </w:p>
              </w:tc>
              <w:tc>
                <w:tcPr>
                  <w:tcW w:w="2170" w:type="pct"/>
                  <w:noWrap w:val="0"/>
                  <w:vAlign w:val="center"/>
                </w:tcPr>
                <w:p w14:paraId="670FCEB4">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无色透明液体，有芳香气味；化学式：</w:t>
                  </w:r>
                </w:p>
                <w:p w14:paraId="2E89A406">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C</w:t>
                  </w:r>
                  <w:r>
                    <w:rPr>
                      <w:rFonts w:hint="default" w:ascii="Times New Roman" w:hAnsi="Times New Roman" w:cs="Times New Roman" w:eastAsiaTheme="minorEastAsia"/>
                      <w:color w:val="auto"/>
                      <w:sz w:val="21"/>
                      <w:szCs w:val="21"/>
                      <w:vertAlign w:val="subscript"/>
                      <w:lang w:val="en-US" w:eastAsia="zh-CN"/>
                    </w:rPr>
                    <w:t>2</w:t>
                  </w:r>
                  <w:r>
                    <w:rPr>
                      <w:rFonts w:hint="default" w:ascii="Times New Roman" w:hAnsi="Times New Roman" w:cs="Times New Roman" w:eastAsiaTheme="minorEastAsia"/>
                      <w:color w:val="auto"/>
                      <w:sz w:val="21"/>
                      <w:szCs w:val="21"/>
                      <w:lang w:val="en-US" w:eastAsia="zh-CN"/>
                    </w:rPr>
                    <w:t>H</w:t>
                  </w:r>
                  <w:r>
                    <w:rPr>
                      <w:rFonts w:hint="default" w:ascii="Times New Roman" w:hAnsi="Times New Roman" w:cs="Times New Roman" w:eastAsiaTheme="minorEastAsia"/>
                      <w:color w:val="auto"/>
                      <w:sz w:val="21"/>
                      <w:szCs w:val="21"/>
                      <w:vertAlign w:val="subscript"/>
                      <w:lang w:val="en-US" w:eastAsia="zh-CN"/>
                    </w:rPr>
                    <w:t>5</w:t>
                  </w:r>
                  <w:r>
                    <w:rPr>
                      <w:rFonts w:hint="default" w:ascii="Times New Roman" w:hAnsi="Times New Roman" w:cs="Times New Roman" w:eastAsiaTheme="minorEastAsia"/>
                      <w:color w:val="auto"/>
                      <w:sz w:val="21"/>
                      <w:szCs w:val="21"/>
                      <w:lang w:val="en-US" w:eastAsia="zh-CN"/>
                    </w:rPr>
                    <w:t>OH</w:t>
                  </w:r>
                  <w:r>
                    <w:rPr>
                      <w:rFonts w:hint="default" w:ascii="Times New Roman" w:hAnsi="Times New Roman" w:cs="Times New Roman" w:eastAsiaTheme="minorEastAsia"/>
                      <w:color w:val="auto"/>
                      <w:sz w:val="21"/>
                      <w:szCs w:val="21"/>
                      <w:vertAlign w:val="baseline"/>
                      <w:lang w:val="en-US" w:eastAsia="zh-CN"/>
                    </w:rPr>
                    <w:t>；密度：0.7893g/cm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；熔点：-114.1</w:t>
                  </w:r>
                  <w:r>
                    <w:rPr>
                      <w:rFonts w:hint="default" w:ascii="Times New Roman" w:hAnsi="Times New Roman" w:eastAsia="宋体" w:cs="Times New Roman"/>
                      <w:color w:val="auto"/>
                      <w:sz w:val="21"/>
                      <w:szCs w:val="21"/>
                      <w:vertAlign w:val="baseline"/>
                      <w:lang w:val="en-US" w:eastAsia="zh-CN"/>
                    </w:rPr>
                    <w:t>℃；沸点：</w:t>
                  </w:r>
                  <w:r>
                    <w:rPr>
                      <w:rFonts w:hint="default" w:ascii="Times New Roman" w:hAnsi="Times New Roman" w:cs="Times New Roman" w:eastAsiaTheme="minorEastAsia"/>
                      <w:color w:val="auto"/>
                      <w:sz w:val="21"/>
                      <w:szCs w:val="21"/>
                      <w:vertAlign w:val="baseline"/>
                      <w:lang w:val="en-US" w:eastAsia="zh-CN"/>
                    </w:rPr>
                    <w:t>78.3</w:t>
                  </w:r>
                  <w:r>
                    <w:rPr>
                      <w:rFonts w:hint="default" w:ascii="Times New Roman" w:hAnsi="Times New Roman" w:eastAsia="宋体" w:cs="Times New Roman"/>
                      <w:color w:val="auto"/>
                      <w:sz w:val="21"/>
                      <w:szCs w:val="21"/>
                      <w:vertAlign w:val="baseline"/>
                      <w:lang w:val="en-US" w:eastAsia="zh-CN"/>
                    </w:rPr>
                    <w:t>℃；闪点：</w:t>
                  </w:r>
                  <w:r>
                    <w:rPr>
                      <w:rFonts w:hint="default" w:ascii="Times New Roman" w:hAnsi="Times New Roman" w:cs="Times New Roman" w:eastAsiaTheme="minorEastAsia"/>
                      <w:color w:val="auto"/>
                      <w:sz w:val="21"/>
                      <w:szCs w:val="21"/>
                      <w:vertAlign w:val="baseline"/>
                      <w:lang w:val="en-US" w:eastAsia="zh-CN"/>
                    </w:rPr>
                    <w:t>14</w:t>
                  </w:r>
                  <w:r>
                    <w:rPr>
                      <w:rFonts w:hint="default" w:ascii="Times New Roman" w:hAnsi="Times New Roman" w:eastAsia="宋体" w:cs="Times New Roman"/>
                      <w:color w:val="auto"/>
                      <w:sz w:val="21"/>
                      <w:szCs w:val="21"/>
                      <w:vertAlign w:val="baseline"/>
                      <w:lang w:val="en-US" w:eastAsia="zh-CN"/>
                    </w:rPr>
                    <w:t>℃；爆炸极限：</w:t>
                  </w:r>
                  <w:r>
                    <w:rPr>
                      <w:rFonts w:hint="default" w:ascii="Times New Roman" w:hAnsi="Times New Roman" w:cs="Times New Roman" w:eastAsiaTheme="minorEastAsia"/>
                      <w:color w:val="auto"/>
                      <w:sz w:val="21"/>
                      <w:szCs w:val="21"/>
                      <w:vertAlign w:val="baseline"/>
                      <w:lang w:val="en-US" w:eastAsia="zh-CN"/>
                    </w:rPr>
                    <w:t>3.3%~19%</w:t>
                  </w:r>
                  <w:r>
                    <w:rPr>
                      <w:rFonts w:hint="default" w:ascii="Times New Roman" w:hAnsi="Times New Roman" w:eastAsia="宋体" w:cs="Times New Roman"/>
                      <w:color w:val="auto"/>
                      <w:sz w:val="21"/>
                      <w:szCs w:val="21"/>
                      <w:vertAlign w:val="baseline"/>
                      <w:lang w:val="en-US" w:eastAsia="zh-CN"/>
                    </w:rPr>
                    <w:t>；蒸气压：5.333kPa；与水混溶，可混溶于乙醚、氯仿、甘油、甲醇等多数有机溶剂。</w:t>
                  </w:r>
                </w:p>
              </w:tc>
              <w:tc>
                <w:tcPr>
                  <w:tcW w:w="1144" w:type="pct"/>
                  <w:noWrap w:val="0"/>
                  <w:vAlign w:val="center"/>
                </w:tcPr>
                <w:p w14:paraId="1FB01702">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大鼠口径：LD</w:t>
                  </w:r>
                  <w:r>
                    <w:rPr>
                      <w:rFonts w:hint="eastAsia" w:cs="Times New Roman" w:eastAsiaTheme="minorEastAsia"/>
                      <w:color w:val="auto"/>
                      <w:sz w:val="21"/>
                      <w:szCs w:val="21"/>
                      <w:vertAlign w:val="subscript"/>
                      <w:lang w:val="en-US" w:eastAsia="zh-CN"/>
                    </w:rPr>
                    <w:t>50</w:t>
                  </w:r>
                  <w:r>
                    <w:rPr>
                      <w:rFonts w:hint="eastAsia" w:cs="Times New Roman" w:eastAsiaTheme="minorEastAsia"/>
                      <w:color w:val="auto"/>
                      <w:sz w:val="21"/>
                      <w:szCs w:val="21"/>
                      <w:lang w:val="en-US" w:eastAsia="zh-CN"/>
                    </w:rPr>
                    <w:t>7060mg/kg；</w:t>
                  </w:r>
                </w:p>
              </w:tc>
              <w:tc>
                <w:tcPr>
                  <w:tcW w:w="516" w:type="pct"/>
                  <w:noWrap w:val="0"/>
                  <w:vAlign w:val="center"/>
                </w:tcPr>
                <w:p w14:paraId="1EA3612C">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易燃</w:t>
                  </w:r>
                </w:p>
              </w:tc>
            </w:tr>
            <w:tr w14:paraId="49A4A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3AB87688">
                  <w:pPr>
                    <w:pStyle w:val="95"/>
                    <w:spacing w:line="240" w:lineRule="auto"/>
                    <w:jc w:val="center"/>
                    <w:rPr>
                      <w:rFonts w:hint="default" w:ascii="Times New Roman" w:hAnsi="Times New Roman" w:cs="Times New Roman" w:eastAsiaTheme="minorEastAsia"/>
                      <w:color w:val="auto"/>
                      <w:sz w:val="21"/>
                      <w:szCs w:val="21"/>
                    </w:rPr>
                  </w:pPr>
                  <w:bookmarkStart w:id="43" w:name="OLE_LINK40"/>
                  <w:r>
                    <w:rPr>
                      <w:rFonts w:hint="default" w:ascii="Times New Roman" w:hAnsi="Times New Roman" w:cs="Times New Roman" w:eastAsiaTheme="minorEastAsia"/>
                      <w:color w:val="auto"/>
                      <w:sz w:val="21"/>
                      <w:szCs w:val="21"/>
                    </w:rPr>
                    <w:t>酵母粉</w:t>
                  </w:r>
                  <w:bookmarkEnd w:id="43"/>
                </w:p>
              </w:tc>
              <w:tc>
                <w:tcPr>
                  <w:tcW w:w="618" w:type="pct"/>
                  <w:noWrap w:val="0"/>
                  <w:vAlign w:val="center"/>
                </w:tcPr>
                <w:p w14:paraId="12FA1827">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119-44-8</w:t>
                  </w:r>
                </w:p>
              </w:tc>
              <w:tc>
                <w:tcPr>
                  <w:tcW w:w="2170" w:type="pct"/>
                  <w:noWrap w:val="0"/>
                  <w:vAlign w:val="center"/>
                </w:tcPr>
                <w:p w14:paraId="42D13C39">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主要成分包括蛋白质、维生素B族、微量元素和膳食纤维等；酵母粉在水中的溶解性较差</w:t>
                  </w:r>
                  <w:r>
                    <w:rPr>
                      <w:rFonts w:hint="eastAsia" w:cs="Times New Roman" w:eastAsiaTheme="minorEastAsia"/>
                      <w:color w:val="auto"/>
                      <w:sz w:val="21"/>
                      <w:szCs w:val="21"/>
                      <w:lang w:val="en-US" w:eastAsia="zh-CN"/>
                    </w:rPr>
                    <w:t>。</w:t>
                  </w:r>
                </w:p>
              </w:tc>
              <w:tc>
                <w:tcPr>
                  <w:tcW w:w="1144" w:type="pct"/>
                  <w:noWrap w:val="0"/>
                  <w:vAlign w:val="center"/>
                </w:tcPr>
                <w:p w14:paraId="55124342">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36D32619">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21FBE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32922037">
                  <w:pPr>
                    <w:pStyle w:val="95"/>
                    <w:spacing w:line="240" w:lineRule="auto"/>
                    <w:jc w:val="center"/>
                    <w:rPr>
                      <w:rFonts w:hint="default" w:ascii="Times New Roman" w:hAnsi="Times New Roman" w:cs="Times New Roman" w:eastAsiaTheme="minorEastAsia"/>
                      <w:color w:val="auto"/>
                      <w:sz w:val="21"/>
                      <w:szCs w:val="21"/>
                    </w:rPr>
                  </w:pPr>
                  <w:bookmarkStart w:id="44" w:name="OLE_LINK41"/>
                  <w:r>
                    <w:rPr>
                      <w:rFonts w:hint="default" w:ascii="Times New Roman" w:hAnsi="Times New Roman" w:cs="Times New Roman" w:eastAsiaTheme="minorEastAsia"/>
                      <w:color w:val="auto"/>
                      <w:sz w:val="21"/>
                      <w:szCs w:val="21"/>
                    </w:rPr>
                    <w:t>蛋白胨</w:t>
                  </w:r>
                  <w:bookmarkEnd w:id="44"/>
                </w:p>
              </w:tc>
              <w:tc>
                <w:tcPr>
                  <w:tcW w:w="618" w:type="pct"/>
                  <w:noWrap w:val="0"/>
                  <w:vAlign w:val="center"/>
                </w:tcPr>
                <w:p w14:paraId="5E05E993">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73049-73-7</w:t>
                  </w:r>
                </w:p>
              </w:tc>
              <w:tc>
                <w:tcPr>
                  <w:tcW w:w="2170" w:type="pct"/>
                  <w:noWrap w:val="0"/>
                  <w:vAlign w:val="center"/>
                </w:tcPr>
                <w:p w14:paraId="4D15F157">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本品为血纤维等蛋白质经胃蛋白酶或其他酶水解而得到的、胨和氨基酸类的混合物。为浅黄色至棕色粉末或颗粒,有肉味,但无腐臭,易溶于水,不溶于</w:t>
                  </w:r>
                  <w:r>
                    <w:rPr>
                      <w:rFonts w:hint="default" w:ascii="Times New Roman" w:hAnsi="Times New Roman" w:cs="Times New Roman" w:eastAsiaTheme="minorEastAsia"/>
                      <w:color w:val="auto"/>
                      <w:sz w:val="21"/>
                      <w:szCs w:val="21"/>
                      <w:lang w:val="en-US" w:eastAsia="zh-CN"/>
                    </w:rPr>
                    <w:fldChar w:fldCharType="begin"/>
                  </w:r>
                  <w:r>
                    <w:rPr>
                      <w:rFonts w:hint="default" w:ascii="Times New Roman" w:hAnsi="Times New Roman" w:cs="Times New Roman" w:eastAsiaTheme="minorEastAsia"/>
                      <w:color w:val="auto"/>
                      <w:sz w:val="21"/>
                      <w:szCs w:val="21"/>
                      <w:lang w:val="en-US" w:eastAsia="zh-CN"/>
                    </w:rPr>
                    <w:instrText xml:space="preserve"> HYPERLINK "https://baike.baidu.com/item/%E4%B9%99%E9%86%87/0?fromModule=lemma_inlink" \t "https://baike.baidu.com/item/_blank" </w:instrText>
                  </w:r>
                  <w:r>
                    <w:rPr>
                      <w:rFonts w:hint="default" w:ascii="Times New Roman" w:hAnsi="Times New Roman" w:cs="Times New Roman" w:eastAsiaTheme="minorEastAsia"/>
                      <w:color w:val="auto"/>
                      <w:sz w:val="21"/>
                      <w:szCs w:val="21"/>
                      <w:lang w:val="en-US" w:eastAsia="zh-CN"/>
                    </w:rPr>
                    <w:fldChar w:fldCharType="separate"/>
                  </w:r>
                  <w:r>
                    <w:rPr>
                      <w:rFonts w:hint="default" w:ascii="Times New Roman" w:hAnsi="Times New Roman" w:cs="Times New Roman" w:eastAsiaTheme="minorEastAsia"/>
                      <w:color w:val="auto"/>
                      <w:sz w:val="21"/>
                      <w:szCs w:val="21"/>
                      <w:lang w:val="en-US" w:eastAsia="zh-CN"/>
                    </w:rPr>
                    <w:t>乙醇</w:t>
                  </w:r>
                  <w:r>
                    <w:rPr>
                      <w:rFonts w:hint="default" w:ascii="Times New Roman" w:hAnsi="Times New Roman" w:cs="Times New Roman" w:eastAsiaTheme="minorEastAsia"/>
                      <w:color w:val="auto"/>
                      <w:sz w:val="21"/>
                      <w:szCs w:val="21"/>
                      <w:lang w:val="en-US" w:eastAsia="zh-CN"/>
                    </w:rPr>
                    <w:fldChar w:fldCharType="end"/>
                  </w:r>
                  <w:r>
                    <w:rPr>
                      <w:rFonts w:hint="default" w:ascii="Times New Roman" w:hAnsi="Times New Roman" w:cs="Times New Roman" w:eastAsiaTheme="minorEastAsia"/>
                      <w:color w:val="auto"/>
                      <w:sz w:val="21"/>
                      <w:szCs w:val="21"/>
                      <w:lang w:val="en-US" w:eastAsia="zh-CN"/>
                    </w:rPr>
                    <w:t>、氯仿和</w:t>
                  </w:r>
                  <w:r>
                    <w:rPr>
                      <w:rFonts w:hint="default" w:ascii="Times New Roman" w:hAnsi="Times New Roman" w:cs="Times New Roman" w:eastAsiaTheme="minorEastAsia"/>
                      <w:color w:val="auto"/>
                      <w:sz w:val="21"/>
                      <w:szCs w:val="21"/>
                      <w:lang w:val="en-US" w:eastAsia="zh-CN"/>
                    </w:rPr>
                    <w:fldChar w:fldCharType="begin"/>
                  </w:r>
                  <w:r>
                    <w:rPr>
                      <w:rFonts w:hint="default" w:ascii="Times New Roman" w:hAnsi="Times New Roman" w:cs="Times New Roman" w:eastAsiaTheme="minorEastAsia"/>
                      <w:color w:val="auto"/>
                      <w:sz w:val="21"/>
                      <w:szCs w:val="21"/>
                      <w:lang w:val="en-US" w:eastAsia="zh-CN"/>
                    </w:rPr>
                    <w:instrText xml:space="preserve"> HYPERLINK "https://baike.baidu.com/item/%E4%B9%99%E9%86%9A/0?fromModule=lemma_inlink" \t "https://baike.baidu.com/item/_blank" </w:instrText>
                  </w:r>
                  <w:r>
                    <w:rPr>
                      <w:rFonts w:hint="default" w:ascii="Times New Roman" w:hAnsi="Times New Roman" w:cs="Times New Roman" w:eastAsiaTheme="minorEastAsia"/>
                      <w:color w:val="auto"/>
                      <w:sz w:val="21"/>
                      <w:szCs w:val="21"/>
                      <w:lang w:val="en-US" w:eastAsia="zh-CN"/>
                    </w:rPr>
                    <w:fldChar w:fldCharType="separate"/>
                  </w:r>
                  <w:r>
                    <w:rPr>
                      <w:rFonts w:hint="default" w:ascii="Times New Roman" w:hAnsi="Times New Roman" w:cs="Times New Roman" w:eastAsiaTheme="minorEastAsia"/>
                      <w:color w:val="auto"/>
                      <w:sz w:val="21"/>
                      <w:szCs w:val="21"/>
                      <w:lang w:val="en-US" w:eastAsia="zh-CN"/>
                    </w:rPr>
                    <w:t>乙醚</w:t>
                  </w:r>
                  <w:r>
                    <w:rPr>
                      <w:rFonts w:hint="default" w:ascii="Times New Roman" w:hAnsi="Times New Roman" w:cs="Times New Roman" w:eastAsiaTheme="minorEastAsia"/>
                      <w:color w:val="auto"/>
                      <w:sz w:val="21"/>
                      <w:szCs w:val="21"/>
                      <w:lang w:val="en-US" w:eastAsia="zh-CN"/>
                    </w:rPr>
                    <w:fldChar w:fldCharType="end"/>
                  </w:r>
                </w:p>
              </w:tc>
              <w:tc>
                <w:tcPr>
                  <w:tcW w:w="1144" w:type="pct"/>
                  <w:noWrap w:val="0"/>
                  <w:vAlign w:val="center"/>
                </w:tcPr>
                <w:p w14:paraId="50FD0F0A">
                  <w:pPr>
                    <w:spacing w:line="240" w:lineRule="auto"/>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无资料</w:t>
                  </w:r>
                </w:p>
              </w:tc>
              <w:tc>
                <w:tcPr>
                  <w:tcW w:w="516" w:type="pct"/>
                  <w:noWrap w:val="0"/>
                  <w:vAlign w:val="center"/>
                </w:tcPr>
                <w:p w14:paraId="16603E88">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262EF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4ADDDADC">
                  <w:pPr>
                    <w:pStyle w:val="95"/>
                    <w:spacing w:line="240" w:lineRule="auto"/>
                    <w:jc w:val="center"/>
                    <w:rPr>
                      <w:rFonts w:hint="default" w:ascii="Times New Roman" w:hAnsi="Times New Roman" w:cs="Times New Roman" w:eastAsiaTheme="minorEastAsia"/>
                      <w:color w:val="auto"/>
                      <w:sz w:val="21"/>
                      <w:szCs w:val="21"/>
                    </w:rPr>
                  </w:pPr>
                  <w:bookmarkStart w:id="45" w:name="OLE_LINK42"/>
                  <w:r>
                    <w:rPr>
                      <w:rFonts w:hint="default" w:ascii="Times New Roman" w:hAnsi="Times New Roman" w:cs="Times New Roman" w:eastAsiaTheme="minorEastAsia"/>
                      <w:color w:val="auto"/>
                      <w:sz w:val="21"/>
                      <w:szCs w:val="21"/>
                    </w:rPr>
                    <w:t>氯化钙</w:t>
                  </w:r>
                  <w:bookmarkEnd w:id="45"/>
                </w:p>
              </w:tc>
              <w:tc>
                <w:tcPr>
                  <w:tcW w:w="618" w:type="pct"/>
                  <w:noWrap w:val="0"/>
                  <w:vAlign w:val="center"/>
                </w:tcPr>
                <w:p w14:paraId="4FE6AE25">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10043-52-4</w:t>
                  </w:r>
                </w:p>
              </w:tc>
              <w:tc>
                <w:tcPr>
                  <w:tcW w:w="2170" w:type="pct"/>
                  <w:noWrap w:val="0"/>
                  <w:vAlign w:val="center"/>
                </w:tcPr>
                <w:p w14:paraId="0E5B05CD">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白色或灰白色的颗粒或粉末；化学式：</w:t>
                  </w:r>
                </w:p>
                <w:p w14:paraId="716B54FC">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CaCl2；密度：2.51g/cm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；熔点：772℃；沸点：1600℃；易溶于水，溶解时放热。</w:t>
                  </w:r>
                </w:p>
              </w:tc>
              <w:tc>
                <w:tcPr>
                  <w:tcW w:w="1144" w:type="pct"/>
                  <w:noWrap w:val="0"/>
                  <w:vAlign w:val="center"/>
                </w:tcPr>
                <w:p w14:paraId="435B035A">
                  <w:pPr>
                    <w:spacing w:line="240" w:lineRule="auto"/>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无资料</w:t>
                  </w:r>
                </w:p>
              </w:tc>
              <w:tc>
                <w:tcPr>
                  <w:tcW w:w="516" w:type="pct"/>
                  <w:noWrap w:val="0"/>
                  <w:vAlign w:val="center"/>
                </w:tcPr>
                <w:p w14:paraId="07E67EEA">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46C3A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4D6BF566">
                  <w:pPr>
                    <w:pStyle w:val="95"/>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消泡剂</w:t>
                  </w:r>
                </w:p>
              </w:tc>
              <w:tc>
                <w:tcPr>
                  <w:tcW w:w="618" w:type="pct"/>
                  <w:noWrap w:val="0"/>
                  <w:vAlign w:val="center"/>
                </w:tcPr>
                <w:p w14:paraId="4EA3CCF2">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9003-13-8</w:t>
                  </w:r>
                </w:p>
              </w:tc>
              <w:tc>
                <w:tcPr>
                  <w:tcW w:w="2170" w:type="pct"/>
                  <w:noWrap w:val="0"/>
                  <w:vAlign w:val="center"/>
                </w:tcPr>
                <w:p w14:paraId="7345BE39">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一种无色液体，具有棕色液体的外观‌；‌密度‌：0.9±0.1g/cm³‌，沸点‌176.6±8.0℃；熔点‌：-20℃；‌闪点‌：闪点为54.2±7.7℃。</w:t>
                  </w:r>
                </w:p>
              </w:tc>
              <w:tc>
                <w:tcPr>
                  <w:tcW w:w="1144" w:type="pct"/>
                  <w:noWrap w:val="0"/>
                  <w:vAlign w:val="center"/>
                </w:tcPr>
                <w:p w14:paraId="7A7ACC82">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061DC679">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可燃</w:t>
                  </w:r>
                </w:p>
              </w:tc>
            </w:tr>
            <w:tr w14:paraId="57026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1769EC31">
                  <w:pPr>
                    <w:pStyle w:val="95"/>
                    <w:spacing w:line="240" w:lineRule="auto"/>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rPr>
                    <w:t>硫酸铵</w:t>
                  </w:r>
                </w:p>
              </w:tc>
              <w:tc>
                <w:tcPr>
                  <w:tcW w:w="618" w:type="pct"/>
                  <w:noWrap w:val="0"/>
                  <w:vAlign w:val="center"/>
                </w:tcPr>
                <w:p w14:paraId="6C943811">
                  <w:pPr>
                    <w:pStyle w:val="95"/>
                    <w:spacing w:line="240" w:lineRule="auto"/>
                    <w:jc w:val="center"/>
                    <w:rPr>
                      <w:rFonts w:hint="default" w:ascii="Times New Roman" w:hAnsi="Times New Roman" w:cs="Times New Roman" w:eastAsiaTheme="minorEastAsia"/>
                      <w:color w:val="FF0000"/>
                      <w:sz w:val="21"/>
                      <w:szCs w:val="21"/>
                      <w:lang w:val="en-US" w:eastAsia="zh-CN"/>
                    </w:rPr>
                  </w:pPr>
                  <w:r>
                    <w:rPr>
                      <w:rFonts w:hint="eastAsia" w:cs="Times New Roman" w:eastAsiaTheme="minorEastAsia"/>
                      <w:color w:val="000000" w:themeColor="text1"/>
                      <w:sz w:val="21"/>
                      <w:szCs w:val="21"/>
                      <w:lang w:val="en-US" w:eastAsia="zh-CN"/>
                      <w14:textFill>
                        <w14:solidFill>
                          <w14:schemeClr w14:val="tx1"/>
                        </w14:solidFill>
                      </w14:textFill>
                    </w:rPr>
                    <w:t>77783-20-2</w:t>
                  </w:r>
                </w:p>
              </w:tc>
              <w:tc>
                <w:tcPr>
                  <w:tcW w:w="2170" w:type="pct"/>
                  <w:noWrap w:val="0"/>
                  <w:vAlign w:val="center"/>
                </w:tcPr>
                <w:p w14:paraId="1FD69696">
                  <w:pPr>
                    <w:pStyle w:val="95"/>
                    <w:spacing w:line="240" w:lineRule="auto"/>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无色结晶或白色颗粒，无气味；化学式：(NH</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vertAlign w:val="subscript"/>
                      <w:lang w:val="en-US" w:eastAsia="zh-CN"/>
                    </w:rPr>
                    <w:t>2</w:t>
                  </w:r>
                  <w:r>
                    <w:rPr>
                      <w:rFonts w:hint="default" w:ascii="Times New Roman" w:hAnsi="Times New Roman" w:cs="Times New Roman" w:eastAsiaTheme="minorEastAsia"/>
                      <w:color w:val="auto"/>
                      <w:sz w:val="21"/>
                      <w:szCs w:val="21"/>
                      <w:lang w:val="en-US" w:eastAsia="zh-CN"/>
                    </w:rPr>
                    <w:t>SO</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vertAlign w:val="baseline"/>
                      <w:lang w:val="en-US" w:eastAsia="zh-CN"/>
                    </w:rPr>
                    <w:t>；密度：2.51g/cm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；熔点：772</w:t>
                  </w:r>
                  <w:r>
                    <w:rPr>
                      <w:rFonts w:hint="default" w:ascii="Times New Roman" w:hAnsi="Times New Roman" w:eastAsia="宋体" w:cs="Times New Roman"/>
                      <w:color w:val="auto"/>
                      <w:sz w:val="21"/>
                      <w:szCs w:val="21"/>
                      <w:vertAlign w:val="baseline"/>
                      <w:lang w:val="en-US" w:eastAsia="zh-CN"/>
                    </w:rPr>
                    <w:t>℃；沸点：</w:t>
                  </w:r>
                  <w:r>
                    <w:rPr>
                      <w:rFonts w:hint="default" w:ascii="Times New Roman" w:hAnsi="Times New Roman" w:cs="Times New Roman" w:eastAsiaTheme="minorEastAsia"/>
                      <w:color w:val="auto"/>
                      <w:sz w:val="21"/>
                      <w:szCs w:val="21"/>
                      <w:vertAlign w:val="baseline"/>
                      <w:lang w:val="en-US" w:eastAsia="zh-CN"/>
                    </w:rPr>
                    <w:t>1600</w:t>
                  </w:r>
                  <w:r>
                    <w:rPr>
                      <w:rFonts w:hint="default" w:ascii="Times New Roman" w:hAnsi="Times New Roman" w:eastAsia="宋体" w:cs="Times New Roman"/>
                      <w:color w:val="auto"/>
                      <w:sz w:val="21"/>
                      <w:szCs w:val="21"/>
                      <w:vertAlign w:val="baseline"/>
                      <w:lang w:val="en-US" w:eastAsia="zh-CN"/>
                    </w:rPr>
                    <w:t>℃；易溶于水，溶解时放热。</w:t>
                  </w:r>
                </w:p>
              </w:tc>
              <w:tc>
                <w:tcPr>
                  <w:tcW w:w="1144" w:type="pct"/>
                  <w:noWrap w:val="0"/>
                  <w:vAlign w:val="center"/>
                </w:tcPr>
                <w:p w14:paraId="32ACE0C1">
                  <w:pPr>
                    <w:spacing w:line="240" w:lineRule="auto"/>
                    <w:jc w:val="center"/>
                    <w:rPr>
                      <w:rFonts w:hint="default" w:ascii="Times New Roman" w:hAnsi="Times New Roman" w:cs="Times New Roman" w:eastAsiaTheme="minorEastAsia"/>
                      <w:color w:val="FF0000"/>
                      <w:sz w:val="21"/>
                      <w:szCs w:val="21"/>
                    </w:rPr>
                  </w:pPr>
                  <w:r>
                    <w:rPr>
                      <w:rFonts w:hint="eastAsia" w:cs="Times New Roman" w:eastAsiaTheme="minorEastAsia"/>
                      <w:color w:val="auto"/>
                      <w:sz w:val="21"/>
                      <w:szCs w:val="21"/>
                      <w:lang w:val="en-US" w:eastAsia="zh-CN"/>
                    </w:rPr>
                    <w:t>无资料</w:t>
                  </w:r>
                </w:p>
              </w:tc>
              <w:tc>
                <w:tcPr>
                  <w:tcW w:w="516" w:type="pct"/>
                  <w:noWrap w:val="0"/>
                  <w:vAlign w:val="center"/>
                </w:tcPr>
                <w:p w14:paraId="6F820F01">
                  <w:pPr>
                    <w:pStyle w:val="95"/>
                    <w:spacing w:line="240" w:lineRule="auto"/>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5B884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200137E3">
                  <w:pPr>
                    <w:pStyle w:val="95"/>
                    <w:spacing w:line="240" w:lineRule="auto"/>
                    <w:jc w:val="center"/>
                    <w:rPr>
                      <w:rFonts w:hint="default" w:ascii="Times New Roman" w:hAnsi="Times New Roman" w:cs="Times New Roman" w:eastAsiaTheme="minorEastAsia"/>
                      <w:color w:val="auto"/>
                      <w:sz w:val="21"/>
                      <w:szCs w:val="21"/>
                    </w:rPr>
                  </w:pPr>
                  <w:bookmarkStart w:id="46" w:name="OLE_LINK43"/>
                  <w:r>
                    <w:rPr>
                      <w:rFonts w:hint="default" w:ascii="Times New Roman" w:hAnsi="Times New Roman" w:cs="Times New Roman" w:eastAsiaTheme="minorEastAsia"/>
                      <w:color w:val="auto"/>
                      <w:sz w:val="21"/>
                      <w:szCs w:val="21"/>
                    </w:rPr>
                    <w:t>硫酸卡那霉素</w:t>
                  </w:r>
                  <w:bookmarkEnd w:id="46"/>
                </w:p>
              </w:tc>
              <w:tc>
                <w:tcPr>
                  <w:tcW w:w="618" w:type="pct"/>
                  <w:noWrap w:val="0"/>
                  <w:vAlign w:val="center"/>
                </w:tcPr>
                <w:p w14:paraId="114F45CB">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70560-51-9</w:t>
                  </w:r>
                </w:p>
              </w:tc>
              <w:tc>
                <w:tcPr>
                  <w:tcW w:w="2170" w:type="pct"/>
                  <w:noWrap w:val="0"/>
                  <w:vAlign w:val="center"/>
                </w:tcPr>
                <w:p w14:paraId="3057D879">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本品为无色至微带黄色或黄绿色的澄明液体；熔点：250</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w:t>
                  </w:r>
                </w:p>
              </w:tc>
              <w:tc>
                <w:tcPr>
                  <w:tcW w:w="1144" w:type="pct"/>
                  <w:noWrap w:val="0"/>
                  <w:vAlign w:val="center"/>
                </w:tcPr>
                <w:p w14:paraId="568A4E2B">
                  <w:pPr>
                    <w:spacing w:line="240" w:lineRule="auto"/>
                    <w:jc w:val="center"/>
                    <w:rPr>
                      <w:rFonts w:hint="default" w:ascii="Times New Roman" w:hAnsi="Times New Roman" w:cs="Times New Roman" w:eastAsiaTheme="minorEastAsia"/>
                      <w:color w:val="FF0000"/>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3ACA7611">
                  <w:pPr>
                    <w:pStyle w:val="95"/>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24EAA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5431ECCB">
                  <w:pPr>
                    <w:pStyle w:val="95"/>
                    <w:spacing w:line="240" w:lineRule="auto"/>
                    <w:jc w:val="center"/>
                    <w:rPr>
                      <w:rFonts w:hint="default" w:ascii="Times New Roman" w:hAnsi="Times New Roman" w:cs="Times New Roman" w:eastAsiaTheme="minorEastAsia"/>
                      <w:color w:val="auto"/>
                      <w:sz w:val="21"/>
                      <w:szCs w:val="21"/>
                    </w:rPr>
                  </w:pPr>
                  <w:bookmarkStart w:id="47" w:name="OLE_LINK44"/>
                  <w:r>
                    <w:rPr>
                      <w:rFonts w:hint="default" w:ascii="Times New Roman" w:hAnsi="Times New Roman" w:cs="Times New Roman" w:eastAsiaTheme="minorEastAsia"/>
                      <w:color w:val="auto"/>
                      <w:sz w:val="21"/>
                      <w:szCs w:val="21"/>
                    </w:rPr>
                    <w:t>氨苄青霉素</w:t>
                  </w:r>
                  <w:bookmarkEnd w:id="47"/>
                </w:p>
              </w:tc>
              <w:tc>
                <w:tcPr>
                  <w:tcW w:w="618" w:type="pct"/>
                  <w:noWrap w:val="0"/>
                  <w:vAlign w:val="center"/>
                </w:tcPr>
                <w:p w14:paraId="30CBCD24">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69-53-4</w:t>
                  </w:r>
                </w:p>
              </w:tc>
              <w:tc>
                <w:tcPr>
                  <w:tcW w:w="2170" w:type="pct"/>
                  <w:noWrap w:val="0"/>
                  <w:vAlign w:val="center"/>
                </w:tcPr>
                <w:p w14:paraId="0D5F7C2D">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白色结晶性粉末；化学C</w:t>
                  </w:r>
                  <w:r>
                    <w:rPr>
                      <w:rFonts w:hint="default" w:ascii="Times New Roman" w:hAnsi="Times New Roman" w:cs="Times New Roman" w:eastAsiaTheme="minorEastAsia"/>
                      <w:color w:val="auto"/>
                      <w:sz w:val="21"/>
                      <w:szCs w:val="21"/>
                      <w:vertAlign w:val="subscript"/>
                      <w:lang w:val="en-US" w:eastAsia="zh-CN"/>
                    </w:rPr>
                    <w:t>16</w:t>
                  </w:r>
                  <w:r>
                    <w:rPr>
                      <w:rFonts w:hint="default" w:ascii="Times New Roman" w:hAnsi="Times New Roman" w:cs="Times New Roman" w:eastAsiaTheme="minorEastAsia"/>
                      <w:color w:val="auto"/>
                      <w:sz w:val="21"/>
                      <w:szCs w:val="21"/>
                      <w:lang w:val="en-US" w:eastAsia="zh-CN"/>
                    </w:rPr>
                    <w:t>H</w:t>
                  </w:r>
                  <w:r>
                    <w:rPr>
                      <w:rFonts w:hint="default" w:ascii="Times New Roman" w:hAnsi="Times New Roman" w:cs="Times New Roman" w:eastAsiaTheme="minorEastAsia"/>
                      <w:color w:val="auto"/>
                      <w:sz w:val="21"/>
                      <w:szCs w:val="21"/>
                      <w:vertAlign w:val="subscript"/>
                      <w:lang w:val="en-US" w:eastAsia="zh-CN"/>
                    </w:rPr>
                    <w:t>19</w:t>
                  </w:r>
                  <w:r>
                    <w:rPr>
                      <w:rFonts w:hint="default" w:ascii="Times New Roman" w:hAnsi="Times New Roman" w:cs="Times New Roman" w:eastAsiaTheme="minorEastAsia"/>
                      <w:color w:val="auto"/>
                      <w:sz w:val="21"/>
                      <w:szCs w:val="21"/>
                      <w:lang w:val="en-US" w:eastAsia="zh-CN"/>
                    </w:rPr>
                    <w:t>N</w:t>
                  </w:r>
                  <w:r>
                    <w:rPr>
                      <w:rFonts w:hint="default" w:ascii="Times New Roman" w:hAnsi="Times New Roman" w:cs="Times New Roman" w:eastAsiaTheme="minorEastAsia"/>
                      <w:color w:val="auto"/>
                      <w:sz w:val="21"/>
                      <w:szCs w:val="21"/>
                      <w:vertAlign w:val="subscript"/>
                      <w:lang w:val="en-US" w:eastAsia="zh-CN"/>
                    </w:rPr>
                    <w:t>3</w:t>
                  </w:r>
                  <w:r>
                    <w:rPr>
                      <w:rFonts w:hint="default" w:ascii="Times New Roman" w:hAnsi="Times New Roman" w:cs="Times New Roman" w:eastAsiaTheme="minorEastAsia"/>
                      <w:color w:val="auto"/>
                      <w:sz w:val="21"/>
                      <w:szCs w:val="21"/>
                      <w:lang w:val="en-US" w:eastAsia="zh-CN"/>
                    </w:rPr>
                    <w:t>O</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lang w:val="en-US" w:eastAsia="zh-CN"/>
                    </w:rPr>
                    <w:t>S；</w:t>
                  </w:r>
                  <w:r>
                    <w:rPr>
                      <w:rFonts w:hint="default" w:ascii="Times New Roman" w:hAnsi="Times New Roman" w:cs="Times New Roman" w:eastAsiaTheme="minorEastAsia"/>
                      <w:color w:val="auto"/>
                      <w:sz w:val="21"/>
                      <w:szCs w:val="21"/>
                      <w:vertAlign w:val="baseline"/>
                      <w:lang w:val="en-US" w:eastAsia="zh-CN"/>
                    </w:rPr>
                    <w:t>密度：1.45g/cm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；熔点：198-200 </w:t>
                  </w:r>
                  <w:r>
                    <w:rPr>
                      <w:rFonts w:hint="default" w:ascii="Times New Roman" w:hAnsi="Times New Roman" w:eastAsia="宋体" w:cs="Times New Roman"/>
                      <w:color w:val="auto"/>
                      <w:sz w:val="21"/>
                      <w:szCs w:val="21"/>
                      <w:vertAlign w:val="baseline"/>
                      <w:lang w:val="en-US" w:eastAsia="zh-CN"/>
                    </w:rPr>
                    <w:t>℃；沸点：683.9℃；</w:t>
                  </w:r>
                  <w:r>
                    <w:rPr>
                      <w:rFonts w:hint="default" w:ascii="Times New Roman" w:hAnsi="Times New Roman" w:cs="Times New Roman"/>
                      <w:color w:val="auto"/>
                      <w:sz w:val="21"/>
                      <w:szCs w:val="21"/>
                      <w:vertAlign w:val="baseline"/>
                      <w:lang w:val="en-US" w:eastAsia="zh-CN"/>
                    </w:rPr>
                    <w:t>闪点：367.4℃；溶于稀酸和稀碱，微溶于水，几乎不溶于氯仿。</w:t>
                  </w:r>
                </w:p>
              </w:tc>
              <w:tc>
                <w:tcPr>
                  <w:tcW w:w="1144" w:type="pct"/>
                  <w:noWrap w:val="0"/>
                  <w:vAlign w:val="center"/>
                </w:tcPr>
                <w:p w14:paraId="4DF66C71">
                  <w:pPr>
                    <w:pStyle w:val="95"/>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auto"/>
                      <w:sz w:val="21"/>
                      <w:szCs w:val="21"/>
                      <w:lang w:val="en-US" w:eastAsia="zh-CN"/>
                    </w:rPr>
                    <w:t>无资料</w:t>
                  </w:r>
                </w:p>
              </w:tc>
              <w:tc>
                <w:tcPr>
                  <w:tcW w:w="516" w:type="pct"/>
                  <w:noWrap w:val="0"/>
                  <w:vAlign w:val="center"/>
                </w:tcPr>
                <w:p w14:paraId="77A2709C">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79DA8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1E9E087B">
                  <w:pPr>
                    <w:pStyle w:val="84"/>
                    <w:spacing w:line="70" w:lineRule="atLeast"/>
                    <w:jc w:val="center"/>
                    <w:rPr>
                      <w:rFonts w:hint="default" w:ascii="Times New Roman" w:hAnsi="Times New Roman" w:cs="Times New Roman" w:eastAsiaTheme="minorEastAsia"/>
                      <w:color w:val="auto"/>
                      <w:kern w:val="0"/>
                      <w:sz w:val="21"/>
                      <w:szCs w:val="21"/>
                      <w:lang w:val="en-US" w:eastAsia="zh-CN" w:bidi="ar-SA"/>
                    </w:rPr>
                  </w:pPr>
                  <w:bookmarkStart w:id="48" w:name="OLE_LINK2"/>
                  <w:r>
                    <w:rPr>
                      <w:rFonts w:hint="eastAsia" w:ascii="Times New Roman" w:hAnsi="Times New Roman" w:cs="Times New Roman" w:eastAsiaTheme="minorEastAsia"/>
                      <w:color w:val="auto"/>
                      <w:sz w:val="21"/>
                      <w:szCs w:val="21"/>
                      <w:lang w:val="en-US" w:eastAsia="zh-CN"/>
                    </w:rPr>
                    <w:t>大肠杆菌</w:t>
                  </w:r>
                  <w:bookmarkEnd w:id="48"/>
                </w:p>
              </w:tc>
              <w:tc>
                <w:tcPr>
                  <w:tcW w:w="618" w:type="pct"/>
                  <w:noWrap w:val="0"/>
                  <w:vAlign w:val="center"/>
                </w:tcPr>
                <w:p w14:paraId="7BEBAF44">
                  <w:pPr>
                    <w:widowControl/>
                    <w:spacing w:line="320" w:lineRule="exact"/>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sz w:val="21"/>
                      <w:szCs w:val="21"/>
                      <w:lang w:val="en-US" w:eastAsia="zh-CN"/>
                    </w:rPr>
                    <w:t>/</w:t>
                  </w:r>
                </w:p>
              </w:tc>
              <w:tc>
                <w:tcPr>
                  <w:tcW w:w="2170" w:type="pct"/>
                  <w:noWrap w:val="0"/>
                  <w:vAlign w:val="center"/>
                </w:tcPr>
                <w:p w14:paraId="67618378">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大肠杆菌是短杆菌，两端呈钝圆形，革兰阴性。有时因环境不同，个别菌体出现近似球杆状或长丝状；大肠杆菌多是单一或两个存在，但不会排列呈长链形状；大多数的大肠杆菌菌株具有荚膜或微荚膜结构，但是不能形成芽孢；多数大肠杆菌菌株生长有菌毛，其中一些菌毛是针对宿主及其他的一些组织或细胞具有黏附作用的宿主特异性菌毛</w:t>
                  </w:r>
                </w:p>
              </w:tc>
              <w:tc>
                <w:tcPr>
                  <w:tcW w:w="1906" w:type="dxa"/>
                  <w:noWrap w:val="0"/>
                  <w:vAlign w:val="center"/>
                </w:tcPr>
                <w:p w14:paraId="5752F423">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643FA3A2">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3B6FE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7CC7838C">
                  <w:pPr>
                    <w:pStyle w:val="84"/>
                    <w:spacing w:line="70" w:lineRule="atLeast"/>
                    <w:jc w:val="center"/>
                    <w:rPr>
                      <w:rFonts w:hint="default" w:ascii="Times New Roman" w:hAnsi="Times New Roman" w:cs="Times New Roman" w:eastAsiaTheme="minorEastAsia"/>
                      <w:color w:val="auto"/>
                      <w:kern w:val="0"/>
                      <w:sz w:val="21"/>
                      <w:szCs w:val="21"/>
                      <w:lang w:val="en-US" w:eastAsia="zh-CN" w:bidi="ar-SA"/>
                    </w:rPr>
                  </w:pPr>
                  <w:bookmarkStart w:id="49" w:name="OLE_LINK45"/>
                  <w:r>
                    <w:rPr>
                      <w:rFonts w:hint="eastAsia" w:ascii="Times New Roman" w:hAnsi="Times New Roman" w:cs="Times New Roman" w:eastAsiaTheme="minorEastAsia"/>
                      <w:color w:val="auto"/>
                      <w:sz w:val="21"/>
                      <w:szCs w:val="21"/>
                      <w:lang w:val="en-US" w:eastAsia="zh-CN"/>
                    </w:rPr>
                    <w:t>聚合酶</w:t>
                  </w:r>
                  <w:bookmarkEnd w:id="49"/>
                </w:p>
              </w:tc>
              <w:tc>
                <w:tcPr>
                  <w:tcW w:w="618" w:type="pct"/>
                  <w:noWrap w:val="0"/>
                  <w:vAlign w:val="center"/>
                </w:tcPr>
                <w:p w14:paraId="1DFB812E">
                  <w:pPr>
                    <w:pStyle w:val="84"/>
                    <w:spacing w:line="70" w:lineRule="atLeast"/>
                    <w:jc w:val="center"/>
                    <w:rPr>
                      <w:rFonts w:hint="default" w:ascii="仿宋_GB2312" w:hAnsi="宋体"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bidi="ar-SA"/>
                    </w:rPr>
                    <w:t>9012-90-2</w:t>
                  </w:r>
                </w:p>
              </w:tc>
              <w:tc>
                <w:tcPr>
                  <w:tcW w:w="2170" w:type="pct"/>
                  <w:noWrap w:val="0"/>
                  <w:vAlign w:val="center"/>
                </w:tcPr>
                <w:p w14:paraId="580CD278">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聚合酶是一类生物催化剂，能够催化脱氧核糖核酸（DNA）和核糖核酸（RNA）的合成。聚合酶的化学性质稳定，通常对温度和pH值有一定的耐受范围。其分子结构包括多个结构域，如拇指结构域、食指结构域、手掌结构域和核酸外切酶结构域。这些结构域共同协作，确保聚合酶的高效催化作用‌</w:t>
                  </w:r>
                </w:p>
              </w:tc>
              <w:tc>
                <w:tcPr>
                  <w:tcW w:w="1906" w:type="dxa"/>
                  <w:noWrap w:val="0"/>
                  <w:vAlign w:val="center"/>
                </w:tcPr>
                <w:p w14:paraId="18AFF1FC">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2C34D153">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r w14:paraId="4F970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noWrap w:val="0"/>
                  <w:vAlign w:val="center"/>
                </w:tcPr>
                <w:p w14:paraId="59204F30">
                  <w:pPr>
                    <w:pStyle w:val="84"/>
                    <w:spacing w:line="70" w:lineRule="atLeast"/>
                    <w:jc w:val="center"/>
                    <w:rPr>
                      <w:rFonts w:hint="default" w:ascii="Times New Roman" w:hAnsi="Times New Roman" w:cs="Times New Roman" w:eastAsiaTheme="minorEastAsia"/>
                      <w:color w:val="auto"/>
                      <w:kern w:val="0"/>
                      <w:sz w:val="21"/>
                      <w:szCs w:val="21"/>
                      <w:lang w:val="en-US" w:eastAsia="zh-CN" w:bidi="ar-SA"/>
                    </w:rPr>
                  </w:pPr>
                  <w:bookmarkStart w:id="50" w:name="OLE_LINK46"/>
                  <w:r>
                    <w:rPr>
                      <w:rFonts w:hint="eastAsia" w:ascii="Times New Roman" w:hAnsi="Times New Roman" w:cs="Times New Roman" w:eastAsiaTheme="minorEastAsia"/>
                      <w:color w:val="auto"/>
                      <w:sz w:val="21"/>
                      <w:szCs w:val="21"/>
                      <w:lang w:val="en-US" w:eastAsia="zh-CN"/>
                    </w:rPr>
                    <w:t>脱氧核苷酸</w:t>
                  </w:r>
                  <w:bookmarkEnd w:id="50"/>
                </w:p>
              </w:tc>
              <w:tc>
                <w:tcPr>
                  <w:tcW w:w="618" w:type="pct"/>
                  <w:noWrap w:val="0"/>
                  <w:vAlign w:val="center"/>
                </w:tcPr>
                <w:p w14:paraId="799C434C">
                  <w:pPr>
                    <w:pStyle w:val="84"/>
                    <w:spacing w:line="70" w:lineRule="atLeast"/>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bidi="ar-SA"/>
                    </w:rPr>
                    <w:t>9027-67-2</w:t>
                  </w:r>
                </w:p>
              </w:tc>
              <w:tc>
                <w:tcPr>
                  <w:tcW w:w="2170" w:type="pct"/>
                  <w:noWrap w:val="0"/>
                  <w:vAlign w:val="center"/>
                </w:tcPr>
                <w:p w14:paraId="1CF2A3C0">
                  <w:pPr>
                    <w:pStyle w:val="95"/>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DNA是高分子聚合物，其溶液具有高粘度，可以被</w:t>
                  </w:r>
                  <w:r>
                    <w:rPr>
                      <w:rFonts w:hint="default" w:ascii="Times New Roman" w:hAnsi="Times New Roman" w:cs="Times New Roman" w:eastAsiaTheme="minorEastAsia"/>
                      <w:color w:val="auto"/>
                      <w:sz w:val="21"/>
                      <w:szCs w:val="21"/>
                      <w:lang w:val="en-US" w:eastAsia="zh-CN"/>
                    </w:rPr>
                    <w:fldChar w:fldCharType="begin"/>
                  </w:r>
                  <w:r>
                    <w:rPr>
                      <w:rFonts w:hint="default" w:ascii="Times New Roman" w:hAnsi="Times New Roman" w:cs="Times New Roman" w:eastAsiaTheme="minorEastAsia"/>
                      <w:color w:val="auto"/>
                      <w:sz w:val="21"/>
                      <w:szCs w:val="21"/>
                      <w:lang w:val="en-US" w:eastAsia="zh-CN"/>
                    </w:rPr>
                    <w:instrText xml:space="preserve"> HYPERLINK "https://www.baidu.com/s?rsv_dl=re_dqa_generate&amp;sa=re_dqa_generate&amp;wd=%E7%94%B2%E5%9F%BA%E7%BB%BF&amp;rsv_pq=a5d9382b017fc8d2&amp;oq=%E8%84%B1%E6%B0%A7%E6%A0%B8%E8%8B%B7%E9%85%B8%E7%90%86%E5%8C%96%E6%80%A7%E8%B4%A8&amp;rsv_t=d231e49jXiX0H3FqxtWkdoFucsIQLKwW+FwKwXZq7UlXrpI5PkmnQUKzf2c&amp;tn=baidu&amp;ie=utf-8" \t "https://www.baidu.com/_blank" </w:instrText>
                  </w:r>
                  <w:r>
                    <w:rPr>
                      <w:rFonts w:hint="default" w:ascii="Times New Roman" w:hAnsi="Times New Roman" w:cs="Times New Roman" w:eastAsiaTheme="minorEastAsia"/>
                      <w:color w:val="auto"/>
                      <w:sz w:val="21"/>
                      <w:szCs w:val="21"/>
                      <w:lang w:val="en-US" w:eastAsia="zh-CN"/>
                    </w:rPr>
                    <w:fldChar w:fldCharType="separate"/>
                  </w:r>
                  <w:r>
                    <w:rPr>
                      <w:rFonts w:hint="default" w:ascii="Times New Roman" w:hAnsi="Times New Roman" w:cs="Times New Roman" w:eastAsiaTheme="minorEastAsia"/>
                      <w:color w:val="auto"/>
                      <w:sz w:val="21"/>
                      <w:szCs w:val="21"/>
                      <w:lang w:val="en-US" w:eastAsia="zh-CN"/>
                    </w:rPr>
                    <w:t>甲基绿</w:t>
                  </w:r>
                  <w:r>
                    <w:rPr>
                      <w:rFonts w:hint="default" w:ascii="Times New Roman" w:hAnsi="Times New Roman" w:cs="Times New Roman" w:eastAsiaTheme="minorEastAsia"/>
                      <w:color w:val="auto"/>
                      <w:sz w:val="21"/>
                      <w:szCs w:val="21"/>
                      <w:lang w:val="en-US" w:eastAsia="zh-CN"/>
                    </w:rPr>
                    <w:fldChar w:fldCharType="end"/>
                  </w:r>
                  <w:r>
                    <w:rPr>
                      <w:rFonts w:hint="default" w:ascii="Times New Roman" w:hAnsi="Times New Roman" w:cs="Times New Roman" w:eastAsiaTheme="minorEastAsia"/>
                      <w:color w:val="auto"/>
                      <w:sz w:val="21"/>
                      <w:szCs w:val="21"/>
                      <w:lang w:val="en-US" w:eastAsia="zh-CN"/>
                    </w:rPr>
                    <w:t>染成绿色。DNA对紫外线（260nm）有吸收作用，这一特性常用于DNA的含量测定。当DNA变性时，吸光度会增加，这种现象称为增色效应；当变性DNA重新复性时，吸光度又会恢复到原来的水平；‌较高温度、有机溶剂、酸碱试剂、尿素等都可以引起DNA分子变性，即DNA双链碱基间的氢键断裂，双螺旋结构解开，这种现象称为DNA的解螺旋‌。</w:t>
                  </w:r>
                </w:p>
              </w:tc>
              <w:tc>
                <w:tcPr>
                  <w:tcW w:w="1906" w:type="dxa"/>
                  <w:noWrap w:val="0"/>
                  <w:vAlign w:val="center"/>
                </w:tcPr>
                <w:p w14:paraId="7D246CEB">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无资料</w:t>
                  </w:r>
                </w:p>
              </w:tc>
              <w:tc>
                <w:tcPr>
                  <w:tcW w:w="516" w:type="pct"/>
                  <w:noWrap w:val="0"/>
                  <w:vAlign w:val="center"/>
                </w:tcPr>
                <w:p w14:paraId="7C65094A">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燃</w:t>
                  </w:r>
                </w:p>
              </w:tc>
            </w:tr>
          </w:tbl>
          <w:p w14:paraId="77443CB7">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eastAsia"/>
                <w:b/>
                <w:bCs/>
                <w:color w:val="auto"/>
                <w:kern w:val="0"/>
                <w:sz w:val="24"/>
                <w:szCs w:val="24"/>
                <w:lang w:val="en-US" w:eastAsia="zh-CN"/>
              </w:rPr>
            </w:pPr>
            <w:r>
              <w:rPr>
                <w:rFonts w:hint="eastAsia"/>
                <w:b/>
                <w:bCs/>
                <w:color w:val="auto"/>
                <w:kern w:val="0"/>
                <w:sz w:val="24"/>
                <w:szCs w:val="24"/>
                <w:lang w:val="en-US" w:eastAsia="zh-CN"/>
              </w:rPr>
              <w:t>7、水平衡</w:t>
            </w:r>
          </w:p>
          <w:p w14:paraId="51A6DE41">
            <w:pPr>
              <w:keepNext w:val="0"/>
              <w:keepLines w:val="0"/>
              <w:pageBreakBefore w:val="0"/>
              <w:widowControl w:val="0"/>
              <w:kinsoku/>
              <w:wordWrap/>
              <w:overflowPunct/>
              <w:topLinePunct w:val="0"/>
              <w:bidi w:val="0"/>
              <w:spacing w:line="480" w:lineRule="exact"/>
              <w:ind w:firstLine="480" w:firstLineChars="200"/>
              <w:textAlignment w:val="auto"/>
              <w:rPr>
                <w:sz w:val="24"/>
                <w:szCs w:val="24"/>
              </w:rPr>
            </w:pPr>
            <w:r>
              <w:rPr>
                <w:bCs/>
                <w:color w:val="auto"/>
                <w:sz w:val="24"/>
                <w:szCs w:val="24"/>
              </w:rPr>
              <w:t>本项目用水由市政给水管网供应</w:t>
            </w:r>
            <w:r>
              <w:rPr>
                <w:rFonts w:hint="eastAsia"/>
                <w:bCs/>
                <w:color w:val="auto"/>
                <w:sz w:val="24"/>
                <w:szCs w:val="24"/>
              </w:rPr>
              <w:t>，</w:t>
            </w:r>
            <w:r>
              <w:rPr>
                <w:bCs/>
                <w:color w:val="auto"/>
                <w:sz w:val="24"/>
                <w:szCs w:val="24"/>
              </w:rPr>
              <w:t>为员工生活用水、</w:t>
            </w:r>
            <w:r>
              <w:rPr>
                <w:rFonts w:hint="eastAsia"/>
                <w:bCs/>
                <w:color w:val="auto"/>
                <w:sz w:val="24"/>
                <w:szCs w:val="24"/>
                <w:lang w:val="en-US" w:eastAsia="zh-CN"/>
              </w:rPr>
              <w:t>实验室器材清洗水、配置培养液用水、</w:t>
            </w:r>
            <w:bookmarkStart w:id="51" w:name="OLE_LINK7"/>
            <w:r>
              <w:rPr>
                <w:rFonts w:hint="eastAsia"/>
                <w:bCs/>
                <w:color w:val="auto"/>
                <w:sz w:val="24"/>
                <w:szCs w:val="24"/>
                <w:lang w:val="en-US" w:eastAsia="zh-CN"/>
              </w:rPr>
              <w:t>配置培养基用水</w:t>
            </w:r>
            <w:bookmarkEnd w:id="51"/>
            <w:r>
              <w:rPr>
                <w:rFonts w:hint="eastAsia"/>
                <w:bCs/>
                <w:color w:val="auto"/>
                <w:sz w:val="24"/>
                <w:szCs w:val="24"/>
                <w:lang w:val="en-US" w:eastAsia="zh-CN"/>
              </w:rPr>
              <w:t>、配置甘油保存液用水，制纯蒸汽用水</w:t>
            </w:r>
            <w:r>
              <w:rPr>
                <w:bCs/>
                <w:color w:val="auto"/>
                <w:sz w:val="24"/>
                <w:szCs w:val="24"/>
              </w:rPr>
              <w:t>，地面冲洗。</w:t>
            </w:r>
          </w:p>
          <w:p w14:paraId="04C8A82F">
            <w:pPr>
              <w:keepNext w:val="0"/>
              <w:keepLines w:val="0"/>
              <w:pageBreakBefore w:val="0"/>
              <w:widowControl w:val="0"/>
              <w:kinsoku/>
              <w:wordWrap/>
              <w:overflowPunct/>
              <w:topLinePunct w:val="0"/>
              <w:bidi w:val="0"/>
              <w:spacing w:line="480" w:lineRule="exact"/>
              <w:ind w:firstLine="480" w:firstLineChars="200"/>
              <w:textAlignment w:val="auto"/>
              <w:rPr>
                <w:rFonts w:hint="default" w:eastAsia="宋体"/>
                <w:bCs/>
                <w:color w:val="auto"/>
                <w:sz w:val="24"/>
                <w:szCs w:val="24"/>
                <w:lang w:val="en-US" w:eastAsia="zh-CN"/>
              </w:rPr>
            </w:pPr>
            <w:r>
              <w:rPr>
                <w:rFonts w:hint="eastAsia"/>
                <w:bCs/>
                <w:color w:val="auto"/>
                <w:sz w:val="24"/>
                <w:szCs w:val="24"/>
                <w:lang w:eastAsia="zh-CN"/>
              </w:rPr>
              <w:t>（</w:t>
            </w:r>
            <w:r>
              <w:rPr>
                <w:rFonts w:hint="eastAsia"/>
                <w:bCs/>
                <w:color w:val="auto"/>
                <w:sz w:val="24"/>
                <w:szCs w:val="24"/>
                <w:lang w:val="en-US" w:eastAsia="zh-CN"/>
              </w:rPr>
              <w:t>1</w:t>
            </w:r>
            <w:r>
              <w:rPr>
                <w:rFonts w:hint="eastAsia"/>
                <w:bCs/>
                <w:color w:val="auto"/>
                <w:sz w:val="24"/>
                <w:szCs w:val="24"/>
                <w:lang w:eastAsia="zh-CN"/>
              </w:rPr>
              <w:t>）</w:t>
            </w:r>
            <w:r>
              <w:rPr>
                <w:rFonts w:hint="eastAsia"/>
                <w:bCs/>
                <w:color w:val="auto"/>
                <w:sz w:val="24"/>
                <w:szCs w:val="24"/>
                <w:lang w:val="en-US" w:eastAsia="zh-CN"/>
              </w:rPr>
              <w:t>生活用水</w:t>
            </w:r>
          </w:p>
          <w:p w14:paraId="18A30479">
            <w:pPr>
              <w:keepNext w:val="0"/>
              <w:keepLines w:val="0"/>
              <w:pageBreakBefore w:val="0"/>
              <w:widowControl w:val="0"/>
              <w:kinsoku/>
              <w:wordWrap/>
              <w:overflowPunct/>
              <w:topLinePunct w:val="0"/>
              <w:bidi w:val="0"/>
              <w:spacing w:line="480" w:lineRule="exact"/>
              <w:ind w:firstLine="480" w:firstLineChars="200"/>
              <w:textAlignment w:val="auto"/>
              <w:rPr>
                <w:rFonts w:hint="eastAsia" w:eastAsia="宋体"/>
                <w:color w:val="auto"/>
                <w:kern w:val="0"/>
                <w:sz w:val="24"/>
                <w:szCs w:val="24"/>
                <w:lang w:val="en-US" w:eastAsia="zh-CN"/>
              </w:rPr>
            </w:pPr>
            <w:r>
              <w:rPr>
                <w:color w:val="auto"/>
                <w:kern w:val="0"/>
                <w:sz w:val="24"/>
                <w:szCs w:val="24"/>
              </w:rPr>
              <w:t>生活用水：项目劳动定员</w:t>
            </w:r>
            <w:r>
              <w:rPr>
                <w:rFonts w:hint="eastAsia"/>
                <w:color w:val="auto"/>
                <w:kern w:val="0"/>
                <w:sz w:val="24"/>
                <w:szCs w:val="24"/>
                <w:lang w:val="en-US" w:eastAsia="zh-CN"/>
              </w:rPr>
              <w:t>10</w:t>
            </w:r>
            <w:r>
              <w:rPr>
                <w:color w:val="auto"/>
                <w:kern w:val="0"/>
                <w:sz w:val="24"/>
                <w:szCs w:val="24"/>
              </w:rPr>
              <w:t>人，年工作日</w:t>
            </w:r>
            <w:r>
              <w:rPr>
                <w:rFonts w:hint="eastAsia"/>
                <w:color w:val="auto"/>
                <w:kern w:val="0"/>
                <w:sz w:val="24"/>
                <w:szCs w:val="24"/>
                <w:lang w:val="en-US" w:eastAsia="zh-CN"/>
              </w:rPr>
              <w:t>300</w:t>
            </w:r>
            <w:r>
              <w:rPr>
                <w:color w:val="auto"/>
                <w:kern w:val="0"/>
                <w:sz w:val="24"/>
                <w:szCs w:val="24"/>
              </w:rPr>
              <w:t>天，根据《江苏省林牧渔业、工业、服务业和生活用水定额（2019年修订）》，员工生活用水定额按100L/（人·d）计，则生活用水量为</w:t>
            </w:r>
            <w:r>
              <w:rPr>
                <w:rFonts w:hint="eastAsia"/>
                <w:color w:val="auto"/>
                <w:kern w:val="0"/>
                <w:sz w:val="24"/>
                <w:szCs w:val="24"/>
                <w:lang w:val="en-US" w:eastAsia="zh-CN"/>
              </w:rPr>
              <w:t>300</w:t>
            </w:r>
            <w:r>
              <w:rPr>
                <w:color w:val="auto"/>
                <w:kern w:val="0"/>
                <w:sz w:val="24"/>
                <w:szCs w:val="24"/>
              </w:rPr>
              <w:t>m</w:t>
            </w:r>
            <w:r>
              <w:rPr>
                <w:color w:val="auto"/>
                <w:kern w:val="0"/>
                <w:sz w:val="24"/>
                <w:szCs w:val="24"/>
                <w:vertAlign w:val="superscript"/>
              </w:rPr>
              <w:t>3</w:t>
            </w:r>
            <w:r>
              <w:rPr>
                <w:color w:val="auto"/>
                <w:kern w:val="0"/>
                <w:sz w:val="24"/>
                <w:szCs w:val="24"/>
              </w:rPr>
              <w:t>/a。</w:t>
            </w:r>
          </w:p>
          <w:p w14:paraId="5332401D">
            <w:pPr>
              <w:keepNext w:val="0"/>
              <w:keepLines w:val="0"/>
              <w:pageBreakBefore w:val="0"/>
              <w:widowControl w:val="0"/>
              <w:kinsoku/>
              <w:wordWrap/>
              <w:overflowPunct/>
              <w:topLinePunct w:val="0"/>
              <w:bidi w:val="0"/>
              <w:spacing w:line="480" w:lineRule="exact"/>
              <w:ind w:firstLine="480" w:firstLineChars="200"/>
              <w:textAlignment w:val="auto"/>
              <w:rPr>
                <w:sz w:val="24"/>
                <w:szCs w:val="24"/>
              </w:rPr>
            </w:pPr>
            <w:r>
              <w:rPr>
                <w:rFonts w:hint="eastAsia"/>
                <w:bCs/>
                <w:color w:val="auto"/>
                <w:sz w:val="24"/>
                <w:szCs w:val="24"/>
              </w:rPr>
              <w:t>生活用水产污率按0.8计，则生活污水量为</w:t>
            </w:r>
            <w:r>
              <w:rPr>
                <w:rFonts w:hint="eastAsia"/>
                <w:bCs/>
                <w:color w:val="auto"/>
                <w:sz w:val="24"/>
                <w:szCs w:val="24"/>
                <w:lang w:val="en-US" w:eastAsia="zh-CN"/>
              </w:rPr>
              <w:t>240</w:t>
            </w:r>
            <w:r>
              <w:rPr>
                <w:rFonts w:hint="eastAsia"/>
                <w:bCs/>
                <w:color w:val="auto"/>
                <w:sz w:val="24"/>
                <w:szCs w:val="24"/>
              </w:rPr>
              <w:t>m</w:t>
            </w:r>
            <w:r>
              <w:rPr>
                <w:rFonts w:hint="eastAsia"/>
                <w:bCs/>
                <w:color w:val="auto"/>
                <w:sz w:val="24"/>
                <w:szCs w:val="24"/>
                <w:vertAlign w:val="superscript"/>
              </w:rPr>
              <w:t>3</w:t>
            </w:r>
            <w:r>
              <w:rPr>
                <w:rFonts w:hint="eastAsia"/>
                <w:bCs/>
                <w:color w:val="auto"/>
                <w:sz w:val="24"/>
                <w:szCs w:val="24"/>
              </w:rPr>
              <w:t>/a，接管至金坛第二污水处理厂集中处理，处理后尾水排入尧塘河。</w:t>
            </w:r>
            <w:r>
              <w:rPr>
                <w:bCs/>
                <w:color w:val="auto"/>
                <w:sz w:val="24"/>
                <w:szCs w:val="24"/>
              </w:rPr>
              <w:t>主要污染物有COD、SS、NH</w:t>
            </w:r>
            <w:r>
              <w:rPr>
                <w:bCs/>
                <w:color w:val="auto"/>
                <w:sz w:val="24"/>
                <w:szCs w:val="24"/>
                <w:vertAlign w:val="subscript"/>
              </w:rPr>
              <w:t>3</w:t>
            </w:r>
            <w:r>
              <w:rPr>
                <w:bCs/>
                <w:color w:val="auto"/>
                <w:sz w:val="24"/>
                <w:szCs w:val="24"/>
              </w:rPr>
              <w:t>-N、TP、TN。</w:t>
            </w:r>
          </w:p>
          <w:p w14:paraId="600A4133">
            <w:pPr>
              <w:keepNext w:val="0"/>
              <w:keepLines w:val="0"/>
              <w:pageBreakBefore w:val="0"/>
              <w:widowControl w:val="0"/>
              <w:kinsoku/>
              <w:wordWrap/>
              <w:overflowPunct/>
              <w:topLinePunct w:val="0"/>
              <w:bidi w:val="0"/>
              <w:spacing w:line="480" w:lineRule="exact"/>
              <w:ind w:firstLine="480" w:firstLineChars="200"/>
              <w:textAlignment w:val="auto"/>
              <w:rPr>
                <w:rFonts w:hint="default"/>
                <w:color w:val="auto"/>
                <w:kern w:val="0"/>
                <w:sz w:val="24"/>
                <w:szCs w:val="24"/>
                <w:lang w:val="en-US" w:eastAsia="zh-CN"/>
              </w:rPr>
            </w:pPr>
            <w:r>
              <w:rPr>
                <w:rFonts w:hint="eastAsia"/>
                <w:color w:val="auto"/>
                <w:kern w:val="0"/>
                <w:sz w:val="24"/>
                <w:szCs w:val="24"/>
                <w:lang w:eastAsia="zh-CN"/>
              </w:rPr>
              <w:t>（</w:t>
            </w:r>
            <w:r>
              <w:rPr>
                <w:rFonts w:hint="eastAsia"/>
                <w:color w:val="auto"/>
                <w:kern w:val="0"/>
                <w:sz w:val="24"/>
                <w:szCs w:val="24"/>
                <w:lang w:val="en-US" w:eastAsia="zh-CN"/>
              </w:rPr>
              <w:t>2</w:t>
            </w:r>
            <w:r>
              <w:rPr>
                <w:rFonts w:hint="eastAsia"/>
                <w:color w:val="auto"/>
                <w:kern w:val="0"/>
                <w:sz w:val="24"/>
                <w:szCs w:val="24"/>
                <w:lang w:eastAsia="zh-CN"/>
              </w:rPr>
              <w:t>）</w:t>
            </w:r>
            <w:r>
              <w:rPr>
                <w:rFonts w:hint="eastAsia"/>
                <w:bCs/>
                <w:color w:val="auto"/>
                <w:sz w:val="24"/>
                <w:szCs w:val="24"/>
                <w:lang w:val="en-US" w:eastAsia="zh-CN"/>
              </w:rPr>
              <w:t>配置培养液用水</w:t>
            </w:r>
          </w:p>
          <w:p w14:paraId="24740BAB">
            <w:pPr>
              <w:keepNext w:val="0"/>
              <w:keepLines w:val="0"/>
              <w:pageBreakBefore w:val="0"/>
              <w:widowControl w:val="0"/>
              <w:kinsoku/>
              <w:wordWrap/>
              <w:overflowPunct/>
              <w:topLinePunct w:val="0"/>
              <w:bidi w:val="0"/>
              <w:spacing w:line="480" w:lineRule="exact"/>
              <w:ind w:firstLine="480" w:firstLineChars="200"/>
              <w:textAlignment w:val="auto"/>
              <w:rPr>
                <w:rFonts w:hint="eastAsia"/>
                <w:color w:val="auto"/>
                <w:kern w:val="0"/>
                <w:sz w:val="24"/>
                <w:szCs w:val="24"/>
                <w:lang w:val="en-US" w:eastAsia="zh-CN"/>
              </w:rPr>
            </w:pPr>
            <w:r>
              <w:rPr>
                <w:rFonts w:hint="eastAsia"/>
                <w:color w:val="auto"/>
                <w:kern w:val="0"/>
                <w:sz w:val="24"/>
                <w:szCs w:val="24"/>
                <w:lang w:val="en-US" w:eastAsia="zh-CN"/>
              </w:rPr>
              <w:t>根据企业提供数据，配制发酵培养液使用外购纯水的量为0.45t/a</w:t>
            </w:r>
            <w:r>
              <w:rPr>
                <w:color w:val="auto"/>
                <w:kern w:val="0"/>
                <w:sz w:val="24"/>
                <w:szCs w:val="24"/>
              </w:rPr>
              <w:t>。</w:t>
            </w:r>
          </w:p>
          <w:p w14:paraId="4145B6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kern w:val="0"/>
                <w:sz w:val="24"/>
                <w:szCs w:val="24"/>
                <w:lang w:val="en-US" w:eastAsia="zh-CN"/>
              </w:rPr>
            </w:pPr>
            <w:r>
              <w:rPr>
                <w:rFonts w:hint="eastAsia"/>
                <w:color w:val="auto"/>
                <w:kern w:val="0"/>
                <w:sz w:val="24"/>
                <w:szCs w:val="24"/>
                <w:lang w:eastAsia="zh-CN"/>
              </w:rPr>
              <w:t>（</w:t>
            </w:r>
            <w:r>
              <w:rPr>
                <w:rFonts w:hint="eastAsia"/>
                <w:color w:val="auto"/>
                <w:kern w:val="0"/>
                <w:sz w:val="24"/>
                <w:szCs w:val="24"/>
                <w:lang w:val="en-US" w:eastAsia="zh-CN"/>
              </w:rPr>
              <w:t>3</w:t>
            </w:r>
            <w:r>
              <w:rPr>
                <w:rFonts w:hint="eastAsia"/>
                <w:color w:val="auto"/>
                <w:kern w:val="0"/>
                <w:sz w:val="24"/>
                <w:szCs w:val="24"/>
                <w:lang w:eastAsia="zh-CN"/>
              </w:rPr>
              <w:t>）</w:t>
            </w:r>
            <w:r>
              <w:rPr>
                <w:rFonts w:hint="eastAsia"/>
                <w:bCs/>
                <w:color w:val="auto"/>
                <w:sz w:val="24"/>
                <w:szCs w:val="24"/>
                <w:lang w:val="en-US" w:eastAsia="zh-CN"/>
              </w:rPr>
              <w:t>配置固体培养基</w:t>
            </w:r>
            <w:r>
              <w:rPr>
                <w:rFonts w:hint="eastAsia"/>
                <w:color w:val="auto"/>
                <w:kern w:val="0"/>
                <w:sz w:val="24"/>
                <w:szCs w:val="24"/>
                <w:lang w:val="en-US" w:eastAsia="zh-CN"/>
              </w:rPr>
              <w:t>用水</w:t>
            </w:r>
          </w:p>
          <w:p w14:paraId="4FF7EDB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kern w:val="0"/>
                <w:sz w:val="24"/>
                <w:szCs w:val="24"/>
              </w:rPr>
            </w:pPr>
            <w:r>
              <w:rPr>
                <w:rFonts w:hint="eastAsia"/>
                <w:color w:val="auto"/>
                <w:kern w:val="0"/>
                <w:sz w:val="24"/>
                <w:szCs w:val="24"/>
                <w:lang w:val="en-US" w:eastAsia="zh-CN"/>
              </w:rPr>
              <w:t>根据企业提供数据，配置固体培养基使用外购纯水的用量为0.1t/a</w:t>
            </w:r>
            <w:r>
              <w:rPr>
                <w:color w:val="auto"/>
                <w:kern w:val="0"/>
                <w:sz w:val="24"/>
                <w:szCs w:val="24"/>
              </w:rPr>
              <w:t>。</w:t>
            </w:r>
          </w:p>
          <w:p w14:paraId="4428BA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kern w:val="0"/>
                <w:sz w:val="24"/>
                <w:szCs w:val="24"/>
                <w:lang w:val="en-US" w:eastAsia="zh-CN"/>
              </w:rPr>
            </w:pPr>
            <w:r>
              <w:rPr>
                <w:rFonts w:hint="eastAsia"/>
                <w:color w:val="auto"/>
                <w:kern w:val="0"/>
                <w:sz w:val="24"/>
                <w:szCs w:val="24"/>
                <w:lang w:eastAsia="zh-CN"/>
              </w:rPr>
              <w:t>（</w:t>
            </w:r>
            <w:r>
              <w:rPr>
                <w:rFonts w:hint="eastAsia"/>
                <w:color w:val="auto"/>
                <w:kern w:val="0"/>
                <w:sz w:val="24"/>
                <w:szCs w:val="24"/>
                <w:lang w:val="en-US" w:eastAsia="zh-CN"/>
              </w:rPr>
              <w:t>4</w:t>
            </w:r>
            <w:r>
              <w:rPr>
                <w:rFonts w:hint="eastAsia"/>
                <w:color w:val="auto"/>
                <w:kern w:val="0"/>
                <w:sz w:val="24"/>
                <w:szCs w:val="24"/>
                <w:lang w:eastAsia="zh-CN"/>
              </w:rPr>
              <w:t>）</w:t>
            </w:r>
            <w:r>
              <w:rPr>
                <w:rFonts w:hint="eastAsia"/>
                <w:color w:val="auto"/>
                <w:kern w:val="0"/>
                <w:sz w:val="24"/>
                <w:szCs w:val="24"/>
                <w:lang w:val="en-US" w:eastAsia="zh-CN"/>
              </w:rPr>
              <w:t>地面清洗水</w:t>
            </w:r>
          </w:p>
          <w:p w14:paraId="3DB46A4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kern w:val="0"/>
                <w:sz w:val="24"/>
                <w:szCs w:val="24"/>
                <w:lang w:val="en-US" w:eastAsia="zh-CN"/>
              </w:rPr>
            </w:pPr>
            <w:r>
              <w:rPr>
                <w:rFonts w:hint="eastAsia"/>
                <w:color w:val="auto"/>
                <w:kern w:val="0"/>
                <w:sz w:val="24"/>
                <w:szCs w:val="24"/>
                <w:lang w:val="en-US" w:eastAsia="zh-CN"/>
              </w:rPr>
              <w:t>根据企业提供数据，地面清洗使用水的量为2t/a</w:t>
            </w:r>
            <w:r>
              <w:rPr>
                <w:color w:val="auto"/>
                <w:kern w:val="0"/>
                <w:sz w:val="24"/>
                <w:szCs w:val="24"/>
              </w:rPr>
              <w:t>。</w:t>
            </w:r>
          </w:p>
          <w:p w14:paraId="3BBBFA9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kern w:val="0"/>
                <w:sz w:val="24"/>
                <w:szCs w:val="24"/>
                <w:lang w:val="en-US" w:eastAsia="zh-CN"/>
              </w:rPr>
            </w:pPr>
            <w:r>
              <w:rPr>
                <w:rFonts w:hint="eastAsia"/>
                <w:color w:val="auto"/>
                <w:kern w:val="0"/>
                <w:sz w:val="24"/>
                <w:szCs w:val="24"/>
                <w:lang w:eastAsia="zh-CN"/>
              </w:rPr>
              <w:t>（</w:t>
            </w:r>
            <w:r>
              <w:rPr>
                <w:rFonts w:hint="eastAsia"/>
                <w:color w:val="auto"/>
                <w:kern w:val="0"/>
                <w:sz w:val="24"/>
                <w:szCs w:val="24"/>
                <w:lang w:val="en-US" w:eastAsia="zh-CN"/>
              </w:rPr>
              <w:t>5</w:t>
            </w:r>
            <w:r>
              <w:rPr>
                <w:rFonts w:hint="eastAsia"/>
                <w:color w:val="auto"/>
                <w:kern w:val="0"/>
                <w:sz w:val="24"/>
                <w:szCs w:val="24"/>
                <w:lang w:eastAsia="zh-CN"/>
              </w:rPr>
              <w:t>）</w:t>
            </w:r>
            <w:r>
              <w:rPr>
                <w:rFonts w:hint="eastAsia"/>
                <w:color w:val="auto"/>
                <w:kern w:val="0"/>
                <w:sz w:val="24"/>
                <w:szCs w:val="24"/>
                <w:lang w:val="en-US" w:eastAsia="zh-CN"/>
              </w:rPr>
              <w:t>设备容器清洗用水</w:t>
            </w:r>
          </w:p>
          <w:p w14:paraId="575123C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kern w:val="0"/>
                <w:sz w:val="24"/>
                <w:szCs w:val="24"/>
                <w:lang w:val="en-US" w:eastAsia="zh-CN"/>
              </w:rPr>
            </w:pPr>
            <w:r>
              <w:rPr>
                <w:rFonts w:hint="eastAsia"/>
                <w:color w:val="auto"/>
                <w:kern w:val="0"/>
                <w:sz w:val="24"/>
                <w:szCs w:val="24"/>
                <w:lang w:val="en-US" w:eastAsia="zh-CN"/>
              </w:rPr>
              <w:t>根据企业提供数据，设备容器清洗使用水的量为6.5t/a。</w:t>
            </w:r>
          </w:p>
          <w:p w14:paraId="7A9A96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kern w:val="0"/>
                <w:sz w:val="24"/>
                <w:szCs w:val="24"/>
                <w:lang w:val="en-US" w:eastAsia="zh-CN"/>
              </w:rPr>
            </w:pPr>
            <w:r>
              <w:rPr>
                <w:rFonts w:hint="eastAsia"/>
                <w:color w:val="auto"/>
                <w:kern w:val="0"/>
                <w:sz w:val="24"/>
                <w:szCs w:val="24"/>
                <w:lang w:val="en-US" w:eastAsia="zh-CN"/>
              </w:rPr>
              <w:t>（6）制纯蒸汽用水</w:t>
            </w:r>
          </w:p>
          <w:p w14:paraId="24AB452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kern w:val="0"/>
                <w:sz w:val="24"/>
                <w:szCs w:val="24"/>
                <w:lang w:val="en-US" w:eastAsia="zh-CN"/>
              </w:rPr>
            </w:pPr>
            <w:r>
              <w:rPr>
                <w:rFonts w:hint="eastAsia"/>
                <w:color w:val="auto"/>
                <w:kern w:val="0"/>
                <w:sz w:val="24"/>
                <w:szCs w:val="24"/>
                <w:lang w:val="en-US" w:eastAsia="zh-CN"/>
              </w:rPr>
              <w:t>根据企业提供数据，本项目使用外购纯水制蒸汽，纯水年用量0.4497t/a。</w:t>
            </w:r>
          </w:p>
          <w:p w14:paraId="17F51F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kern w:val="0"/>
                <w:sz w:val="24"/>
                <w:szCs w:val="24"/>
                <w:lang w:val="en-US" w:eastAsia="zh-CN"/>
              </w:rPr>
            </w:pPr>
            <w:r>
              <w:rPr>
                <w:rFonts w:hint="eastAsia"/>
                <w:color w:val="auto"/>
                <w:kern w:val="0"/>
                <w:sz w:val="24"/>
                <w:szCs w:val="24"/>
                <w:lang w:val="en-US" w:eastAsia="zh-CN"/>
              </w:rPr>
              <w:t>（7）甘油保存液配置</w:t>
            </w:r>
          </w:p>
          <w:p w14:paraId="008AE54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kern w:val="0"/>
                <w:sz w:val="24"/>
                <w:szCs w:val="24"/>
                <w:lang w:val="en-US" w:eastAsia="zh-CN"/>
              </w:rPr>
            </w:pPr>
            <w:r>
              <w:rPr>
                <w:rFonts w:hint="eastAsia"/>
                <w:color w:val="auto"/>
                <w:kern w:val="0"/>
                <w:sz w:val="24"/>
                <w:szCs w:val="24"/>
                <w:lang w:val="en-US" w:eastAsia="zh-CN"/>
              </w:rPr>
              <w:t>根据企业提供数据，本项目使用外购纯水配置40%的甘油保存液，纯水年用量未0.0003t/a。</w:t>
            </w:r>
          </w:p>
          <w:p w14:paraId="613070EC">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color w:val="auto"/>
                <w:kern w:val="0"/>
                <w:sz w:val="24"/>
                <w:szCs w:val="24"/>
                <w:lang w:val="en-US" w:eastAsia="zh-CN"/>
              </w:rPr>
            </w:pPr>
            <w:r>
              <w:drawing>
                <wp:anchor distT="0" distB="0" distL="114300" distR="114300" simplePos="0" relativeHeight="251663360" behindDoc="0" locked="0" layoutInCell="1" allowOverlap="1">
                  <wp:simplePos x="0" y="0"/>
                  <wp:positionH relativeFrom="column">
                    <wp:posOffset>26670</wp:posOffset>
                  </wp:positionH>
                  <wp:positionV relativeFrom="paragraph">
                    <wp:posOffset>459105</wp:posOffset>
                  </wp:positionV>
                  <wp:extent cx="5320665" cy="5694680"/>
                  <wp:effectExtent l="0" t="0" r="0" b="5080"/>
                  <wp:wrapSquare wrapText="bothSides"/>
                  <wp:docPr id="29" name="ECB019B1-382A-4266-B25C-5B523AA43C14-1" descr="C:/Users/22312/AppData/Local/Temp/wps.BFssl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1" descr="C:/Users/22312/AppData/Local/Temp/wps.BFsslswps"/>
                          <pic:cNvPicPr>
                            <a:picLocks noChangeAspect="1"/>
                          </pic:cNvPicPr>
                        </pic:nvPicPr>
                        <pic:blipFill>
                          <a:blip r:embed="rId10"/>
                          <a:srcRect l="5097" r="3913" b="2047"/>
                          <a:stretch>
                            <a:fillRect/>
                          </a:stretch>
                        </pic:blipFill>
                        <pic:spPr>
                          <a:xfrm>
                            <a:off x="0" y="0"/>
                            <a:ext cx="5320665" cy="5694680"/>
                          </a:xfrm>
                          <a:prstGeom prst="rect">
                            <a:avLst/>
                          </a:prstGeom>
                        </pic:spPr>
                      </pic:pic>
                    </a:graphicData>
                  </a:graphic>
                </wp:anchor>
              </w:drawing>
            </w:r>
            <w:r>
              <w:rPr>
                <w:rFonts w:hint="eastAsia" w:ascii="Times New Roman" w:hAnsi="Times New Roman" w:eastAsia="宋体" w:cs="Times New Roman"/>
                <w:color w:val="auto"/>
                <w:kern w:val="0"/>
                <w:sz w:val="24"/>
                <w:szCs w:val="24"/>
                <w:lang w:val="en-US" w:eastAsia="zh-CN"/>
              </w:rPr>
              <w:t>（8）水平衡图如下</w:t>
            </w:r>
          </w:p>
          <w:p w14:paraId="375522F3">
            <w:pPr>
              <w:pStyle w:val="90"/>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380" w:firstLineChars="200"/>
              <w:jc w:val="center"/>
              <w:textAlignment w:val="auto"/>
              <w:rPr>
                <w:rFonts w:hint="eastAsia"/>
                <w:color w:val="000000" w:themeColor="text1"/>
                <w:kern w:val="0"/>
                <w:sz w:val="21"/>
                <w:szCs w:val="21"/>
                <w:lang w:val="en-US"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图2-1 水平衡图（单位：t/a）</w:t>
            </w:r>
          </w:p>
          <w:p w14:paraId="5EF150D1">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b/>
                <w:bCs/>
                <w:color w:val="auto"/>
                <w:kern w:val="0"/>
                <w:sz w:val="24"/>
                <w:szCs w:val="24"/>
                <w:lang w:val="en-US" w:eastAsia="zh-CN"/>
              </w:rPr>
            </w:pPr>
            <w:r>
              <w:rPr>
                <w:rFonts w:hint="eastAsia"/>
                <w:b/>
                <w:bCs/>
                <w:color w:val="auto"/>
                <w:kern w:val="0"/>
                <w:sz w:val="24"/>
                <w:szCs w:val="24"/>
                <w:lang w:val="en-US" w:eastAsia="zh-CN"/>
              </w:rPr>
              <w:t>8、物料平衡</w:t>
            </w:r>
          </w:p>
          <w:p w14:paraId="70C1354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b w:val="0"/>
                <w:bCs w:val="0"/>
                <w:color w:val="000000" w:themeColor="text1"/>
                <w:kern w:val="0"/>
                <w:sz w:val="24"/>
                <w:szCs w:val="24"/>
                <w:lang w:val="en-US" w:eastAsia="zh-CN"/>
                <w14:textFill>
                  <w14:solidFill>
                    <w14:schemeClr w14:val="tx1"/>
                  </w14:solidFill>
                </w14:textFill>
              </w:rPr>
            </w:pPr>
            <w:r>
              <w:rPr>
                <w:rFonts w:hint="eastAsia"/>
                <w:b w:val="0"/>
                <w:bCs w:val="0"/>
                <w:color w:val="000000" w:themeColor="text1"/>
                <w:kern w:val="0"/>
                <w:sz w:val="24"/>
                <w:szCs w:val="24"/>
                <w:lang w:val="en-US" w:eastAsia="zh-CN"/>
                <w14:textFill>
                  <w14:solidFill>
                    <w14:schemeClr w14:val="tx1"/>
                  </w14:solidFill>
                </w14:textFill>
              </w:rPr>
              <w:t>《江苏创健医疗科技有限公司可吸收可降解医用生物材料生产及研发项目环境影响报告表》中重组胶原蛋白生产线中重组酵母发酵过程和本项目生产流程相似，且工艺成熟，因此本项目的物料平衡参考其中的物料平衡，见下表。</w:t>
            </w:r>
          </w:p>
          <w:p w14:paraId="1AF5DC2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eastAsia"/>
                <w:b/>
                <w:bCs/>
                <w:color w:val="auto"/>
                <w:kern w:val="0"/>
                <w:sz w:val="21"/>
                <w:szCs w:val="21"/>
                <w:lang w:val="en-US" w:eastAsia="zh-CN"/>
              </w:rPr>
            </w:pPr>
            <w:r>
              <w:rPr>
                <w:rFonts w:hint="eastAsia"/>
                <w:b w:val="0"/>
                <w:bCs w:val="0"/>
                <w:color w:val="auto"/>
                <w:kern w:val="0"/>
                <w:sz w:val="24"/>
                <w:szCs w:val="24"/>
                <w:lang w:val="en-US" w:eastAsia="zh-CN"/>
              </w:rPr>
              <w:t>（1）菌种构建和培养物料平衡</w:t>
            </w:r>
            <w:bookmarkStart w:id="52" w:name="OLE_LINK11"/>
          </w:p>
          <w:p w14:paraId="13E4664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bCs/>
                <w:color w:val="auto"/>
                <w:kern w:val="0"/>
                <w:sz w:val="21"/>
                <w:szCs w:val="21"/>
                <w:lang w:val="en-US" w:eastAsia="zh-CN"/>
              </w:rPr>
            </w:pPr>
            <w:r>
              <w:rPr>
                <w:rFonts w:hint="eastAsia"/>
                <w:b/>
                <w:bCs/>
                <w:color w:val="auto"/>
                <w:kern w:val="0"/>
                <w:sz w:val="21"/>
                <w:szCs w:val="21"/>
                <w:lang w:val="en-US" w:eastAsia="zh-CN"/>
              </w:rPr>
              <w:t>表2-10  菌种构建和培养物料平衡（kg/a）</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1729"/>
              <w:gridCol w:w="2080"/>
              <w:gridCol w:w="2080"/>
            </w:tblGrid>
            <w:tr w14:paraId="16728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59" w:type="dxa"/>
                  <w:gridSpan w:val="2"/>
                  <w:tcBorders>
                    <w:tl2br w:val="nil"/>
                    <w:tr2bl w:val="nil"/>
                  </w:tcBorders>
                  <w:vAlign w:val="center"/>
                </w:tcPr>
                <w:p w14:paraId="69F539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输入</w:t>
                  </w:r>
                </w:p>
              </w:tc>
              <w:tc>
                <w:tcPr>
                  <w:tcW w:w="4160" w:type="dxa"/>
                  <w:gridSpan w:val="2"/>
                  <w:tcBorders>
                    <w:tl2br w:val="nil"/>
                    <w:tr2bl w:val="nil"/>
                  </w:tcBorders>
                  <w:vAlign w:val="center"/>
                </w:tcPr>
                <w:p w14:paraId="78123E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输出</w:t>
                  </w:r>
                </w:p>
              </w:tc>
            </w:tr>
            <w:tr w14:paraId="5FB18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0" w:type="dxa"/>
                  <w:tcBorders>
                    <w:tl2br w:val="nil"/>
                    <w:tr2bl w:val="nil"/>
                  </w:tcBorders>
                  <w:vAlign w:val="center"/>
                </w:tcPr>
                <w:p w14:paraId="21D921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bookmarkStart w:id="53" w:name="OLE_LINK5" w:colFirst="3" w:colLast="3"/>
                  <w:r>
                    <w:rPr>
                      <w:rFonts w:hint="eastAsia"/>
                      <w:b w:val="0"/>
                      <w:bCs w:val="0"/>
                      <w:color w:val="auto"/>
                      <w:kern w:val="0"/>
                      <w:sz w:val="21"/>
                      <w:szCs w:val="21"/>
                      <w:vertAlign w:val="baseline"/>
                      <w:lang w:val="en-US" w:eastAsia="zh-CN"/>
                    </w:rPr>
                    <w:t>聚合酶</w:t>
                  </w:r>
                </w:p>
              </w:tc>
              <w:tc>
                <w:tcPr>
                  <w:tcW w:w="1729" w:type="dxa"/>
                  <w:tcBorders>
                    <w:tl2br w:val="nil"/>
                    <w:tr2bl w:val="nil"/>
                  </w:tcBorders>
                  <w:vAlign w:val="bottom"/>
                </w:tcPr>
                <w:p w14:paraId="4C073C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0.1</w:t>
                  </w:r>
                </w:p>
              </w:tc>
              <w:tc>
                <w:tcPr>
                  <w:tcW w:w="2080" w:type="dxa"/>
                  <w:tcBorders>
                    <w:tl2br w:val="nil"/>
                    <w:tr2bl w:val="nil"/>
                  </w:tcBorders>
                  <w:vAlign w:val="center"/>
                </w:tcPr>
                <w:p w14:paraId="3DA65F2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菌种保藏液</w:t>
                  </w:r>
                </w:p>
              </w:tc>
              <w:tc>
                <w:tcPr>
                  <w:tcW w:w="2080" w:type="dxa"/>
                  <w:tcBorders>
                    <w:tl2br w:val="nil"/>
                    <w:tr2bl w:val="nil"/>
                  </w:tcBorders>
                  <w:vAlign w:val="center"/>
                </w:tcPr>
                <w:p w14:paraId="309713C6">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1.18</w:t>
                  </w:r>
                </w:p>
              </w:tc>
            </w:tr>
            <w:tr w14:paraId="1ABA5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center"/>
                </w:tcPr>
                <w:p w14:paraId="3282B0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脱氧核苷酸</w:t>
                  </w:r>
                </w:p>
              </w:tc>
              <w:tc>
                <w:tcPr>
                  <w:tcW w:w="1729" w:type="dxa"/>
                  <w:tcBorders>
                    <w:tl2br w:val="nil"/>
                    <w:tr2bl w:val="nil"/>
                  </w:tcBorders>
                  <w:vAlign w:val="bottom"/>
                </w:tcPr>
                <w:p w14:paraId="5B716B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0.1</w:t>
                  </w:r>
                </w:p>
              </w:tc>
              <w:tc>
                <w:tcPr>
                  <w:tcW w:w="2080" w:type="dxa"/>
                  <w:tcBorders>
                    <w:tl2br w:val="nil"/>
                    <w:tr2bl w:val="nil"/>
                  </w:tcBorders>
                  <w:vAlign w:val="center"/>
                </w:tcPr>
                <w:p w14:paraId="202F2A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b w:val="0"/>
                      <w:bCs w:val="0"/>
                      <w:color w:val="auto"/>
                      <w:kern w:val="0"/>
                      <w:sz w:val="21"/>
                      <w:szCs w:val="21"/>
                      <w:vertAlign w:val="baseline"/>
                      <w:lang w:val="en-US" w:eastAsia="zh-CN"/>
                    </w:rPr>
                    <w:t>废气</w:t>
                  </w:r>
                </w:p>
              </w:tc>
              <w:tc>
                <w:tcPr>
                  <w:tcW w:w="2080" w:type="dxa"/>
                  <w:tcBorders>
                    <w:tl2br w:val="nil"/>
                    <w:tr2bl w:val="nil"/>
                  </w:tcBorders>
                  <w:vAlign w:val="center"/>
                </w:tcPr>
                <w:p w14:paraId="306B81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603.659</w:t>
                  </w:r>
                </w:p>
              </w:tc>
            </w:tr>
            <w:tr w14:paraId="73B3B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158951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大肠杆菌</w:t>
                  </w:r>
                </w:p>
              </w:tc>
              <w:tc>
                <w:tcPr>
                  <w:tcW w:w="1729" w:type="dxa"/>
                  <w:tcBorders>
                    <w:tl2br w:val="nil"/>
                    <w:tr2bl w:val="nil"/>
                  </w:tcBorders>
                  <w:vAlign w:val="bottom"/>
                </w:tcPr>
                <w:p w14:paraId="18186A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0.1</w:t>
                  </w:r>
                </w:p>
              </w:tc>
              <w:tc>
                <w:tcPr>
                  <w:tcW w:w="2080" w:type="dxa"/>
                  <w:tcBorders>
                    <w:tl2br w:val="nil"/>
                    <w:tr2bl w:val="nil"/>
                  </w:tcBorders>
                  <w:vAlign w:val="center"/>
                </w:tcPr>
                <w:p w14:paraId="7C7D9D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b w:val="0"/>
                      <w:bCs w:val="0"/>
                      <w:color w:val="auto"/>
                      <w:kern w:val="0"/>
                      <w:sz w:val="21"/>
                      <w:szCs w:val="21"/>
                      <w:vertAlign w:val="baseline"/>
                      <w:lang w:val="en-US" w:eastAsia="zh-CN"/>
                    </w:rPr>
                    <w:t>废液</w:t>
                  </w:r>
                </w:p>
              </w:tc>
              <w:tc>
                <w:tcPr>
                  <w:tcW w:w="2080" w:type="dxa"/>
                  <w:tcBorders>
                    <w:tl2br w:val="nil"/>
                    <w:tr2bl w:val="nil"/>
                  </w:tcBorders>
                  <w:vAlign w:val="center"/>
                </w:tcPr>
                <w:p w14:paraId="63D828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240</w:t>
                  </w:r>
                </w:p>
              </w:tc>
            </w:tr>
            <w:tr w14:paraId="62B01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451F5A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氯化钙</w:t>
                  </w:r>
                </w:p>
              </w:tc>
              <w:tc>
                <w:tcPr>
                  <w:tcW w:w="1729" w:type="dxa"/>
                  <w:tcBorders>
                    <w:tl2br w:val="nil"/>
                    <w:tr2bl w:val="nil"/>
                  </w:tcBorders>
                  <w:vAlign w:val="bottom"/>
                </w:tcPr>
                <w:p w14:paraId="693CE1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0.05</w:t>
                  </w:r>
                </w:p>
              </w:tc>
              <w:tc>
                <w:tcPr>
                  <w:tcW w:w="2080" w:type="dxa"/>
                  <w:tcBorders>
                    <w:tl2br w:val="nil"/>
                    <w:tr2bl w:val="nil"/>
                  </w:tcBorders>
                  <w:vAlign w:val="center"/>
                </w:tcPr>
                <w:p w14:paraId="71890A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b w:val="0"/>
                      <w:bCs w:val="0"/>
                      <w:color w:val="auto"/>
                      <w:kern w:val="0"/>
                      <w:sz w:val="21"/>
                      <w:szCs w:val="21"/>
                      <w:vertAlign w:val="baseline"/>
                      <w:lang w:val="en-US" w:eastAsia="zh-CN"/>
                    </w:rPr>
                    <w:t>固废</w:t>
                  </w:r>
                </w:p>
              </w:tc>
              <w:tc>
                <w:tcPr>
                  <w:tcW w:w="2080" w:type="dxa"/>
                  <w:tcBorders>
                    <w:tl2br w:val="nil"/>
                    <w:tr2bl w:val="nil"/>
                  </w:tcBorders>
                  <w:vAlign w:val="center"/>
                </w:tcPr>
                <w:p w14:paraId="56011F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100</w:t>
                  </w:r>
                </w:p>
              </w:tc>
            </w:tr>
            <w:tr w14:paraId="0DBC2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1CA19A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蛋白胨</w:t>
                  </w:r>
                </w:p>
              </w:tc>
              <w:tc>
                <w:tcPr>
                  <w:tcW w:w="1729" w:type="dxa"/>
                  <w:tcBorders>
                    <w:tl2br w:val="nil"/>
                    <w:tr2bl w:val="nil"/>
                  </w:tcBorders>
                  <w:vAlign w:val="bottom"/>
                </w:tcPr>
                <w:p w14:paraId="788FDE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3</w:t>
                  </w:r>
                </w:p>
              </w:tc>
              <w:tc>
                <w:tcPr>
                  <w:tcW w:w="2080" w:type="dxa"/>
                  <w:tcBorders>
                    <w:tl2br w:val="nil"/>
                    <w:tr2bl w:val="nil"/>
                  </w:tcBorders>
                  <w:vAlign w:val="center"/>
                </w:tcPr>
                <w:p w14:paraId="15BB26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2080" w:type="dxa"/>
                  <w:tcBorders>
                    <w:tl2br w:val="nil"/>
                    <w:tr2bl w:val="nil"/>
                  </w:tcBorders>
                  <w:vAlign w:val="center"/>
                </w:tcPr>
                <w:p w14:paraId="3009FE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bookmarkEnd w:id="53"/>
            <w:tr w14:paraId="09897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485ACF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酵母粉</w:t>
                  </w:r>
                </w:p>
              </w:tc>
              <w:tc>
                <w:tcPr>
                  <w:tcW w:w="1729" w:type="dxa"/>
                  <w:tcBorders>
                    <w:tl2br w:val="nil"/>
                    <w:tr2bl w:val="nil"/>
                  </w:tcBorders>
                  <w:vAlign w:val="bottom"/>
                </w:tcPr>
                <w:p w14:paraId="0F042A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2.5</w:t>
                  </w:r>
                </w:p>
              </w:tc>
              <w:tc>
                <w:tcPr>
                  <w:tcW w:w="2080" w:type="dxa"/>
                  <w:tcBorders>
                    <w:tl2br w:val="nil"/>
                    <w:tr2bl w:val="nil"/>
                  </w:tcBorders>
                  <w:vAlign w:val="center"/>
                </w:tcPr>
                <w:p w14:paraId="040250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2080" w:type="dxa"/>
                  <w:tcBorders>
                    <w:tl2br w:val="nil"/>
                    <w:tr2bl w:val="nil"/>
                  </w:tcBorders>
                  <w:vAlign w:val="center"/>
                </w:tcPr>
                <w:p w14:paraId="714925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59D07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358F6D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氯化钠</w:t>
                  </w:r>
                </w:p>
              </w:tc>
              <w:tc>
                <w:tcPr>
                  <w:tcW w:w="1729" w:type="dxa"/>
                  <w:tcBorders>
                    <w:tl2br w:val="nil"/>
                    <w:tr2bl w:val="nil"/>
                  </w:tcBorders>
                  <w:vAlign w:val="bottom"/>
                </w:tcPr>
                <w:p w14:paraId="3E1400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1.2</w:t>
                  </w:r>
                </w:p>
              </w:tc>
              <w:tc>
                <w:tcPr>
                  <w:tcW w:w="0" w:type="auto"/>
                  <w:tcBorders>
                    <w:tl2br w:val="nil"/>
                    <w:tr2bl w:val="nil"/>
                  </w:tcBorders>
                </w:tcPr>
                <w:p w14:paraId="393EBB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0C9B45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48826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327D30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琼脂粉</w:t>
                  </w:r>
                </w:p>
              </w:tc>
              <w:tc>
                <w:tcPr>
                  <w:tcW w:w="1729" w:type="dxa"/>
                  <w:tcBorders>
                    <w:tl2br w:val="nil"/>
                    <w:tr2bl w:val="nil"/>
                  </w:tcBorders>
                  <w:vAlign w:val="bottom"/>
                </w:tcPr>
                <w:p w14:paraId="12D431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0.5</w:t>
                  </w:r>
                </w:p>
              </w:tc>
              <w:tc>
                <w:tcPr>
                  <w:tcW w:w="0" w:type="auto"/>
                  <w:tcBorders>
                    <w:tl2br w:val="nil"/>
                    <w:tr2bl w:val="nil"/>
                  </w:tcBorders>
                </w:tcPr>
                <w:p w14:paraId="35E5D1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205656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1D0E6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2640D5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纯水</w:t>
                  </w:r>
                </w:p>
              </w:tc>
              <w:tc>
                <w:tcPr>
                  <w:tcW w:w="1729" w:type="dxa"/>
                  <w:tcBorders>
                    <w:tl2br w:val="nil"/>
                    <w:tr2bl w:val="nil"/>
                  </w:tcBorders>
                  <w:vAlign w:val="bottom"/>
                </w:tcPr>
                <w:p w14:paraId="07AC4E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300.3</w:t>
                  </w:r>
                </w:p>
              </w:tc>
              <w:tc>
                <w:tcPr>
                  <w:tcW w:w="0" w:type="auto"/>
                  <w:tcBorders>
                    <w:tl2br w:val="nil"/>
                    <w:tr2bl w:val="nil"/>
                  </w:tcBorders>
                </w:tcPr>
                <w:p w14:paraId="6B4695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2A119D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1CDC0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6E0203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甘油</w:t>
                  </w:r>
                </w:p>
              </w:tc>
              <w:tc>
                <w:tcPr>
                  <w:tcW w:w="1729" w:type="dxa"/>
                  <w:tcBorders>
                    <w:tl2br w:val="nil"/>
                    <w:tr2bl w:val="nil"/>
                  </w:tcBorders>
                  <w:vAlign w:val="bottom"/>
                </w:tcPr>
                <w:p w14:paraId="1CF3F7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8.25</w:t>
                  </w:r>
                </w:p>
              </w:tc>
              <w:tc>
                <w:tcPr>
                  <w:tcW w:w="0" w:type="auto"/>
                  <w:tcBorders>
                    <w:tl2br w:val="nil"/>
                    <w:tr2bl w:val="nil"/>
                  </w:tcBorders>
                </w:tcPr>
                <w:p w14:paraId="276EB2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0C3560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5AC00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075AF9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磷酸氢二钠</w:t>
                  </w:r>
                </w:p>
              </w:tc>
              <w:tc>
                <w:tcPr>
                  <w:tcW w:w="1729" w:type="dxa"/>
                  <w:tcBorders>
                    <w:tl2br w:val="nil"/>
                    <w:tr2bl w:val="nil"/>
                  </w:tcBorders>
                  <w:vAlign w:val="bottom"/>
                </w:tcPr>
                <w:p w14:paraId="04644B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1.2</w:t>
                  </w:r>
                </w:p>
              </w:tc>
              <w:tc>
                <w:tcPr>
                  <w:tcW w:w="0" w:type="auto"/>
                  <w:tcBorders>
                    <w:tl2br w:val="nil"/>
                    <w:tr2bl w:val="nil"/>
                  </w:tcBorders>
                </w:tcPr>
                <w:p w14:paraId="6BD1DD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526C84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11F68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4B1421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磷酸二氢钾</w:t>
                  </w:r>
                </w:p>
              </w:tc>
              <w:tc>
                <w:tcPr>
                  <w:tcW w:w="1729" w:type="dxa"/>
                  <w:tcBorders>
                    <w:tl2br w:val="nil"/>
                    <w:tr2bl w:val="nil"/>
                  </w:tcBorders>
                  <w:vAlign w:val="bottom"/>
                </w:tcPr>
                <w:p w14:paraId="36BE79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0.6</w:t>
                  </w:r>
                </w:p>
              </w:tc>
              <w:tc>
                <w:tcPr>
                  <w:tcW w:w="0" w:type="auto"/>
                  <w:tcBorders>
                    <w:tl2br w:val="nil"/>
                    <w:tr2bl w:val="nil"/>
                  </w:tcBorders>
                </w:tcPr>
                <w:p w14:paraId="515988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5BF6B5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7D823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430" w:type="dxa"/>
                  <w:tcBorders>
                    <w:tl2br w:val="nil"/>
                    <w:tr2bl w:val="nil"/>
                  </w:tcBorders>
                  <w:vAlign w:val="bottom"/>
                </w:tcPr>
                <w:p w14:paraId="5C638B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硫酸镁</w:t>
                  </w:r>
                </w:p>
              </w:tc>
              <w:tc>
                <w:tcPr>
                  <w:tcW w:w="1729" w:type="dxa"/>
                  <w:tcBorders>
                    <w:tl2br w:val="nil"/>
                    <w:tr2bl w:val="nil"/>
                  </w:tcBorders>
                  <w:vAlign w:val="bottom"/>
                </w:tcPr>
                <w:p w14:paraId="5364F3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0.02</w:t>
                  </w:r>
                </w:p>
              </w:tc>
              <w:tc>
                <w:tcPr>
                  <w:tcW w:w="0" w:type="auto"/>
                  <w:tcBorders>
                    <w:tl2br w:val="nil"/>
                    <w:tr2bl w:val="nil"/>
                  </w:tcBorders>
                </w:tcPr>
                <w:p w14:paraId="41F279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236C19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1C38E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5F6850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硫酸铵</w:t>
                  </w:r>
                </w:p>
              </w:tc>
              <w:tc>
                <w:tcPr>
                  <w:tcW w:w="1729" w:type="dxa"/>
                  <w:tcBorders>
                    <w:tl2br w:val="nil"/>
                    <w:tr2bl w:val="nil"/>
                  </w:tcBorders>
                  <w:vAlign w:val="bottom"/>
                </w:tcPr>
                <w:p w14:paraId="5DD3C8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1.2</w:t>
                  </w:r>
                </w:p>
              </w:tc>
              <w:tc>
                <w:tcPr>
                  <w:tcW w:w="0" w:type="auto"/>
                  <w:tcBorders>
                    <w:tl2br w:val="nil"/>
                    <w:tr2bl w:val="nil"/>
                  </w:tcBorders>
                </w:tcPr>
                <w:p w14:paraId="783E1D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5DFFDA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3DC1A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66F105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消泡剂</w:t>
                  </w:r>
                </w:p>
              </w:tc>
              <w:tc>
                <w:tcPr>
                  <w:tcW w:w="1729" w:type="dxa"/>
                  <w:tcBorders>
                    <w:tl2br w:val="nil"/>
                    <w:tr2bl w:val="nil"/>
                  </w:tcBorders>
                  <w:vAlign w:val="bottom"/>
                </w:tcPr>
                <w:p w14:paraId="5DBCD7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w:t>
                  </w:r>
                </w:p>
              </w:tc>
              <w:tc>
                <w:tcPr>
                  <w:tcW w:w="0" w:type="auto"/>
                  <w:tcBorders>
                    <w:tl2br w:val="nil"/>
                    <w:tr2bl w:val="nil"/>
                  </w:tcBorders>
                </w:tcPr>
                <w:p w14:paraId="3EE21A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3A3347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735AF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7E4E26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葡萄糖</w:t>
                  </w:r>
                </w:p>
              </w:tc>
              <w:tc>
                <w:tcPr>
                  <w:tcW w:w="1729" w:type="dxa"/>
                  <w:tcBorders>
                    <w:tl2br w:val="nil"/>
                    <w:tr2bl w:val="nil"/>
                  </w:tcBorders>
                  <w:vAlign w:val="bottom"/>
                </w:tcPr>
                <w:p w14:paraId="659D1C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30</w:t>
                  </w:r>
                </w:p>
              </w:tc>
              <w:tc>
                <w:tcPr>
                  <w:tcW w:w="0" w:type="auto"/>
                  <w:tcBorders>
                    <w:tl2br w:val="nil"/>
                    <w:tr2bl w:val="nil"/>
                  </w:tcBorders>
                </w:tcPr>
                <w:p w14:paraId="6153B9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4B47F6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3706B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485AAA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玉米浆粉</w:t>
                  </w:r>
                </w:p>
              </w:tc>
              <w:tc>
                <w:tcPr>
                  <w:tcW w:w="1729" w:type="dxa"/>
                  <w:tcBorders>
                    <w:tl2br w:val="nil"/>
                    <w:tr2bl w:val="nil"/>
                  </w:tcBorders>
                  <w:vAlign w:val="bottom"/>
                </w:tcPr>
                <w:p w14:paraId="4FDFC6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2</w:t>
                  </w:r>
                </w:p>
              </w:tc>
              <w:tc>
                <w:tcPr>
                  <w:tcW w:w="2080" w:type="dxa"/>
                  <w:tcBorders>
                    <w:tl2br w:val="nil"/>
                    <w:tr2bl w:val="nil"/>
                  </w:tcBorders>
                  <w:vAlign w:val="center"/>
                </w:tcPr>
                <w:p w14:paraId="56AF81B0">
                  <w:pPr>
                    <w:pStyle w:val="84"/>
                    <w:keepNext w:val="0"/>
                    <w:keepLines w:val="0"/>
                    <w:pageBreakBefore w:val="0"/>
                    <w:kinsoku/>
                    <w:wordWrap/>
                    <w:overflowPunct/>
                    <w:topLinePunct w:val="0"/>
                    <w:bidi w:val="0"/>
                    <w:spacing w:line="240" w:lineRule="auto"/>
                    <w:jc w:val="center"/>
                    <w:rPr>
                      <w:rFonts w:hint="default"/>
                      <w:b w:val="0"/>
                      <w:bCs w:val="0"/>
                      <w:color w:val="auto"/>
                      <w:kern w:val="0"/>
                      <w:sz w:val="21"/>
                      <w:szCs w:val="21"/>
                      <w:vertAlign w:val="baseline"/>
                      <w:lang w:val="en-US" w:eastAsia="zh-CN"/>
                    </w:rPr>
                  </w:pPr>
                </w:p>
              </w:tc>
              <w:tc>
                <w:tcPr>
                  <w:tcW w:w="2080" w:type="dxa"/>
                  <w:tcBorders>
                    <w:tl2br w:val="nil"/>
                    <w:tr2bl w:val="nil"/>
                  </w:tcBorders>
                  <w:vAlign w:val="top"/>
                </w:tcPr>
                <w:p w14:paraId="0D5B06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650BC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3B2229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氢氧化钠</w:t>
                  </w:r>
                </w:p>
              </w:tc>
              <w:tc>
                <w:tcPr>
                  <w:tcW w:w="1729" w:type="dxa"/>
                  <w:tcBorders>
                    <w:tl2br w:val="nil"/>
                    <w:tr2bl w:val="nil"/>
                  </w:tcBorders>
                  <w:vAlign w:val="bottom"/>
                </w:tcPr>
                <w:p w14:paraId="749F19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w:t>
                  </w:r>
                </w:p>
              </w:tc>
              <w:tc>
                <w:tcPr>
                  <w:tcW w:w="2080" w:type="dxa"/>
                  <w:tcBorders>
                    <w:tl2br w:val="nil"/>
                    <w:tr2bl w:val="nil"/>
                  </w:tcBorders>
                  <w:vAlign w:val="center"/>
                </w:tcPr>
                <w:p w14:paraId="768BDC54">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 w:val="21"/>
                      <w:szCs w:val="21"/>
                      <w:lang w:val="en-US" w:eastAsia="zh-CN"/>
                    </w:rPr>
                  </w:pPr>
                </w:p>
              </w:tc>
              <w:tc>
                <w:tcPr>
                  <w:tcW w:w="2080" w:type="dxa"/>
                  <w:tcBorders>
                    <w:tl2br w:val="nil"/>
                    <w:tr2bl w:val="nil"/>
                  </w:tcBorders>
                  <w:vAlign w:val="top"/>
                </w:tcPr>
                <w:p w14:paraId="7534CB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p>
              </w:tc>
            </w:tr>
            <w:tr w14:paraId="1B0C8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106A32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硫酸卡那霉素</w:t>
                  </w:r>
                </w:p>
              </w:tc>
              <w:tc>
                <w:tcPr>
                  <w:tcW w:w="1729" w:type="dxa"/>
                  <w:tcBorders>
                    <w:tl2br w:val="nil"/>
                    <w:tr2bl w:val="nil"/>
                  </w:tcBorders>
                  <w:vAlign w:val="bottom"/>
                </w:tcPr>
                <w:p w14:paraId="56689A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default"/>
                      <w:b w:val="0"/>
                      <w:bCs w:val="0"/>
                      <w:color w:val="auto"/>
                      <w:kern w:val="0"/>
                      <w:sz w:val="21"/>
                      <w:szCs w:val="21"/>
                      <w:vertAlign w:val="baseline"/>
                      <w:lang w:val="en-US" w:eastAsia="zh-CN"/>
                    </w:rPr>
                    <w:t>0.02</w:t>
                  </w:r>
                </w:p>
              </w:tc>
              <w:tc>
                <w:tcPr>
                  <w:tcW w:w="2080" w:type="dxa"/>
                  <w:tcBorders>
                    <w:tl2br w:val="nil"/>
                    <w:tr2bl w:val="nil"/>
                  </w:tcBorders>
                  <w:vAlign w:val="center"/>
                </w:tcPr>
                <w:p w14:paraId="0F864033">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 w:val="21"/>
                      <w:szCs w:val="21"/>
                      <w:lang w:val="en-US" w:eastAsia="zh-CN"/>
                    </w:rPr>
                  </w:pPr>
                </w:p>
              </w:tc>
              <w:tc>
                <w:tcPr>
                  <w:tcW w:w="2080" w:type="dxa"/>
                  <w:tcBorders>
                    <w:tl2br w:val="nil"/>
                    <w:tr2bl w:val="nil"/>
                  </w:tcBorders>
                  <w:vAlign w:val="top"/>
                </w:tcPr>
                <w:p w14:paraId="5DBC02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p>
              </w:tc>
            </w:tr>
            <w:tr w14:paraId="0F26A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190981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氨苄青霉素</w:t>
                  </w:r>
                </w:p>
              </w:tc>
              <w:tc>
                <w:tcPr>
                  <w:tcW w:w="1729" w:type="dxa"/>
                  <w:tcBorders>
                    <w:tl2br w:val="nil"/>
                    <w:tr2bl w:val="nil"/>
                  </w:tcBorders>
                  <w:vAlign w:val="bottom"/>
                </w:tcPr>
                <w:p w14:paraId="64E9A7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default"/>
                      <w:b w:val="0"/>
                      <w:bCs w:val="0"/>
                      <w:color w:val="auto"/>
                      <w:kern w:val="0"/>
                      <w:sz w:val="21"/>
                      <w:szCs w:val="21"/>
                      <w:vertAlign w:val="baseline"/>
                      <w:lang w:val="en-US" w:eastAsia="zh-CN"/>
                    </w:rPr>
                    <w:t>0.04</w:t>
                  </w:r>
                </w:p>
              </w:tc>
              <w:tc>
                <w:tcPr>
                  <w:tcW w:w="2080" w:type="dxa"/>
                  <w:tcBorders>
                    <w:tl2br w:val="nil"/>
                    <w:tr2bl w:val="nil"/>
                  </w:tcBorders>
                  <w:vAlign w:val="center"/>
                </w:tcPr>
                <w:p w14:paraId="53B93017">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 w:val="21"/>
                      <w:szCs w:val="21"/>
                      <w:lang w:val="en-US" w:eastAsia="zh-CN"/>
                    </w:rPr>
                  </w:pPr>
                </w:p>
              </w:tc>
              <w:tc>
                <w:tcPr>
                  <w:tcW w:w="2080" w:type="dxa"/>
                  <w:tcBorders>
                    <w:tl2br w:val="nil"/>
                    <w:tr2bl w:val="nil"/>
                  </w:tcBorders>
                  <w:vAlign w:val="top"/>
                </w:tcPr>
                <w:p w14:paraId="5C96F1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p>
              </w:tc>
            </w:tr>
            <w:tr w14:paraId="6A810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52A263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空气</w:t>
                  </w:r>
                </w:p>
              </w:tc>
              <w:tc>
                <w:tcPr>
                  <w:tcW w:w="1729" w:type="dxa"/>
                  <w:tcBorders>
                    <w:tl2br w:val="nil"/>
                    <w:tr2bl w:val="nil"/>
                  </w:tcBorders>
                  <w:vAlign w:val="bottom"/>
                </w:tcPr>
                <w:p w14:paraId="6869A3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519.659</w:t>
                  </w:r>
                </w:p>
              </w:tc>
              <w:tc>
                <w:tcPr>
                  <w:tcW w:w="2080" w:type="dxa"/>
                  <w:tcBorders>
                    <w:tl2br w:val="nil"/>
                    <w:tr2bl w:val="nil"/>
                  </w:tcBorders>
                  <w:vAlign w:val="center"/>
                </w:tcPr>
                <w:p w14:paraId="77A00F5A">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 w:val="21"/>
                      <w:szCs w:val="21"/>
                      <w:lang w:val="en-US" w:eastAsia="zh-CN"/>
                    </w:rPr>
                  </w:pPr>
                </w:p>
              </w:tc>
              <w:tc>
                <w:tcPr>
                  <w:tcW w:w="2080" w:type="dxa"/>
                  <w:tcBorders>
                    <w:tl2br w:val="nil"/>
                    <w:tr2bl w:val="nil"/>
                  </w:tcBorders>
                  <w:vAlign w:val="top"/>
                </w:tcPr>
                <w:p w14:paraId="4CBB40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p>
              </w:tc>
            </w:tr>
            <w:tr w14:paraId="0F1C8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center"/>
                </w:tcPr>
                <w:p w14:paraId="6C8FCDAB">
                  <w:pPr>
                    <w:pStyle w:val="84"/>
                    <w:spacing w:line="70" w:lineRule="atLeas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总计</w:t>
                  </w:r>
                </w:p>
              </w:tc>
              <w:tc>
                <w:tcPr>
                  <w:tcW w:w="1729" w:type="dxa"/>
                  <w:tcBorders>
                    <w:tl2br w:val="nil"/>
                    <w:tr2bl w:val="nil"/>
                  </w:tcBorders>
                </w:tcPr>
                <w:p w14:paraId="552F0F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bookmarkStart w:id="54" w:name="OLE_LINK10"/>
                  <w:r>
                    <w:rPr>
                      <w:rFonts w:hint="eastAsia"/>
                      <w:b w:val="0"/>
                      <w:bCs w:val="0"/>
                      <w:color w:val="auto"/>
                      <w:kern w:val="0"/>
                      <w:sz w:val="21"/>
                      <w:szCs w:val="21"/>
                      <w:vertAlign w:val="baseline"/>
                      <w:lang w:val="en-US" w:eastAsia="zh-CN"/>
                    </w:rPr>
                    <w:t>944.839</w:t>
                  </w:r>
                  <w:bookmarkEnd w:id="54"/>
                </w:p>
              </w:tc>
              <w:tc>
                <w:tcPr>
                  <w:tcW w:w="2080" w:type="dxa"/>
                  <w:tcBorders>
                    <w:tl2br w:val="nil"/>
                    <w:tr2bl w:val="nil"/>
                  </w:tcBorders>
                  <w:vAlign w:val="center"/>
                </w:tcPr>
                <w:p w14:paraId="735D95FD">
                  <w:pPr>
                    <w:pStyle w:val="84"/>
                    <w:keepNext w:val="0"/>
                    <w:keepLines w:val="0"/>
                    <w:pageBreakBefore w:val="0"/>
                    <w:kinsoku/>
                    <w:wordWrap/>
                    <w:overflowPunct/>
                    <w:topLinePunct w:val="0"/>
                    <w:bidi w:val="0"/>
                    <w:spacing w:line="240" w:lineRule="auto"/>
                    <w:jc w:val="center"/>
                    <w:rPr>
                      <w:rFonts w:hint="eastAsia" w:ascii="仿宋_GB2312" w:hAnsi="宋体" w:eastAsia="仿宋_GB2312" w:cs="宋体"/>
                      <w:b w:val="0"/>
                      <w:bCs w:val="0"/>
                      <w:color w:val="auto"/>
                      <w:kern w:val="0"/>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总计</w:t>
                  </w:r>
                </w:p>
              </w:tc>
              <w:tc>
                <w:tcPr>
                  <w:tcW w:w="2080" w:type="dxa"/>
                  <w:tcBorders>
                    <w:tl2br w:val="nil"/>
                    <w:tr2bl w:val="nil"/>
                  </w:tcBorders>
                  <w:vAlign w:val="top"/>
                </w:tcPr>
                <w:p w14:paraId="573FC6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b w:val="0"/>
                      <w:bCs w:val="0"/>
                      <w:color w:val="auto"/>
                      <w:kern w:val="0"/>
                      <w:sz w:val="21"/>
                      <w:szCs w:val="21"/>
                      <w:vertAlign w:val="baseline"/>
                      <w:lang w:val="en-US" w:eastAsia="zh-CN"/>
                    </w:rPr>
                    <w:t>944.839</w:t>
                  </w:r>
                </w:p>
              </w:tc>
            </w:tr>
            <w:bookmarkEnd w:id="52"/>
          </w:tbl>
          <w:p w14:paraId="46263928">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eastAsia"/>
                <w:b/>
                <w:bCs/>
                <w:color w:val="FF0000"/>
                <w:kern w:val="0"/>
                <w:sz w:val="21"/>
                <w:szCs w:val="21"/>
                <w:lang w:val="en-US" w:eastAsia="zh-CN"/>
              </w:rPr>
            </w:pPr>
            <w:r>
              <w:rPr>
                <w:rFonts w:hint="eastAsia"/>
                <w:b/>
                <w:bCs/>
                <w:color w:val="000000" w:themeColor="text1"/>
                <w:kern w:val="0"/>
                <w:sz w:val="21"/>
                <w:szCs w:val="21"/>
                <w:lang w:val="en-US" w:eastAsia="zh-CN"/>
                <w14:textFill>
                  <w14:solidFill>
                    <w14:schemeClr w14:val="tx1"/>
                  </w14:solidFill>
                </w14:textFill>
              </w:rPr>
              <w:t>表2-11  5-羟基色氨酸菌种构建和培养单批次物料平衡（g/批次）</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1729"/>
              <w:gridCol w:w="2080"/>
              <w:gridCol w:w="2080"/>
            </w:tblGrid>
            <w:tr w14:paraId="1B399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59" w:type="dxa"/>
                  <w:gridSpan w:val="2"/>
                  <w:tcBorders>
                    <w:tl2br w:val="nil"/>
                    <w:tr2bl w:val="nil"/>
                  </w:tcBorders>
                  <w:vAlign w:val="center"/>
                </w:tcPr>
                <w:p w14:paraId="6159D5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输入</w:t>
                  </w:r>
                </w:p>
              </w:tc>
              <w:tc>
                <w:tcPr>
                  <w:tcW w:w="4160" w:type="dxa"/>
                  <w:gridSpan w:val="2"/>
                  <w:tcBorders>
                    <w:tl2br w:val="nil"/>
                    <w:tr2bl w:val="nil"/>
                  </w:tcBorders>
                  <w:vAlign w:val="center"/>
                </w:tcPr>
                <w:p w14:paraId="0E8DC9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输出</w:t>
                  </w:r>
                </w:p>
              </w:tc>
            </w:tr>
            <w:tr w14:paraId="33580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0" w:type="dxa"/>
                  <w:tcBorders>
                    <w:tl2br w:val="nil"/>
                    <w:tr2bl w:val="nil"/>
                  </w:tcBorders>
                  <w:vAlign w:val="center"/>
                </w:tcPr>
                <w:p w14:paraId="7E62AD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聚合酶</w:t>
                  </w:r>
                </w:p>
              </w:tc>
              <w:tc>
                <w:tcPr>
                  <w:tcW w:w="1729" w:type="dxa"/>
                  <w:tcBorders>
                    <w:tl2br w:val="nil"/>
                    <w:tr2bl w:val="nil"/>
                  </w:tcBorders>
                  <w:vAlign w:val="bottom"/>
                </w:tcPr>
                <w:p w14:paraId="74FE29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2080" w:type="dxa"/>
                  <w:tcBorders>
                    <w:tl2br w:val="nil"/>
                    <w:tr2bl w:val="nil"/>
                  </w:tcBorders>
                  <w:vAlign w:val="center"/>
                </w:tcPr>
                <w:p w14:paraId="4994ACC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cs="Times New Roman" w:eastAsiaTheme="minorEastAsia"/>
                      <w:color w:val="FF0000"/>
                      <w:kern w:val="0"/>
                      <w:sz w:val="21"/>
                      <w:szCs w:val="21"/>
                      <w:lang w:val="en-US" w:eastAsia="zh-CN" w:bidi="ar-SA"/>
                    </w:rPr>
                  </w:pPr>
                  <w:r>
                    <w:rPr>
                      <w:rFonts w:hint="eastAsia" w:cs="Times New Roman" w:eastAsiaTheme="minorEastAsia"/>
                      <w:color w:val="000000" w:themeColor="text1"/>
                      <w:kern w:val="0"/>
                      <w:sz w:val="21"/>
                      <w:szCs w:val="21"/>
                      <w:lang w:val="en-US" w:eastAsia="zh-CN" w:bidi="ar-SA"/>
                      <w14:textFill>
                        <w14:solidFill>
                          <w14:schemeClr w14:val="tx1"/>
                        </w14:solidFill>
                      </w14:textFill>
                    </w:rPr>
                    <w:t>菌种保藏液</w:t>
                  </w:r>
                </w:p>
              </w:tc>
              <w:tc>
                <w:tcPr>
                  <w:tcW w:w="2080" w:type="dxa"/>
                  <w:tcBorders>
                    <w:tl2br w:val="nil"/>
                    <w:tr2bl w:val="nil"/>
                  </w:tcBorders>
                  <w:vAlign w:val="bottom"/>
                </w:tcPr>
                <w:p w14:paraId="0B3DC7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11.8</w:t>
                  </w:r>
                </w:p>
              </w:tc>
            </w:tr>
            <w:tr w14:paraId="4E68F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center"/>
                </w:tcPr>
                <w:p w14:paraId="7D01A9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脱氧核苷酸</w:t>
                  </w:r>
                </w:p>
              </w:tc>
              <w:tc>
                <w:tcPr>
                  <w:tcW w:w="1729" w:type="dxa"/>
                  <w:tcBorders>
                    <w:tl2br w:val="nil"/>
                    <w:tr2bl w:val="nil"/>
                  </w:tcBorders>
                  <w:vAlign w:val="bottom"/>
                </w:tcPr>
                <w:p w14:paraId="0B0EDF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2080" w:type="dxa"/>
                  <w:tcBorders>
                    <w:tl2br w:val="nil"/>
                    <w:tr2bl w:val="nil"/>
                  </w:tcBorders>
                  <w:vAlign w:val="center"/>
                </w:tcPr>
                <w:p w14:paraId="5B1B76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废气</w:t>
                  </w:r>
                </w:p>
              </w:tc>
              <w:tc>
                <w:tcPr>
                  <w:tcW w:w="2080" w:type="dxa"/>
                  <w:tcBorders>
                    <w:tl2br w:val="nil"/>
                    <w:tr2bl w:val="nil"/>
                  </w:tcBorders>
                  <w:vAlign w:val="bottom"/>
                </w:tcPr>
                <w:p w14:paraId="70FE71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6036.59</w:t>
                  </w:r>
                </w:p>
              </w:tc>
            </w:tr>
            <w:tr w14:paraId="4ACEA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5581AB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大肠杆菌</w:t>
                  </w:r>
                </w:p>
              </w:tc>
              <w:tc>
                <w:tcPr>
                  <w:tcW w:w="1729" w:type="dxa"/>
                  <w:tcBorders>
                    <w:tl2br w:val="nil"/>
                    <w:tr2bl w:val="nil"/>
                  </w:tcBorders>
                  <w:vAlign w:val="bottom"/>
                </w:tcPr>
                <w:p w14:paraId="61A60E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2080" w:type="dxa"/>
                  <w:tcBorders>
                    <w:tl2br w:val="nil"/>
                    <w:tr2bl w:val="nil"/>
                  </w:tcBorders>
                  <w:vAlign w:val="center"/>
                </w:tcPr>
                <w:p w14:paraId="7C292A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废液</w:t>
                  </w:r>
                </w:p>
              </w:tc>
              <w:tc>
                <w:tcPr>
                  <w:tcW w:w="2080" w:type="dxa"/>
                  <w:tcBorders>
                    <w:tl2br w:val="nil"/>
                    <w:tr2bl w:val="nil"/>
                  </w:tcBorders>
                  <w:vAlign w:val="bottom"/>
                </w:tcPr>
                <w:p w14:paraId="1802FB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2400</w:t>
                  </w:r>
                </w:p>
              </w:tc>
            </w:tr>
            <w:tr w14:paraId="67E77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38E3B3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氯化钙</w:t>
                  </w:r>
                </w:p>
              </w:tc>
              <w:tc>
                <w:tcPr>
                  <w:tcW w:w="1729" w:type="dxa"/>
                  <w:tcBorders>
                    <w:tl2br w:val="nil"/>
                    <w:tr2bl w:val="nil"/>
                  </w:tcBorders>
                  <w:vAlign w:val="bottom"/>
                </w:tcPr>
                <w:p w14:paraId="409B23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0.5</w:t>
                  </w:r>
                </w:p>
              </w:tc>
              <w:tc>
                <w:tcPr>
                  <w:tcW w:w="2080" w:type="dxa"/>
                  <w:tcBorders>
                    <w:tl2br w:val="nil"/>
                    <w:tr2bl w:val="nil"/>
                  </w:tcBorders>
                  <w:vAlign w:val="center"/>
                </w:tcPr>
                <w:p w14:paraId="22DEC3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固废</w:t>
                  </w:r>
                </w:p>
              </w:tc>
              <w:tc>
                <w:tcPr>
                  <w:tcW w:w="2080" w:type="dxa"/>
                  <w:tcBorders>
                    <w:tl2br w:val="nil"/>
                    <w:tr2bl w:val="nil"/>
                  </w:tcBorders>
                  <w:vAlign w:val="bottom"/>
                </w:tcPr>
                <w:p w14:paraId="1D97110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1000</w:t>
                  </w:r>
                </w:p>
              </w:tc>
            </w:tr>
            <w:tr w14:paraId="48C4E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76B403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蛋白胨</w:t>
                  </w:r>
                </w:p>
              </w:tc>
              <w:tc>
                <w:tcPr>
                  <w:tcW w:w="1729" w:type="dxa"/>
                  <w:tcBorders>
                    <w:tl2br w:val="nil"/>
                    <w:tr2bl w:val="nil"/>
                  </w:tcBorders>
                  <w:vAlign w:val="bottom"/>
                </w:tcPr>
                <w:p w14:paraId="5E000F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30</w:t>
                  </w:r>
                </w:p>
              </w:tc>
              <w:tc>
                <w:tcPr>
                  <w:tcW w:w="2080" w:type="dxa"/>
                  <w:tcBorders>
                    <w:tl2br w:val="nil"/>
                    <w:tr2bl w:val="nil"/>
                  </w:tcBorders>
                  <w:vAlign w:val="center"/>
                </w:tcPr>
                <w:p w14:paraId="2E037A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2080" w:type="dxa"/>
                  <w:tcBorders>
                    <w:tl2br w:val="nil"/>
                    <w:tr2bl w:val="nil"/>
                  </w:tcBorders>
                  <w:vAlign w:val="center"/>
                </w:tcPr>
                <w:p w14:paraId="13BF55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55DA6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530078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酵母粉</w:t>
                  </w:r>
                </w:p>
              </w:tc>
              <w:tc>
                <w:tcPr>
                  <w:tcW w:w="1729" w:type="dxa"/>
                  <w:tcBorders>
                    <w:tl2br w:val="nil"/>
                    <w:tr2bl w:val="nil"/>
                  </w:tcBorders>
                  <w:vAlign w:val="bottom"/>
                </w:tcPr>
                <w:p w14:paraId="005555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25</w:t>
                  </w:r>
                </w:p>
              </w:tc>
              <w:tc>
                <w:tcPr>
                  <w:tcW w:w="2080" w:type="dxa"/>
                  <w:tcBorders>
                    <w:tl2br w:val="nil"/>
                    <w:tr2bl w:val="nil"/>
                  </w:tcBorders>
                  <w:vAlign w:val="center"/>
                </w:tcPr>
                <w:p w14:paraId="5833E4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2080" w:type="dxa"/>
                  <w:tcBorders>
                    <w:tl2br w:val="nil"/>
                    <w:tr2bl w:val="nil"/>
                  </w:tcBorders>
                  <w:vAlign w:val="center"/>
                </w:tcPr>
                <w:p w14:paraId="19B61C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1E939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22B5F9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氯化钠</w:t>
                  </w:r>
                </w:p>
              </w:tc>
              <w:tc>
                <w:tcPr>
                  <w:tcW w:w="1729" w:type="dxa"/>
                  <w:tcBorders>
                    <w:tl2br w:val="nil"/>
                    <w:tr2bl w:val="nil"/>
                  </w:tcBorders>
                  <w:vAlign w:val="bottom"/>
                </w:tcPr>
                <w:p w14:paraId="41A745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0" w:type="auto"/>
                  <w:tcBorders>
                    <w:tl2br w:val="nil"/>
                    <w:tr2bl w:val="nil"/>
                  </w:tcBorders>
                </w:tcPr>
                <w:p w14:paraId="63424B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3DECBC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1DB73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5C3CC7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琼脂粉</w:t>
                  </w:r>
                </w:p>
              </w:tc>
              <w:tc>
                <w:tcPr>
                  <w:tcW w:w="1729" w:type="dxa"/>
                  <w:tcBorders>
                    <w:tl2br w:val="nil"/>
                    <w:tr2bl w:val="nil"/>
                  </w:tcBorders>
                  <w:vAlign w:val="bottom"/>
                </w:tcPr>
                <w:p w14:paraId="375A170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0" w:type="auto"/>
                  <w:tcBorders>
                    <w:tl2br w:val="nil"/>
                    <w:tr2bl w:val="nil"/>
                  </w:tcBorders>
                </w:tcPr>
                <w:p w14:paraId="2AABAB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3A0EED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2F9DB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429C8E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纯水</w:t>
                  </w:r>
                </w:p>
              </w:tc>
              <w:tc>
                <w:tcPr>
                  <w:tcW w:w="1729" w:type="dxa"/>
                  <w:tcBorders>
                    <w:tl2br w:val="nil"/>
                    <w:tr2bl w:val="nil"/>
                  </w:tcBorders>
                  <w:vAlign w:val="bottom"/>
                </w:tcPr>
                <w:p w14:paraId="514519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3003</w:t>
                  </w:r>
                </w:p>
              </w:tc>
              <w:tc>
                <w:tcPr>
                  <w:tcW w:w="0" w:type="auto"/>
                  <w:tcBorders>
                    <w:tl2br w:val="nil"/>
                    <w:tr2bl w:val="nil"/>
                  </w:tcBorders>
                </w:tcPr>
                <w:p w14:paraId="0A35C1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0875CF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02E5C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39689D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甘油</w:t>
                  </w:r>
                </w:p>
              </w:tc>
              <w:tc>
                <w:tcPr>
                  <w:tcW w:w="1729" w:type="dxa"/>
                  <w:tcBorders>
                    <w:tl2br w:val="nil"/>
                    <w:tr2bl w:val="nil"/>
                  </w:tcBorders>
                  <w:vAlign w:val="bottom"/>
                </w:tcPr>
                <w:p w14:paraId="0CD951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82.5</w:t>
                  </w:r>
                </w:p>
              </w:tc>
              <w:tc>
                <w:tcPr>
                  <w:tcW w:w="0" w:type="auto"/>
                  <w:tcBorders>
                    <w:tl2br w:val="nil"/>
                    <w:tr2bl w:val="nil"/>
                  </w:tcBorders>
                </w:tcPr>
                <w:p w14:paraId="0E1A9A1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4288B1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202F8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7B0F44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磷酸氢二钠</w:t>
                  </w:r>
                </w:p>
              </w:tc>
              <w:tc>
                <w:tcPr>
                  <w:tcW w:w="1729" w:type="dxa"/>
                  <w:tcBorders>
                    <w:tl2br w:val="nil"/>
                    <w:tr2bl w:val="nil"/>
                  </w:tcBorders>
                  <w:vAlign w:val="bottom"/>
                </w:tcPr>
                <w:p w14:paraId="7F4DB3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0" w:type="auto"/>
                  <w:tcBorders>
                    <w:tl2br w:val="nil"/>
                    <w:tr2bl w:val="nil"/>
                  </w:tcBorders>
                </w:tcPr>
                <w:p w14:paraId="7D7432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290492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3B955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44ED31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磷酸二氢钾</w:t>
                  </w:r>
                </w:p>
              </w:tc>
              <w:tc>
                <w:tcPr>
                  <w:tcW w:w="1729" w:type="dxa"/>
                  <w:tcBorders>
                    <w:tl2br w:val="nil"/>
                    <w:tr2bl w:val="nil"/>
                  </w:tcBorders>
                  <w:vAlign w:val="bottom"/>
                </w:tcPr>
                <w:p w14:paraId="5D8BA1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w:t>
                  </w:r>
                </w:p>
              </w:tc>
              <w:tc>
                <w:tcPr>
                  <w:tcW w:w="0" w:type="auto"/>
                  <w:tcBorders>
                    <w:tl2br w:val="nil"/>
                    <w:tr2bl w:val="nil"/>
                  </w:tcBorders>
                </w:tcPr>
                <w:p w14:paraId="6D71C3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28444B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0A17F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430" w:type="dxa"/>
                  <w:tcBorders>
                    <w:tl2br w:val="nil"/>
                    <w:tr2bl w:val="nil"/>
                  </w:tcBorders>
                  <w:vAlign w:val="bottom"/>
                </w:tcPr>
                <w:p w14:paraId="3F3BF2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硫酸镁</w:t>
                  </w:r>
                </w:p>
              </w:tc>
              <w:tc>
                <w:tcPr>
                  <w:tcW w:w="1729" w:type="dxa"/>
                  <w:tcBorders>
                    <w:tl2br w:val="nil"/>
                    <w:tr2bl w:val="nil"/>
                  </w:tcBorders>
                  <w:vAlign w:val="bottom"/>
                </w:tcPr>
                <w:p w14:paraId="4733CB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0.2</w:t>
                  </w:r>
                </w:p>
              </w:tc>
              <w:tc>
                <w:tcPr>
                  <w:tcW w:w="0" w:type="auto"/>
                  <w:tcBorders>
                    <w:tl2br w:val="nil"/>
                    <w:tr2bl w:val="nil"/>
                  </w:tcBorders>
                </w:tcPr>
                <w:p w14:paraId="31C890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2B23B8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0E592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7DB794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硫酸铵</w:t>
                  </w:r>
                </w:p>
              </w:tc>
              <w:tc>
                <w:tcPr>
                  <w:tcW w:w="1729" w:type="dxa"/>
                  <w:tcBorders>
                    <w:tl2br w:val="nil"/>
                    <w:tr2bl w:val="nil"/>
                  </w:tcBorders>
                  <w:vAlign w:val="bottom"/>
                </w:tcPr>
                <w:p w14:paraId="16BBF0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0" w:type="auto"/>
                  <w:tcBorders>
                    <w:tl2br w:val="nil"/>
                    <w:tr2bl w:val="nil"/>
                  </w:tcBorders>
                </w:tcPr>
                <w:p w14:paraId="20546E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287B94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7895B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7F9142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消泡剂</w:t>
                  </w:r>
                </w:p>
              </w:tc>
              <w:tc>
                <w:tcPr>
                  <w:tcW w:w="1729" w:type="dxa"/>
                  <w:tcBorders>
                    <w:tl2br w:val="nil"/>
                    <w:tr2bl w:val="nil"/>
                  </w:tcBorders>
                  <w:vAlign w:val="bottom"/>
                </w:tcPr>
                <w:p w14:paraId="0DC24D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w:t>
                  </w:r>
                </w:p>
              </w:tc>
              <w:tc>
                <w:tcPr>
                  <w:tcW w:w="0" w:type="auto"/>
                  <w:tcBorders>
                    <w:tl2br w:val="nil"/>
                    <w:tr2bl w:val="nil"/>
                  </w:tcBorders>
                </w:tcPr>
                <w:p w14:paraId="3E9332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2C8977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570EA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3D9ED8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葡萄糖</w:t>
                  </w:r>
                </w:p>
              </w:tc>
              <w:tc>
                <w:tcPr>
                  <w:tcW w:w="1729" w:type="dxa"/>
                  <w:tcBorders>
                    <w:tl2br w:val="nil"/>
                    <w:tr2bl w:val="nil"/>
                  </w:tcBorders>
                  <w:vAlign w:val="bottom"/>
                </w:tcPr>
                <w:p w14:paraId="49A3DF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300</w:t>
                  </w:r>
                </w:p>
              </w:tc>
              <w:tc>
                <w:tcPr>
                  <w:tcW w:w="0" w:type="auto"/>
                  <w:tcBorders>
                    <w:tl2br w:val="nil"/>
                    <w:tr2bl w:val="nil"/>
                  </w:tcBorders>
                </w:tcPr>
                <w:p w14:paraId="450AF3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7FA11B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69308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05165E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玉米浆粉</w:t>
                  </w:r>
                </w:p>
              </w:tc>
              <w:tc>
                <w:tcPr>
                  <w:tcW w:w="1729" w:type="dxa"/>
                  <w:tcBorders>
                    <w:tl2br w:val="nil"/>
                    <w:tr2bl w:val="nil"/>
                  </w:tcBorders>
                  <w:vAlign w:val="bottom"/>
                </w:tcPr>
                <w:p w14:paraId="4DF3BD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20</w:t>
                  </w:r>
                </w:p>
              </w:tc>
              <w:tc>
                <w:tcPr>
                  <w:tcW w:w="2080" w:type="dxa"/>
                  <w:tcBorders>
                    <w:tl2br w:val="nil"/>
                    <w:tr2bl w:val="nil"/>
                  </w:tcBorders>
                  <w:vAlign w:val="center"/>
                </w:tcPr>
                <w:p w14:paraId="3DB4D85E">
                  <w:pPr>
                    <w:pStyle w:val="84"/>
                    <w:keepNext w:val="0"/>
                    <w:keepLines w:val="0"/>
                    <w:pageBreakBefore w:val="0"/>
                    <w:kinsoku/>
                    <w:wordWrap/>
                    <w:overflowPunct/>
                    <w:topLinePunct w:val="0"/>
                    <w:bidi w:val="0"/>
                    <w:spacing w:line="240" w:lineRule="auto"/>
                    <w:jc w:val="center"/>
                    <w:rPr>
                      <w:rFonts w:hint="default"/>
                      <w:b w:val="0"/>
                      <w:bCs w:val="0"/>
                      <w:color w:val="FF0000"/>
                      <w:kern w:val="0"/>
                      <w:sz w:val="21"/>
                      <w:szCs w:val="21"/>
                      <w:vertAlign w:val="baseline"/>
                      <w:lang w:val="en-US" w:eastAsia="zh-CN"/>
                    </w:rPr>
                  </w:pPr>
                </w:p>
              </w:tc>
              <w:tc>
                <w:tcPr>
                  <w:tcW w:w="2080" w:type="dxa"/>
                  <w:tcBorders>
                    <w:tl2br w:val="nil"/>
                    <w:tr2bl w:val="nil"/>
                  </w:tcBorders>
                  <w:vAlign w:val="top"/>
                </w:tcPr>
                <w:p w14:paraId="2F1FC0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7BBE2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296CA6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氢氧化钠</w:t>
                  </w:r>
                </w:p>
              </w:tc>
              <w:tc>
                <w:tcPr>
                  <w:tcW w:w="1729" w:type="dxa"/>
                  <w:tcBorders>
                    <w:tl2br w:val="nil"/>
                    <w:tr2bl w:val="nil"/>
                  </w:tcBorders>
                  <w:vAlign w:val="bottom"/>
                </w:tcPr>
                <w:p w14:paraId="71BCB0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w:t>
                  </w:r>
                </w:p>
              </w:tc>
              <w:tc>
                <w:tcPr>
                  <w:tcW w:w="2080" w:type="dxa"/>
                  <w:tcBorders>
                    <w:tl2br w:val="nil"/>
                    <w:tr2bl w:val="nil"/>
                  </w:tcBorders>
                  <w:vAlign w:val="center"/>
                </w:tcPr>
                <w:p w14:paraId="7AB17203">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FF0000"/>
                      <w:sz w:val="21"/>
                      <w:szCs w:val="21"/>
                      <w:lang w:val="en-US" w:eastAsia="zh-CN"/>
                    </w:rPr>
                  </w:pPr>
                </w:p>
              </w:tc>
              <w:tc>
                <w:tcPr>
                  <w:tcW w:w="2080" w:type="dxa"/>
                  <w:tcBorders>
                    <w:tl2br w:val="nil"/>
                    <w:tr2bl w:val="nil"/>
                  </w:tcBorders>
                  <w:vAlign w:val="top"/>
                </w:tcPr>
                <w:p w14:paraId="66E644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p>
              </w:tc>
            </w:tr>
            <w:tr w14:paraId="116B5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090B2B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硫酸卡那霉素</w:t>
                  </w:r>
                </w:p>
              </w:tc>
              <w:tc>
                <w:tcPr>
                  <w:tcW w:w="1729" w:type="dxa"/>
                  <w:tcBorders>
                    <w:tl2br w:val="nil"/>
                    <w:tr2bl w:val="nil"/>
                  </w:tcBorders>
                  <w:vAlign w:val="bottom"/>
                </w:tcPr>
                <w:p w14:paraId="2403C2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0.2</w:t>
                  </w:r>
                </w:p>
              </w:tc>
              <w:tc>
                <w:tcPr>
                  <w:tcW w:w="2080" w:type="dxa"/>
                  <w:tcBorders>
                    <w:tl2br w:val="nil"/>
                    <w:tr2bl w:val="nil"/>
                  </w:tcBorders>
                  <w:vAlign w:val="center"/>
                </w:tcPr>
                <w:p w14:paraId="671F186C">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FF0000"/>
                      <w:sz w:val="21"/>
                      <w:szCs w:val="21"/>
                      <w:lang w:val="en-US" w:eastAsia="zh-CN"/>
                    </w:rPr>
                  </w:pPr>
                </w:p>
              </w:tc>
              <w:tc>
                <w:tcPr>
                  <w:tcW w:w="2080" w:type="dxa"/>
                  <w:tcBorders>
                    <w:tl2br w:val="nil"/>
                    <w:tr2bl w:val="nil"/>
                  </w:tcBorders>
                  <w:vAlign w:val="top"/>
                </w:tcPr>
                <w:p w14:paraId="498800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p>
              </w:tc>
            </w:tr>
            <w:tr w14:paraId="5AC21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479729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氨苄青霉素</w:t>
                  </w:r>
                </w:p>
              </w:tc>
              <w:tc>
                <w:tcPr>
                  <w:tcW w:w="1729" w:type="dxa"/>
                  <w:tcBorders>
                    <w:tl2br w:val="nil"/>
                    <w:tr2bl w:val="nil"/>
                  </w:tcBorders>
                  <w:vAlign w:val="bottom"/>
                </w:tcPr>
                <w:p w14:paraId="7D5A07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0.4</w:t>
                  </w:r>
                </w:p>
              </w:tc>
              <w:tc>
                <w:tcPr>
                  <w:tcW w:w="2080" w:type="dxa"/>
                  <w:tcBorders>
                    <w:tl2br w:val="nil"/>
                    <w:tr2bl w:val="nil"/>
                  </w:tcBorders>
                  <w:vAlign w:val="center"/>
                </w:tcPr>
                <w:p w14:paraId="37ABD6B1">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FF0000"/>
                      <w:sz w:val="21"/>
                      <w:szCs w:val="21"/>
                      <w:lang w:val="en-US" w:eastAsia="zh-CN"/>
                    </w:rPr>
                  </w:pPr>
                </w:p>
              </w:tc>
              <w:tc>
                <w:tcPr>
                  <w:tcW w:w="2080" w:type="dxa"/>
                  <w:tcBorders>
                    <w:tl2br w:val="nil"/>
                    <w:tr2bl w:val="nil"/>
                  </w:tcBorders>
                  <w:vAlign w:val="top"/>
                </w:tcPr>
                <w:p w14:paraId="40E627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p>
              </w:tc>
            </w:tr>
            <w:tr w14:paraId="4A31F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29FFD5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空气</w:t>
                  </w:r>
                </w:p>
              </w:tc>
              <w:tc>
                <w:tcPr>
                  <w:tcW w:w="1729" w:type="dxa"/>
                  <w:tcBorders>
                    <w:tl2br w:val="nil"/>
                    <w:tr2bl w:val="nil"/>
                  </w:tcBorders>
                  <w:vAlign w:val="bottom"/>
                </w:tcPr>
                <w:p w14:paraId="354F7A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5196.59</w:t>
                  </w:r>
                </w:p>
              </w:tc>
              <w:tc>
                <w:tcPr>
                  <w:tcW w:w="2080" w:type="dxa"/>
                  <w:tcBorders>
                    <w:tl2br w:val="nil"/>
                    <w:tr2bl w:val="nil"/>
                  </w:tcBorders>
                  <w:vAlign w:val="center"/>
                </w:tcPr>
                <w:p w14:paraId="6AF36AAE">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FF0000"/>
                      <w:sz w:val="21"/>
                      <w:szCs w:val="21"/>
                      <w:lang w:val="en-US" w:eastAsia="zh-CN"/>
                    </w:rPr>
                  </w:pPr>
                </w:p>
              </w:tc>
              <w:tc>
                <w:tcPr>
                  <w:tcW w:w="2080" w:type="dxa"/>
                  <w:tcBorders>
                    <w:tl2br w:val="nil"/>
                    <w:tr2bl w:val="nil"/>
                  </w:tcBorders>
                  <w:vAlign w:val="top"/>
                </w:tcPr>
                <w:p w14:paraId="34F43C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p>
              </w:tc>
            </w:tr>
            <w:tr w14:paraId="16227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center"/>
                </w:tcPr>
                <w:p w14:paraId="53D1829D">
                  <w:pPr>
                    <w:pStyle w:val="84"/>
                    <w:spacing w:line="70" w:lineRule="atLeast"/>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总计</w:t>
                  </w:r>
                </w:p>
              </w:tc>
              <w:tc>
                <w:tcPr>
                  <w:tcW w:w="1729" w:type="dxa"/>
                  <w:tcBorders>
                    <w:tl2br w:val="nil"/>
                    <w:tr2bl w:val="nil"/>
                  </w:tcBorders>
                  <w:vAlign w:val="bottom"/>
                </w:tcPr>
                <w:p w14:paraId="52B80AF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9448.39</w:t>
                  </w:r>
                </w:p>
              </w:tc>
              <w:tc>
                <w:tcPr>
                  <w:tcW w:w="2080" w:type="dxa"/>
                  <w:tcBorders>
                    <w:tl2br w:val="nil"/>
                    <w:tr2bl w:val="nil"/>
                  </w:tcBorders>
                  <w:vAlign w:val="center"/>
                </w:tcPr>
                <w:p w14:paraId="116D53CB">
                  <w:pPr>
                    <w:pStyle w:val="84"/>
                    <w:keepNext w:val="0"/>
                    <w:keepLines w:val="0"/>
                    <w:pageBreakBefore w:val="0"/>
                    <w:kinsoku/>
                    <w:wordWrap/>
                    <w:overflowPunct/>
                    <w:topLinePunct w:val="0"/>
                    <w:bidi w:val="0"/>
                    <w:spacing w:line="240" w:lineRule="auto"/>
                    <w:jc w:val="center"/>
                    <w:rPr>
                      <w:rFonts w:hint="eastAsia" w:ascii="仿宋_GB2312" w:hAnsi="宋体" w:eastAsia="仿宋_GB2312" w:cs="宋体"/>
                      <w:b w:val="0"/>
                      <w:bCs w:val="0"/>
                      <w:color w:val="FF0000"/>
                      <w:kern w:val="0"/>
                      <w:sz w:val="21"/>
                      <w:szCs w:val="21"/>
                      <w:vertAlign w:val="baseline"/>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总计</w:t>
                  </w:r>
                </w:p>
              </w:tc>
              <w:tc>
                <w:tcPr>
                  <w:tcW w:w="2080" w:type="dxa"/>
                  <w:tcBorders>
                    <w:tl2br w:val="nil"/>
                    <w:tr2bl w:val="nil"/>
                  </w:tcBorders>
                  <w:vAlign w:val="top"/>
                </w:tcPr>
                <w:p w14:paraId="1E007B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9448.39</w:t>
                  </w:r>
                </w:p>
              </w:tc>
            </w:tr>
          </w:tbl>
          <w:p w14:paraId="14DF07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bCs/>
                <w:color w:val="FF0000"/>
                <w:kern w:val="0"/>
                <w:sz w:val="21"/>
                <w:szCs w:val="21"/>
                <w:lang w:val="en-US" w:eastAsia="zh-CN"/>
              </w:rPr>
            </w:pPr>
            <w:r>
              <w:rPr>
                <w:rFonts w:hint="eastAsia"/>
                <w:b/>
                <w:bCs/>
                <w:color w:val="000000" w:themeColor="text1"/>
                <w:kern w:val="0"/>
                <w:sz w:val="21"/>
                <w:szCs w:val="21"/>
                <w:lang w:val="en-US" w:eastAsia="zh-CN"/>
                <w14:textFill>
                  <w14:solidFill>
                    <w14:schemeClr w14:val="tx1"/>
                  </w14:solidFill>
                </w14:textFill>
              </w:rPr>
              <w:t>表2-12  色氨酸菌种构建和培养单批次物料平衡（g/批次）</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1729"/>
              <w:gridCol w:w="2080"/>
              <w:gridCol w:w="2080"/>
            </w:tblGrid>
            <w:tr w14:paraId="60C0A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59" w:type="dxa"/>
                  <w:gridSpan w:val="2"/>
                  <w:tcBorders>
                    <w:tl2br w:val="nil"/>
                    <w:tr2bl w:val="nil"/>
                  </w:tcBorders>
                  <w:vAlign w:val="center"/>
                </w:tcPr>
                <w:p w14:paraId="103388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输入</w:t>
                  </w:r>
                </w:p>
              </w:tc>
              <w:tc>
                <w:tcPr>
                  <w:tcW w:w="4160" w:type="dxa"/>
                  <w:gridSpan w:val="2"/>
                  <w:tcBorders>
                    <w:tl2br w:val="nil"/>
                    <w:tr2bl w:val="nil"/>
                  </w:tcBorders>
                  <w:vAlign w:val="center"/>
                </w:tcPr>
                <w:p w14:paraId="017419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输出</w:t>
                  </w:r>
                </w:p>
              </w:tc>
            </w:tr>
            <w:tr w14:paraId="44D16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0" w:type="dxa"/>
                  <w:tcBorders>
                    <w:tl2br w:val="nil"/>
                    <w:tr2bl w:val="nil"/>
                  </w:tcBorders>
                  <w:vAlign w:val="center"/>
                </w:tcPr>
                <w:p w14:paraId="233678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聚合酶</w:t>
                  </w:r>
                </w:p>
              </w:tc>
              <w:tc>
                <w:tcPr>
                  <w:tcW w:w="1729" w:type="dxa"/>
                  <w:tcBorders>
                    <w:tl2br w:val="nil"/>
                    <w:tr2bl w:val="nil"/>
                  </w:tcBorders>
                  <w:vAlign w:val="bottom"/>
                </w:tcPr>
                <w:p w14:paraId="6B3030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2080" w:type="dxa"/>
                  <w:tcBorders>
                    <w:tl2br w:val="nil"/>
                    <w:tr2bl w:val="nil"/>
                  </w:tcBorders>
                  <w:vAlign w:val="center"/>
                </w:tcPr>
                <w:p w14:paraId="6629D9A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cs="Times New Roman" w:eastAsiaTheme="minorEastAsia"/>
                      <w:color w:val="FF0000"/>
                      <w:kern w:val="0"/>
                      <w:sz w:val="21"/>
                      <w:szCs w:val="21"/>
                      <w:lang w:val="en-US" w:eastAsia="zh-CN" w:bidi="ar-SA"/>
                    </w:rPr>
                  </w:pPr>
                  <w:r>
                    <w:rPr>
                      <w:rFonts w:hint="eastAsia" w:cs="Times New Roman" w:eastAsiaTheme="minorEastAsia"/>
                      <w:color w:val="000000" w:themeColor="text1"/>
                      <w:kern w:val="0"/>
                      <w:sz w:val="21"/>
                      <w:szCs w:val="21"/>
                      <w:lang w:val="en-US" w:eastAsia="zh-CN" w:bidi="ar-SA"/>
                      <w14:textFill>
                        <w14:solidFill>
                          <w14:schemeClr w14:val="tx1"/>
                        </w14:solidFill>
                      </w14:textFill>
                    </w:rPr>
                    <w:t>菌种保藏液</w:t>
                  </w:r>
                </w:p>
              </w:tc>
              <w:tc>
                <w:tcPr>
                  <w:tcW w:w="2080" w:type="dxa"/>
                  <w:tcBorders>
                    <w:tl2br w:val="nil"/>
                    <w:tr2bl w:val="nil"/>
                  </w:tcBorders>
                  <w:vAlign w:val="bottom"/>
                </w:tcPr>
                <w:p w14:paraId="5A3529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11.8</w:t>
                  </w:r>
                </w:p>
              </w:tc>
            </w:tr>
            <w:tr w14:paraId="4C8D6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center"/>
                </w:tcPr>
                <w:p w14:paraId="7DB015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脱氧核苷酸</w:t>
                  </w:r>
                </w:p>
              </w:tc>
              <w:tc>
                <w:tcPr>
                  <w:tcW w:w="1729" w:type="dxa"/>
                  <w:tcBorders>
                    <w:tl2br w:val="nil"/>
                    <w:tr2bl w:val="nil"/>
                  </w:tcBorders>
                  <w:vAlign w:val="bottom"/>
                </w:tcPr>
                <w:p w14:paraId="14471C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2080" w:type="dxa"/>
                  <w:tcBorders>
                    <w:tl2br w:val="nil"/>
                    <w:tr2bl w:val="nil"/>
                  </w:tcBorders>
                  <w:vAlign w:val="center"/>
                </w:tcPr>
                <w:p w14:paraId="26794D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废气</w:t>
                  </w:r>
                </w:p>
              </w:tc>
              <w:tc>
                <w:tcPr>
                  <w:tcW w:w="2080" w:type="dxa"/>
                  <w:tcBorders>
                    <w:tl2br w:val="nil"/>
                    <w:tr2bl w:val="nil"/>
                  </w:tcBorders>
                  <w:vAlign w:val="bottom"/>
                </w:tcPr>
                <w:p w14:paraId="374487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6036.59</w:t>
                  </w:r>
                </w:p>
              </w:tc>
            </w:tr>
            <w:tr w14:paraId="08EF4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318BE9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大肠杆菌</w:t>
                  </w:r>
                </w:p>
              </w:tc>
              <w:tc>
                <w:tcPr>
                  <w:tcW w:w="1729" w:type="dxa"/>
                  <w:tcBorders>
                    <w:tl2br w:val="nil"/>
                    <w:tr2bl w:val="nil"/>
                  </w:tcBorders>
                  <w:vAlign w:val="bottom"/>
                </w:tcPr>
                <w:p w14:paraId="11F8C9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w:t>
                  </w:r>
                </w:p>
              </w:tc>
              <w:tc>
                <w:tcPr>
                  <w:tcW w:w="2080" w:type="dxa"/>
                  <w:tcBorders>
                    <w:tl2br w:val="nil"/>
                    <w:tr2bl w:val="nil"/>
                  </w:tcBorders>
                  <w:vAlign w:val="center"/>
                </w:tcPr>
                <w:p w14:paraId="75886E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废液</w:t>
                  </w:r>
                </w:p>
              </w:tc>
              <w:tc>
                <w:tcPr>
                  <w:tcW w:w="2080" w:type="dxa"/>
                  <w:tcBorders>
                    <w:tl2br w:val="nil"/>
                    <w:tr2bl w:val="nil"/>
                  </w:tcBorders>
                  <w:vAlign w:val="bottom"/>
                </w:tcPr>
                <w:p w14:paraId="4283DD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2400</w:t>
                  </w:r>
                </w:p>
              </w:tc>
            </w:tr>
            <w:tr w14:paraId="72099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5977A4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氯化钙</w:t>
                  </w:r>
                </w:p>
              </w:tc>
              <w:tc>
                <w:tcPr>
                  <w:tcW w:w="1729" w:type="dxa"/>
                  <w:tcBorders>
                    <w:tl2br w:val="nil"/>
                    <w:tr2bl w:val="nil"/>
                  </w:tcBorders>
                  <w:vAlign w:val="bottom"/>
                </w:tcPr>
                <w:p w14:paraId="41D8BB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0.5</w:t>
                  </w:r>
                </w:p>
              </w:tc>
              <w:tc>
                <w:tcPr>
                  <w:tcW w:w="2080" w:type="dxa"/>
                  <w:tcBorders>
                    <w:tl2br w:val="nil"/>
                    <w:tr2bl w:val="nil"/>
                  </w:tcBorders>
                  <w:vAlign w:val="center"/>
                </w:tcPr>
                <w:p w14:paraId="26E88F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固废</w:t>
                  </w:r>
                </w:p>
              </w:tc>
              <w:tc>
                <w:tcPr>
                  <w:tcW w:w="2080" w:type="dxa"/>
                  <w:tcBorders>
                    <w:tl2br w:val="nil"/>
                    <w:tr2bl w:val="nil"/>
                  </w:tcBorders>
                  <w:vAlign w:val="bottom"/>
                </w:tcPr>
                <w:p w14:paraId="1FF00D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1000</w:t>
                  </w:r>
                </w:p>
              </w:tc>
            </w:tr>
            <w:tr w14:paraId="025CB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20B1BA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蛋白胨</w:t>
                  </w:r>
                </w:p>
              </w:tc>
              <w:tc>
                <w:tcPr>
                  <w:tcW w:w="1729" w:type="dxa"/>
                  <w:tcBorders>
                    <w:tl2br w:val="nil"/>
                    <w:tr2bl w:val="nil"/>
                  </w:tcBorders>
                  <w:vAlign w:val="bottom"/>
                </w:tcPr>
                <w:p w14:paraId="4A8025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30</w:t>
                  </w:r>
                </w:p>
              </w:tc>
              <w:tc>
                <w:tcPr>
                  <w:tcW w:w="2080" w:type="dxa"/>
                  <w:tcBorders>
                    <w:tl2br w:val="nil"/>
                    <w:tr2bl w:val="nil"/>
                  </w:tcBorders>
                  <w:vAlign w:val="center"/>
                </w:tcPr>
                <w:p w14:paraId="028D20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2080" w:type="dxa"/>
                  <w:tcBorders>
                    <w:tl2br w:val="nil"/>
                    <w:tr2bl w:val="nil"/>
                  </w:tcBorders>
                  <w:vAlign w:val="center"/>
                </w:tcPr>
                <w:p w14:paraId="18C29B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5B649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0F6550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酵母粉</w:t>
                  </w:r>
                </w:p>
              </w:tc>
              <w:tc>
                <w:tcPr>
                  <w:tcW w:w="1729" w:type="dxa"/>
                  <w:tcBorders>
                    <w:tl2br w:val="nil"/>
                    <w:tr2bl w:val="nil"/>
                  </w:tcBorders>
                  <w:vAlign w:val="bottom"/>
                </w:tcPr>
                <w:p w14:paraId="21BF92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25</w:t>
                  </w:r>
                </w:p>
              </w:tc>
              <w:tc>
                <w:tcPr>
                  <w:tcW w:w="2080" w:type="dxa"/>
                  <w:tcBorders>
                    <w:tl2br w:val="nil"/>
                    <w:tr2bl w:val="nil"/>
                  </w:tcBorders>
                  <w:vAlign w:val="center"/>
                </w:tcPr>
                <w:p w14:paraId="6E0E4B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2080" w:type="dxa"/>
                  <w:tcBorders>
                    <w:tl2br w:val="nil"/>
                    <w:tr2bl w:val="nil"/>
                  </w:tcBorders>
                  <w:vAlign w:val="center"/>
                </w:tcPr>
                <w:p w14:paraId="0EE25C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61332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371F78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氯化钠</w:t>
                  </w:r>
                </w:p>
              </w:tc>
              <w:tc>
                <w:tcPr>
                  <w:tcW w:w="1729" w:type="dxa"/>
                  <w:tcBorders>
                    <w:tl2br w:val="nil"/>
                    <w:tr2bl w:val="nil"/>
                  </w:tcBorders>
                  <w:vAlign w:val="bottom"/>
                </w:tcPr>
                <w:p w14:paraId="3DDC0F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0" w:type="auto"/>
                  <w:tcBorders>
                    <w:tl2br w:val="nil"/>
                    <w:tr2bl w:val="nil"/>
                  </w:tcBorders>
                </w:tcPr>
                <w:p w14:paraId="2D9378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71818D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23FA1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0AA8B2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琼脂粉</w:t>
                  </w:r>
                </w:p>
              </w:tc>
              <w:tc>
                <w:tcPr>
                  <w:tcW w:w="1729" w:type="dxa"/>
                  <w:tcBorders>
                    <w:tl2br w:val="nil"/>
                    <w:tr2bl w:val="nil"/>
                  </w:tcBorders>
                  <w:vAlign w:val="bottom"/>
                </w:tcPr>
                <w:p w14:paraId="6EDE05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0" w:type="auto"/>
                  <w:tcBorders>
                    <w:tl2br w:val="nil"/>
                    <w:tr2bl w:val="nil"/>
                  </w:tcBorders>
                </w:tcPr>
                <w:p w14:paraId="22FD2C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39DDAC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3CDC9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0DB9F4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纯水</w:t>
                  </w:r>
                </w:p>
              </w:tc>
              <w:tc>
                <w:tcPr>
                  <w:tcW w:w="1729" w:type="dxa"/>
                  <w:tcBorders>
                    <w:tl2br w:val="nil"/>
                    <w:tr2bl w:val="nil"/>
                  </w:tcBorders>
                  <w:vAlign w:val="bottom"/>
                </w:tcPr>
                <w:p w14:paraId="53BCD7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3003</w:t>
                  </w:r>
                </w:p>
              </w:tc>
              <w:tc>
                <w:tcPr>
                  <w:tcW w:w="0" w:type="auto"/>
                  <w:tcBorders>
                    <w:tl2br w:val="nil"/>
                    <w:tr2bl w:val="nil"/>
                  </w:tcBorders>
                </w:tcPr>
                <w:p w14:paraId="077D68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48EB6F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5DA0D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6C98E0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甘油</w:t>
                  </w:r>
                </w:p>
              </w:tc>
              <w:tc>
                <w:tcPr>
                  <w:tcW w:w="1729" w:type="dxa"/>
                  <w:tcBorders>
                    <w:tl2br w:val="nil"/>
                    <w:tr2bl w:val="nil"/>
                  </w:tcBorders>
                  <w:vAlign w:val="bottom"/>
                </w:tcPr>
                <w:p w14:paraId="31AE05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82.5</w:t>
                  </w:r>
                </w:p>
              </w:tc>
              <w:tc>
                <w:tcPr>
                  <w:tcW w:w="0" w:type="auto"/>
                  <w:tcBorders>
                    <w:tl2br w:val="nil"/>
                    <w:tr2bl w:val="nil"/>
                  </w:tcBorders>
                </w:tcPr>
                <w:p w14:paraId="454C9F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1EB893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2705B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38C590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磷酸氢二钠</w:t>
                  </w:r>
                </w:p>
              </w:tc>
              <w:tc>
                <w:tcPr>
                  <w:tcW w:w="1729" w:type="dxa"/>
                  <w:tcBorders>
                    <w:tl2br w:val="nil"/>
                    <w:tr2bl w:val="nil"/>
                  </w:tcBorders>
                  <w:vAlign w:val="bottom"/>
                </w:tcPr>
                <w:p w14:paraId="5F6B9E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0" w:type="auto"/>
                  <w:tcBorders>
                    <w:tl2br w:val="nil"/>
                    <w:tr2bl w:val="nil"/>
                  </w:tcBorders>
                </w:tcPr>
                <w:p w14:paraId="6D4813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78842F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4A3CC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1B9ED4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磷酸二氢钾</w:t>
                  </w:r>
                </w:p>
              </w:tc>
              <w:tc>
                <w:tcPr>
                  <w:tcW w:w="1729" w:type="dxa"/>
                  <w:tcBorders>
                    <w:tl2br w:val="nil"/>
                    <w:tr2bl w:val="nil"/>
                  </w:tcBorders>
                  <w:vAlign w:val="bottom"/>
                </w:tcPr>
                <w:p w14:paraId="3BF1D8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w:t>
                  </w:r>
                </w:p>
              </w:tc>
              <w:tc>
                <w:tcPr>
                  <w:tcW w:w="0" w:type="auto"/>
                  <w:tcBorders>
                    <w:tl2br w:val="nil"/>
                    <w:tr2bl w:val="nil"/>
                  </w:tcBorders>
                </w:tcPr>
                <w:p w14:paraId="532C9B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3E565F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2639F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430" w:type="dxa"/>
                  <w:tcBorders>
                    <w:tl2br w:val="nil"/>
                    <w:tr2bl w:val="nil"/>
                  </w:tcBorders>
                  <w:vAlign w:val="bottom"/>
                </w:tcPr>
                <w:p w14:paraId="03350B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硫酸镁</w:t>
                  </w:r>
                </w:p>
              </w:tc>
              <w:tc>
                <w:tcPr>
                  <w:tcW w:w="1729" w:type="dxa"/>
                  <w:tcBorders>
                    <w:tl2br w:val="nil"/>
                    <w:tr2bl w:val="nil"/>
                  </w:tcBorders>
                  <w:vAlign w:val="bottom"/>
                </w:tcPr>
                <w:p w14:paraId="66023E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0.2</w:t>
                  </w:r>
                </w:p>
              </w:tc>
              <w:tc>
                <w:tcPr>
                  <w:tcW w:w="0" w:type="auto"/>
                  <w:tcBorders>
                    <w:tl2br w:val="nil"/>
                    <w:tr2bl w:val="nil"/>
                  </w:tcBorders>
                </w:tcPr>
                <w:p w14:paraId="45D1EA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0DD187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7C23C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7C805D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硫酸铵</w:t>
                  </w:r>
                </w:p>
              </w:tc>
              <w:tc>
                <w:tcPr>
                  <w:tcW w:w="1729" w:type="dxa"/>
                  <w:tcBorders>
                    <w:tl2br w:val="nil"/>
                    <w:tr2bl w:val="nil"/>
                  </w:tcBorders>
                  <w:vAlign w:val="bottom"/>
                </w:tcPr>
                <w:p w14:paraId="307791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0" w:type="auto"/>
                  <w:tcBorders>
                    <w:tl2br w:val="nil"/>
                    <w:tr2bl w:val="nil"/>
                  </w:tcBorders>
                </w:tcPr>
                <w:p w14:paraId="486FF9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7322EE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7AFE8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48E01C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消泡剂</w:t>
                  </w:r>
                </w:p>
              </w:tc>
              <w:tc>
                <w:tcPr>
                  <w:tcW w:w="1729" w:type="dxa"/>
                  <w:tcBorders>
                    <w:tl2br w:val="nil"/>
                    <w:tr2bl w:val="nil"/>
                  </w:tcBorders>
                  <w:vAlign w:val="bottom"/>
                </w:tcPr>
                <w:p w14:paraId="78AC72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w:t>
                  </w:r>
                </w:p>
              </w:tc>
              <w:tc>
                <w:tcPr>
                  <w:tcW w:w="0" w:type="auto"/>
                  <w:tcBorders>
                    <w:tl2br w:val="nil"/>
                    <w:tr2bl w:val="nil"/>
                  </w:tcBorders>
                </w:tcPr>
                <w:p w14:paraId="4E8CAC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1159DA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3E6A4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001D5E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葡萄糖</w:t>
                  </w:r>
                </w:p>
              </w:tc>
              <w:tc>
                <w:tcPr>
                  <w:tcW w:w="1729" w:type="dxa"/>
                  <w:tcBorders>
                    <w:tl2br w:val="nil"/>
                    <w:tr2bl w:val="nil"/>
                  </w:tcBorders>
                  <w:vAlign w:val="bottom"/>
                </w:tcPr>
                <w:p w14:paraId="48FD27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300</w:t>
                  </w:r>
                </w:p>
              </w:tc>
              <w:tc>
                <w:tcPr>
                  <w:tcW w:w="0" w:type="auto"/>
                  <w:tcBorders>
                    <w:tl2br w:val="nil"/>
                    <w:tr2bl w:val="nil"/>
                  </w:tcBorders>
                </w:tcPr>
                <w:p w14:paraId="536B07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3C10EA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1E70A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bottom"/>
                </w:tcPr>
                <w:p w14:paraId="1A3AE7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玉米浆粉</w:t>
                  </w:r>
                </w:p>
              </w:tc>
              <w:tc>
                <w:tcPr>
                  <w:tcW w:w="1729" w:type="dxa"/>
                  <w:tcBorders>
                    <w:tl2br w:val="nil"/>
                    <w:tr2bl w:val="nil"/>
                  </w:tcBorders>
                  <w:vAlign w:val="bottom"/>
                </w:tcPr>
                <w:p w14:paraId="5BF485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20</w:t>
                  </w:r>
                </w:p>
              </w:tc>
              <w:tc>
                <w:tcPr>
                  <w:tcW w:w="2080" w:type="dxa"/>
                  <w:tcBorders>
                    <w:tl2br w:val="nil"/>
                    <w:tr2bl w:val="nil"/>
                  </w:tcBorders>
                  <w:vAlign w:val="center"/>
                </w:tcPr>
                <w:p w14:paraId="2B8A36DC">
                  <w:pPr>
                    <w:pStyle w:val="84"/>
                    <w:keepNext w:val="0"/>
                    <w:keepLines w:val="0"/>
                    <w:pageBreakBefore w:val="0"/>
                    <w:kinsoku/>
                    <w:wordWrap/>
                    <w:overflowPunct/>
                    <w:topLinePunct w:val="0"/>
                    <w:bidi w:val="0"/>
                    <w:spacing w:line="240" w:lineRule="auto"/>
                    <w:jc w:val="center"/>
                    <w:rPr>
                      <w:rFonts w:hint="default"/>
                      <w:b w:val="0"/>
                      <w:bCs w:val="0"/>
                      <w:color w:val="FF0000"/>
                      <w:kern w:val="0"/>
                      <w:sz w:val="21"/>
                      <w:szCs w:val="21"/>
                      <w:vertAlign w:val="baseline"/>
                      <w:lang w:val="en-US" w:eastAsia="zh-CN"/>
                    </w:rPr>
                  </w:pPr>
                </w:p>
              </w:tc>
              <w:tc>
                <w:tcPr>
                  <w:tcW w:w="2080" w:type="dxa"/>
                  <w:tcBorders>
                    <w:tl2br w:val="nil"/>
                    <w:tr2bl w:val="nil"/>
                  </w:tcBorders>
                  <w:vAlign w:val="top"/>
                </w:tcPr>
                <w:p w14:paraId="380626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r>
            <w:tr w14:paraId="458D8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613B8E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氢氧化钠</w:t>
                  </w:r>
                </w:p>
              </w:tc>
              <w:tc>
                <w:tcPr>
                  <w:tcW w:w="1729" w:type="dxa"/>
                  <w:tcBorders>
                    <w:tl2br w:val="nil"/>
                    <w:tr2bl w:val="nil"/>
                  </w:tcBorders>
                  <w:vAlign w:val="bottom"/>
                </w:tcPr>
                <w:p w14:paraId="53F507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w:t>
                  </w:r>
                </w:p>
              </w:tc>
              <w:tc>
                <w:tcPr>
                  <w:tcW w:w="2080" w:type="dxa"/>
                  <w:tcBorders>
                    <w:tl2br w:val="nil"/>
                    <w:tr2bl w:val="nil"/>
                  </w:tcBorders>
                  <w:vAlign w:val="center"/>
                </w:tcPr>
                <w:p w14:paraId="3888E25F">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FF0000"/>
                      <w:sz w:val="21"/>
                      <w:szCs w:val="21"/>
                      <w:lang w:val="en-US" w:eastAsia="zh-CN"/>
                    </w:rPr>
                  </w:pPr>
                </w:p>
              </w:tc>
              <w:tc>
                <w:tcPr>
                  <w:tcW w:w="2080" w:type="dxa"/>
                  <w:tcBorders>
                    <w:tl2br w:val="nil"/>
                    <w:tr2bl w:val="nil"/>
                  </w:tcBorders>
                  <w:vAlign w:val="top"/>
                </w:tcPr>
                <w:p w14:paraId="3CD11B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p>
              </w:tc>
            </w:tr>
            <w:tr w14:paraId="49C53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2E7D08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硫酸卡那霉素</w:t>
                  </w:r>
                </w:p>
              </w:tc>
              <w:tc>
                <w:tcPr>
                  <w:tcW w:w="1729" w:type="dxa"/>
                  <w:tcBorders>
                    <w:tl2br w:val="nil"/>
                    <w:tr2bl w:val="nil"/>
                  </w:tcBorders>
                  <w:vAlign w:val="bottom"/>
                </w:tcPr>
                <w:p w14:paraId="4FDE04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0.2</w:t>
                  </w:r>
                </w:p>
              </w:tc>
              <w:tc>
                <w:tcPr>
                  <w:tcW w:w="2080" w:type="dxa"/>
                  <w:tcBorders>
                    <w:tl2br w:val="nil"/>
                    <w:tr2bl w:val="nil"/>
                  </w:tcBorders>
                  <w:vAlign w:val="center"/>
                </w:tcPr>
                <w:p w14:paraId="400F5568">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FF0000"/>
                      <w:sz w:val="21"/>
                      <w:szCs w:val="21"/>
                      <w:lang w:val="en-US" w:eastAsia="zh-CN"/>
                    </w:rPr>
                  </w:pPr>
                </w:p>
              </w:tc>
              <w:tc>
                <w:tcPr>
                  <w:tcW w:w="2080" w:type="dxa"/>
                  <w:tcBorders>
                    <w:tl2br w:val="nil"/>
                    <w:tr2bl w:val="nil"/>
                  </w:tcBorders>
                  <w:vAlign w:val="top"/>
                </w:tcPr>
                <w:p w14:paraId="1C544B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p>
              </w:tc>
            </w:tr>
            <w:tr w14:paraId="2EC15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3488B3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氨苄青霉素</w:t>
                  </w:r>
                </w:p>
              </w:tc>
              <w:tc>
                <w:tcPr>
                  <w:tcW w:w="1729" w:type="dxa"/>
                  <w:tcBorders>
                    <w:tl2br w:val="nil"/>
                    <w:tr2bl w:val="nil"/>
                  </w:tcBorders>
                  <w:vAlign w:val="bottom"/>
                </w:tcPr>
                <w:p w14:paraId="3DD723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0.4</w:t>
                  </w:r>
                </w:p>
              </w:tc>
              <w:tc>
                <w:tcPr>
                  <w:tcW w:w="2080" w:type="dxa"/>
                  <w:tcBorders>
                    <w:tl2br w:val="nil"/>
                    <w:tr2bl w:val="nil"/>
                  </w:tcBorders>
                  <w:vAlign w:val="center"/>
                </w:tcPr>
                <w:p w14:paraId="3E7A2D38">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FF0000"/>
                      <w:sz w:val="21"/>
                      <w:szCs w:val="21"/>
                      <w:lang w:val="en-US" w:eastAsia="zh-CN"/>
                    </w:rPr>
                  </w:pPr>
                </w:p>
              </w:tc>
              <w:tc>
                <w:tcPr>
                  <w:tcW w:w="2080" w:type="dxa"/>
                  <w:tcBorders>
                    <w:tl2br w:val="nil"/>
                    <w:tr2bl w:val="nil"/>
                  </w:tcBorders>
                  <w:vAlign w:val="top"/>
                </w:tcPr>
                <w:p w14:paraId="64317D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p>
              </w:tc>
            </w:tr>
            <w:tr w14:paraId="1C588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430" w:type="dxa"/>
                  <w:tcBorders>
                    <w:tl2br w:val="nil"/>
                    <w:tr2bl w:val="nil"/>
                  </w:tcBorders>
                  <w:vAlign w:val="bottom"/>
                </w:tcPr>
                <w:p w14:paraId="1803C9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空气</w:t>
                  </w:r>
                </w:p>
              </w:tc>
              <w:tc>
                <w:tcPr>
                  <w:tcW w:w="1729" w:type="dxa"/>
                  <w:tcBorders>
                    <w:tl2br w:val="nil"/>
                    <w:tr2bl w:val="nil"/>
                  </w:tcBorders>
                  <w:vAlign w:val="bottom"/>
                </w:tcPr>
                <w:p w14:paraId="2F0FEC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5196.59</w:t>
                  </w:r>
                </w:p>
              </w:tc>
              <w:tc>
                <w:tcPr>
                  <w:tcW w:w="2080" w:type="dxa"/>
                  <w:tcBorders>
                    <w:tl2br w:val="nil"/>
                    <w:tr2bl w:val="nil"/>
                  </w:tcBorders>
                  <w:vAlign w:val="center"/>
                </w:tcPr>
                <w:p w14:paraId="6D65A7C3">
                  <w:pPr>
                    <w:pStyle w:val="84"/>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FF0000"/>
                      <w:sz w:val="21"/>
                      <w:szCs w:val="21"/>
                      <w:lang w:val="en-US" w:eastAsia="zh-CN"/>
                    </w:rPr>
                  </w:pPr>
                </w:p>
              </w:tc>
              <w:tc>
                <w:tcPr>
                  <w:tcW w:w="2080" w:type="dxa"/>
                  <w:tcBorders>
                    <w:tl2br w:val="nil"/>
                    <w:tr2bl w:val="nil"/>
                  </w:tcBorders>
                  <w:vAlign w:val="top"/>
                </w:tcPr>
                <w:p w14:paraId="17C9B3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p>
              </w:tc>
            </w:tr>
            <w:tr w14:paraId="7B7F1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0" w:type="dxa"/>
                  <w:tcBorders>
                    <w:tl2br w:val="nil"/>
                    <w:tr2bl w:val="nil"/>
                  </w:tcBorders>
                  <w:vAlign w:val="center"/>
                </w:tcPr>
                <w:p w14:paraId="64E7AEE3">
                  <w:pPr>
                    <w:pStyle w:val="84"/>
                    <w:spacing w:line="70" w:lineRule="atLeast"/>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总计</w:t>
                  </w:r>
                </w:p>
              </w:tc>
              <w:tc>
                <w:tcPr>
                  <w:tcW w:w="1729" w:type="dxa"/>
                  <w:tcBorders>
                    <w:tl2br w:val="nil"/>
                    <w:tr2bl w:val="nil"/>
                  </w:tcBorders>
                  <w:vAlign w:val="bottom"/>
                </w:tcPr>
                <w:p w14:paraId="10C0E7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9448.39</w:t>
                  </w:r>
                </w:p>
              </w:tc>
              <w:tc>
                <w:tcPr>
                  <w:tcW w:w="2080" w:type="dxa"/>
                  <w:tcBorders>
                    <w:tl2br w:val="nil"/>
                    <w:tr2bl w:val="nil"/>
                  </w:tcBorders>
                  <w:vAlign w:val="center"/>
                </w:tcPr>
                <w:p w14:paraId="538B827B">
                  <w:pPr>
                    <w:pStyle w:val="84"/>
                    <w:keepNext w:val="0"/>
                    <w:keepLines w:val="0"/>
                    <w:pageBreakBefore w:val="0"/>
                    <w:kinsoku/>
                    <w:wordWrap/>
                    <w:overflowPunct/>
                    <w:topLinePunct w:val="0"/>
                    <w:bidi w:val="0"/>
                    <w:spacing w:line="240" w:lineRule="auto"/>
                    <w:jc w:val="center"/>
                    <w:rPr>
                      <w:rFonts w:hint="eastAsia" w:ascii="仿宋_GB2312" w:hAnsi="宋体" w:eastAsia="仿宋_GB2312" w:cs="宋体"/>
                      <w:b w:val="0"/>
                      <w:bCs w:val="0"/>
                      <w:color w:val="FF0000"/>
                      <w:kern w:val="0"/>
                      <w:sz w:val="21"/>
                      <w:szCs w:val="21"/>
                      <w:vertAlign w:val="baseline"/>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总计</w:t>
                  </w:r>
                </w:p>
              </w:tc>
              <w:tc>
                <w:tcPr>
                  <w:tcW w:w="2080" w:type="dxa"/>
                  <w:tcBorders>
                    <w:tl2br w:val="nil"/>
                    <w:tr2bl w:val="nil"/>
                  </w:tcBorders>
                  <w:vAlign w:val="top"/>
                </w:tcPr>
                <w:p w14:paraId="064D96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9448.39</w:t>
                  </w:r>
                </w:p>
              </w:tc>
            </w:tr>
          </w:tbl>
          <w:p w14:paraId="3F450884">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b w:val="0"/>
                <w:bCs w:val="0"/>
                <w:color w:val="auto"/>
                <w:kern w:val="0"/>
                <w:sz w:val="24"/>
                <w:szCs w:val="24"/>
                <w:lang w:val="en-US" w:eastAsia="zh-CN"/>
              </w:rPr>
            </w:pPr>
          </w:p>
          <w:p w14:paraId="32D12924">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物料平衡图如下；</w:t>
            </w:r>
          </w:p>
          <w:p w14:paraId="6BC9FB0C">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5AB94591">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277C08D8">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64057191">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73D5463E">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3D8F494B">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394A5B6C">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2C4B0D5F">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719058C2">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b w:val="0"/>
                <w:bCs w:val="0"/>
                <w:color w:val="auto"/>
                <w:kern w:val="0"/>
                <w:sz w:val="24"/>
                <w:szCs w:val="24"/>
                <w:lang w:val="en-US" w:eastAsia="zh-CN"/>
              </w:rPr>
            </w:pPr>
          </w:p>
          <w:p w14:paraId="0C905B39">
            <w:pPr>
              <w:autoSpaceDE w:val="0"/>
              <w:autoSpaceDN w:val="0"/>
              <w:adjustRightInd w:val="0"/>
              <w:snapToGrid w:val="0"/>
              <w:spacing w:before="120" w:beforeLines="50" w:after="120" w:afterLines="50" w:line="360" w:lineRule="exact"/>
              <w:jc w:val="both"/>
              <w:rPr>
                <w:rFonts w:hint="eastAsia"/>
                <w:b/>
                <w:bCs/>
                <w:color w:val="auto"/>
                <w:kern w:val="0"/>
                <w:sz w:val="21"/>
                <w:szCs w:val="21"/>
                <w:lang w:val="en-US" w:eastAsia="zh-CN"/>
              </w:rPr>
            </w:pPr>
          </w:p>
          <w:p w14:paraId="756B6304">
            <w:pPr>
              <w:autoSpaceDE w:val="0"/>
              <w:autoSpaceDN w:val="0"/>
              <w:adjustRightInd w:val="0"/>
              <w:snapToGrid w:val="0"/>
              <w:spacing w:before="120" w:beforeLines="50" w:after="120" w:afterLines="50" w:line="360" w:lineRule="exact"/>
              <w:jc w:val="both"/>
              <w:rPr>
                <w:rFonts w:hint="eastAsia"/>
                <w:b/>
                <w:bCs/>
                <w:color w:val="auto"/>
                <w:kern w:val="0"/>
                <w:sz w:val="21"/>
                <w:szCs w:val="21"/>
                <w:lang w:val="en-US" w:eastAsia="zh-CN"/>
              </w:rPr>
            </w:pPr>
          </w:p>
          <w:p w14:paraId="444D41EE">
            <w:pPr>
              <w:autoSpaceDE w:val="0"/>
              <w:autoSpaceDN w:val="0"/>
              <w:adjustRightInd w:val="0"/>
              <w:snapToGrid w:val="0"/>
              <w:spacing w:before="120" w:beforeLines="50" w:after="120" w:afterLines="50" w:line="360" w:lineRule="exact"/>
              <w:jc w:val="both"/>
              <w:rPr>
                <w:rFonts w:hint="eastAsia"/>
                <w:b w:val="0"/>
                <w:bCs w:val="0"/>
                <w:color w:val="auto"/>
                <w:kern w:val="0"/>
                <w:sz w:val="24"/>
                <w:szCs w:val="24"/>
                <w:lang w:val="en-US" w:eastAsia="zh-CN"/>
              </w:rPr>
            </w:pPr>
          </w:p>
          <w:p w14:paraId="721BE748">
            <w:pPr>
              <w:autoSpaceDE w:val="0"/>
              <w:autoSpaceDN w:val="0"/>
              <w:adjustRightInd w:val="0"/>
              <w:snapToGrid w:val="0"/>
              <w:spacing w:before="120" w:beforeLines="50" w:after="120" w:afterLines="50" w:line="360" w:lineRule="exact"/>
              <w:jc w:val="both"/>
              <w:rPr>
                <w:rFonts w:hint="eastAsia"/>
                <w:b w:val="0"/>
                <w:bCs w:val="0"/>
                <w:color w:val="auto"/>
                <w:kern w:val="0"/>
                <w:sz w:val="24"/>
                <w:szCs w:val="24"/>
                <w:lang w:val="en-US" w:eastAsia="zh-CN"/>
              </w:rPr>
            </w:pPr>
          </w:p>
          <w:p w14:paraId="775880F6">
            <w:pPr>
              <w:autoSpaceDE w:val="0"/>
              <w:autoSpaceDN w:val="0"/>
              <w:adjustRightInd w:val="0"/>
              <w:snapToGrid w:val="0"/>
              <w:spacing w:before="120" w:beforeLines="50" w:after="120" w:afterLines="50" w:line="360" w:lineRule="exact"/>
              <w:jc w:val="both"/>
              <w:rPr>
                <w:rFonts w:hint="eastAsia"/>
                <w:b w:val="0"/>
                <w:bCs w:val="0"/>
                <w:color w:val="auto"/>
                <w:kern w:val="0"/>
                <w:sz w:val="24"/>
                <w:szCs w:val="24"/>
                <w:lang w:val="en-US" w:eastAsia="zh-CN"/>
              </w:rPr>
            </w:pPr>
          </w:p>
          <w:p w14:paraId="02253F5E">
            <w:pPr>
              <w:autoSpaceDE w:val="0"/>
              <w:autoSpaceDN w:val="0"/>
              <w:adjustRightInd w:val="0"/>
              <w:snapToGrid w:val="0"/>
              <w:spacing w:before="120" w:beforeLines="50" w:after="120" w:afterLines="50" w:line="360" w:lineRule="exact"/>
              <w:jc w:val="both"/>
              <w:rPr>
                <w:rFonts w:hint="eastAsia"/>
                <w:b w:val="0"/>
                <w:bCs w:val="0"/>
                <w:color w:val="auto"/>
                <w:kern w:val="0"/>
                <w:sz w:val="24"/>
                <w:szCs w:val="24"/>
                <w:lang w:val="en-US" w:eastAsia="zh-CN"/>
              </w:rPr>
            </w:pPr>
          </w:p>
          <w:p w14:paraId="2B0FF67E">
            <w:pPr>
              <w:autoSpaceDE w:val="0"/>
              <w:autoSpaceDN w:val="0"/>
              <w:adjustRightInd w:val="0"/>
              <w:snapToGrid w:val="0"/>
              <w:spacing w:before="120" w:beforeLines="50" w:after="120" w:afterLines="50" w:line="360" w:lineRule="exact"/>
              <w:jc w:val="both"/>
              <w:rPr>
                <w:rFonts w:hint="eastAsia"/>
                <w:b/>
                <w:bCs/>
                <w:color w:val="auto"/>
                <w:kern w:val="0"/>
                <w:sz w:val="21"/>
                <w:szCs w:val="21"/>
                <w:lang w:val="en-US" w:eastAsia="zh-CN"/>
              </w:rPr>
            </w:pPr>
            <w:r>
              <w:rPr>
                <w:rFonts w:hint="eastAsia"/>
                <w:b w:val="0"/>
                <w:bCs w:val="0"/>
                <w:color w:val="auto"/>
                <w:kern w:val="0"/>
                <w:sz w:val="24"/>
                <w:szCs w:val="24"/>
                <w:lang w:val="en-US" w:eastAsia="zh-CN"/>
              </w:rPr>
              <w:drawing>
                <wp:anchor distT="0" distB="0" distL="114300" distR="114300" simplePos="0" relativeHeight="251665408" behindDoc="0" locked="0" layoutInCell="1" allowOverlap="1">
                  <wp:simplePos x="0" y="0"/>
                  <wp:positionH relativeFrom="column">
                    <wp:posOffset>-52705</wp:posOffset>
                  </wp:positionH>
                  <wp:positionV relativeFrom="page">
                    <wp:posOffset>-40005</wp:posOffset>
                  </wp:positionV>
                  <wp:extent cx="5045710" cy="4375785"/>
                  <wp:effectExtent l="0" t="0" r="0" b="13335"/>
                  <wp:wrapNone/>
                  <wp:docPr id="40" name="ECB019B1-382A-4266-B25C-5B523AA43C14-2" descr="C:/Users/22312/AppData/Local/Temp/wps.Qxuly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B019B1-382A-4266-B25C-5B523AA43C14-2" descr="C:/Users/22312/AppData/Local/Temp/wps.QxulyFwps"/>
                          <pic:cNvPicPr>
                            <a:picLocks noChangeAspect="1"/>
                          </pic:cNvPicPr>
                        </pic:nvPicPr>
                        <pic:blipFill>
                          <a:blip r:embed="rId11"/>
                          <a:srcRect b="5524"/>
                          <a:stretch>
                            <a:fillRect/>
                          </a:stretch>
                        </pic:blipFill>
                        <pic:spPr>
                          <a:xfrm>
                            <a:off x="0" y="0"/>
                            <a:ext cx="5045710" cy="4375785"/>
                          </a:xfrm>
                          <a:prstGeom prst="rect">
                            <a:avLst/>
                          </a:prstGeom>
                        </pic:spPr>
                      </pic:pic>
                    </a:graphicData>
                  </a:graphic>
                </wp:anchor>
              </w:drawing>
            </w:r>
          </w:p>
          <w:p w14:paraId="5C7D9CE7">
            <w:pPr>
              <w:pStyle w:val="7"/>
              <w:rPr>
                <w:rFonts w:hint="eastAsia"/>
                <w:b/>
                <w:bCs/>
                <w:color w:val="auto"/>
                <w:kern w:val="0"/>
                <w:sz w:val="21"/>
                <w:szCs w:val="21"/>
                <w:lang w:val="en-US" w:eastAsia="zh-CN"/>
              </w:rPr>
            </w:pPr>
          </w:p>
          <w:p w14:paraId="5627651F">
            <w:pPr>
              <w:rPr>
                <w:rFonts w:hint="eastAsia"/>
                <w:b/>
                <w:bCs/>
                <w:color w:val="auto"/>
                <w:kern w:val="0"/>
                <w:sz w:val="21"/>
                <w:szCs w:val="21"/>
                <w:lang w:val="en-US" w:eastAsia="zh-CN"/>
              </w:rPr>
            </w:pPr>
          </w:p>
          <w:p w14:paraId="7BC2031D">
            <w:pPr>
              <w:pStyle w:val="7"/>
              <w:rPr>
                <w:rFonts w:hint="eastAsia"/>
                <w:b/>
                <w:bCs/>
                <w:color w:val="auto"/>
                <w:kern w:val="0"/>
                <w:sz w:val="21"/>
                <w:szCs w:val="21"/>
                <w:lang w:val="en-US" w:eastAsia="zh-CN"/>
              </w:rPr>
            </w:pPr>
          </w:p>
          <w:p w14:paraId="26821173">
            <w:pPr>
              <w:rPr>
                <w:rFonts w:hint="eastAsia"/>
                <w:b/>
                <w:bCs/>
                <w:color w:val="auto"/>
                <w:kern w:val="0"/>
                <w:sz w:val="21"/>
                <w:szCs w:val="21"/>
                <w:lang w:val="en-US" w:eastAsia="zh-CN"/>
              </w:rPr>
            </w:pPr>
          </w:p>
          <w:p w14:paraId="499D273C">
            <w:pPr>
              <w:pStyle w:val="7"/>
              <w:rPr>
                <w:rFonts w:hint="eastAsia"/>
                <w:b/>
                <w:bCs/>
                <w:color w:val="auto"/>
                <w:kern w:val="0"/>
                <w:sz w:val="21"/>
                <w:szCs w:val="21"/>
                <w:lang w:val="en-US" w:eastAsia="zh-CN"/>
              </w:rPr>
            </w:pPr>
          </w:p>
          <w:p w14:paraId="3FCDCD3E">
            <w:pPr>
              <w:rPr>
                <w:rFonts w:hint="eastAsia"/>
                <w:b/>
                <w:bCs/>
                <w:color w:val="auto"/>
                <w:kern w:val="0"/>
                <w:sz w:val="21"/>
                <w:szCs w:val="21"/>
                <w:lang w:val="en-US" w:eastAsia="zh-CN"/>
              </w:rPr>
            </w:pPr>
          </w:p>
          <w:p w14:paraId="30C47FF3">
            <w:pPr>
              <w:pStyle w:val="7"/>
              <w:rPr>
                <w:rFonts w:hint="eastAsia"/>
                <w:b/>
                <w:bCs/>
                <w:color w:val="auto"/>
                <w:kern w:val="0"/>
                <w:sz w:val="21"/>
                <w:szCs w:val="21"/>
                <w:lang w:val="en-US" w:eastAsia="zh-CN"/>
              </w:rPr>
            </w:pPr>
          </w:p>
          <w:p w14:paraId="44B11EA8">
            <w:pPr>
              <w:rPr>
                <w:rFonts w:hint="eastAsia"/>
                <w:b/>
                <w:bCs/>
                <w:color w:val="auto"/>
                <w:kern w:val="0"/>
                <w:sz w:val="21"/>
                <w:szCs w:val="21"/>
                <w:lang w:val="en-US" w:eastAsia="zh-CN"/>
              </w:rPr>
            </w:pPr>
          </w:p>
          <w:p w14:paraId="2C44D181">
            <w:pPr>
              <w:pStyle w:val="7"/>
              <w:rPr>
                <w:rFonts w:hint="eastAsia"/>
                <w:b/>
                <w:bCs/>
                <w:color w:val="auto"/>
                <w:kern w:val="0"/>
                <w:sz w:val="21"/>
                <w:szCs w:val="21"/>
                <w:lang w:val="en-US" w:eastAsia="zh-CN"/>
              </w:rPr>
            </w:pPr>
          </w:p>
          <w:p w14:paraId="73736408">
            <w:pPr>
              <w:rPr>
                <w:rFonts w:hint="eastAsia"/>
                <w:b/>
                <w:bCs/>
                <w:color w:val="auto"/>
                <w:kern w:val="0"/>
                <w:sz w:val="21"/>
                <w:szCs w:val="21"/>
                <w:lang w:val="en-US" w:eastAsia="zh-CN"/>
              </w:rPr>
            </w:pPr>
          </w:p>
          <w:p w14:paraId="36434918">
            <w:pPr>
              <w:pStyle w:val="7"/>
              <w:rPr>
                <w:rFonts w:hint="eastAsia"/>
                <w:b/>
                <w:bCs/>
                <w:color w:val="auto"/>
                <w:kern w:val="0"/>
                <w:sz w:val="21"/>
                <w:szCs w:val="21"/>
                <w:lang w:val="en-US" w:eastAsia="zh-CN"/>
              </w:rPr>
            </w:pPr>
          </w:p>
          <w:p w14:paraId="5CF95E0C">
            <w:pPr>
              <w:rPr>
                <w:rFonts w:hint="eastAsia"/>
                <w:b/>
                <w:bCs/>
                <w:color w:val="auto"/>
                <w:kern w:val="0"/>
                <w:sz w:val="21"/>
                <w:szCs w:val="21"/>
                <w:lang w:val="en-US" w:eastAsia="zh-CN"/>
              </w:rPr>
            </w:pPr>
          </w:p>
          <w:p w14:paraId="5E93957A">
            <w:pPr>
              <w:rPr>
                <w:rFonts w:hint="eastAsia"/>
                <w:lang w:val="en-US" w:eastAsia="zh-CN"/>
              </w:rPr>
            </w:pPr>
          </w:p>
          <w:p w14:paraId="6DA5C5DF">
            <w:pPr>
              <w:autoSpaceDE w:val="0"/>
              <w:autoSpaceDN w:val="0"/>
              <w:adjustRightInd w:val="0"/>
              <w:snapToGrid w:val="0"/>
              <w:spacing w:before="120" w:beforeLines="50" w:after="120" w:afterLines="50" w:line="360" w:lineRule="exact"/>
              <w:jc w:val="center"/>
              <w:rPr>
                <w:rFonts w:hint="eastAsia"/>
                <w:b/>
                <w:bCs/>
                <w:color w:val="auto"/>
                <w:kern w:val="0"/>
                <w:sz w:val="21"/>
                <w:szCs w:val="21"/>
                <w:lang w:val="en-US" w:eastAsia="zh-CN"/>
              </w:rPr>
            </w:pPr>
          </w:p>
          <w:p w14:paraId="75A4CB38">
            <w:pPr>
              <w:autoSpaceDE w:val="0"/>
              <w:autoSpaceDN w:val="0"/>
              <w:adjustRightInd w:val="0"/>
              <w:snapToGrid w:val="0"/>
              <w:spacing w:before="120" w:beforeLines="50" w:after="120" w:afterLines="50" w:line="360" w:lineRule="exact"/>
              <w:jc w:val="center"/>
              <w:rPr>
                <w:rFonts w:hint="eastAsia"/>
                <w:b/>
                <w:bCs/>
                <w:color w:val="auto"/>
                <w:kern w:val="0"/>
                <w:sz w:val="21"/>
                <w:szCs w:val="21"/>
                <w:lang w:val="en-US" w:eastAsia="zh-CN"/>
              </w:rPr>
            </w:pPr>
          </w:p>
          <w:p w14:paraId="490CBD70">
            <w:pPr>
              <w:autoSpaceDE w:val="0"/>
              <w:autoSpaceDN w:val="0"/>
              <w:adjustRightInd w:val="0"/>
              <w:snapToGrid w:val="0"/>
              <w:spacing w:before="120" w:beforeLines="50" w:after="120" w:afterLines="50" w:line="360" w:lineRule="exact"/>
              <w:jc w:val="center"/>
              <w:rPr>
                <w:rFonts w:hint="eastAsia"/>
                <w:b/>
                <w:bCs/>
                <w:color w:val="auto"/>
                <w:kern w:val="0"/>
                <w:sz w:val="21"/>
                <w:szCs w:val="21"/>
                <w:lang w:val="en-US" w:eastAsia="zh-CN"/>
              </w:rPr>
            </w:pPr>
          </w:p>
          <w:p w14:paraId="5E1F0092">
            <w:pPr>
              <w:autoSpaceDE w:val="0"/>
              <w:autoSpaceDN w:val="0"/>
              <w:adjustRightInd w:val="0"/>
              <w:snapToGrid w:val="0"/>
              <w:spacing w:before="120" w:beforeLines="50" w:after="120" w:afterLines="50" w:line="360" w:lineRule="exact"/>
              <w:jc w:val="center"/>
              <w:rPr>
                <w:rFonts w:hint="eastAsia"/>
                <w:b/>
                <w:bCs/>
                <w:color w:val="auto"/>
                <w:kern w:val="0"/>
                <w:sz w:val="21"/>
                <w:szCs w:val="21"/>
                <w:lang w:val="en-US" w:eastAsia="zh-CN"/>
              </w:rPr>
            </w:pPr>
          </w:p>
          <w:p w14:paraId="61121B94">
            <w:pPr>
              <w:autoSpaceDE w:val="0"/>
              <w:autoSpaceDN w:val="0"/>
              <w:adjustRightInd w:val="0"/>
              <w:snapToGrid w:val="0"/>
              <w:spacing w:before="120" w:beforeLines="50" w:after="120" w:afterLines="50" w:line="360" w:lineRule="exact"/>
              <w:jc w:val="center"/>
            </w:pPr>
            <w:r>
              <w:rPr>
                <w:rFonts w:hint="eastAsia"/>
                <w:b/>
                <w:bCs/>
                <w:color w:val="auto"/>
                <w:kern w:val="0"/>
                <w:sz w:val="21"/>
                <w:szCs w:val="21"/>
                <w:lang w:val="en-US" w:eastAsia="zh-CN"/>
              </w:rPr>
              <w:t>图2-2 菌种构建和培养物料平衡图（单位：a）</w:t>
            </w:r>
          </w:p>
          <w:p w14:paraId="31B1FB11">
            <w:pPr>
              <w:keepNext w:val="0"/>
              <w:keepLines w:val="0"/>
              <w:pageBreakBefore w:val="0"/>
              <w:widowControl w:val="0"/>
              <w:numPr>
                <w:ilvl w:val="0"/>
                <w:numId w:val="13"/>
              </w:numPr>
              <w:kinsoku/>
              <w:wordWrap/>
              <w:overflowPunct/>
              <w:topLinePunct w:val="0"/>
              <w:autoSpaceDE w:val="0"/>
              <w:autoSpaceDN w:val="0"/>
              <w:bidi w:val="0"/>
              <w:adjustRightInd w:val="0"/>
              <w:snapToGrid w:val="0"/>
              <w:spacing w:line="480" w:lineRule="exact"/>
              <w:ind w:firstLine="480" w:firstLineChars="200"/>
              <w:textAlignment w:val="auto"/>
              <w:rPr>
                <w:rFonts w:hint="eastAsia"/>
                <w:b/>
                <w:bCs/>
                <w:color w:val="auto"/>
                <w:kern w:val="0"/>
                <w:sz w:val="24"/>
                <w:szCs w:val="24"/>
                <w:lang w:val="en-US" w:eastAsia="zh-CN"/>
              </w:rPr>
            </w:pPr>
            <w:r>
              <w:rPr>
                <w:rFonts w:hint="eastAsia"/>
                <w:b w:val="0"/>
                <w:bCs w:val="0"/>
                <w:color w:val="auto"/>
                <w:sz w:val="24"/>
                <w:szCs w:val="24"/>
                <w:lang w:val="en-US" w:eastAsia="zh-CN"/>
              </w:rPr>
              <w:t>酵罐发酵工艺开发平衡</w:t>
            </w:r>
          </w:p>
          <w:p w14:paraId="65152355">
            <w:pPr>
              <w:keepNext w:val="0"/>
              <w:keepLines w:val="0"/>
              <w:pageBreakBefore w:val="0"/>
              <w:widowControl w:val="0"/>
              <w:kinsoku/>
              <w:wordWrap/>
              <w:overflowPunct/>
              <w:topLinePunct w:val="0"/>
              <w:autoSpaceDE w:val="0"/>
              <w:autoSpaceDN w:val="0"/>
              <w:bidi w:val="0"/>
              <w:adjustRightInd w:val="0"/>
              <w:snapToGrid w:val="0"/>
              <w:spacing w:before="120" w:beforeLines="50" w:after="120" w:afterLines="50" w:line="240" w:lineRule="auto"/>
              <w:ind w:firstLine="422" w:firstLineChars="200"/>
              <w:jc w:val="center"/>
              <w:textAlignment w:val="auto"/>
              <w:rPr>
                <w:rFonts w:hint="eastAsia"/>
                <w:b/>
                <w:bCs/>
                <w:color w:val="auto"/>
                <w:kern w:val="0"/>
                <w:sz w:val="21"/>
                <w:szCs w:val="21"/>
                <w:lang w:val="en-US" w:eastAsia="zh-CN"/>
              </w:rPr>
            </w:pPr>
            <w:r>
              <w:rPr>
                <w:rFonts w:hint="eastAsia"/>
                <w:b/>
                <w:bCs/>
                <w:color w:val="auto"/>
                <w:kern w:val="0"/>
                <w:sz w:val="21"/>
                <w:szCs w:val="21"/>
                <w:lang w:val="en-US" w:eastAsia="zh-CN"/>
              </w:rPr>
              <w:t xml:space="preserve">表2-13  </w:t>
            </w:r>
            <w:r>
              <w:rPr>
                <w:rFonts w:hint="eastAsia" w:cs="Times New Roman"/>
                <w:b/>
                <w:bCs w:val="0"/>
                <w:color w:val="auto"/>
                <w:sz w:val="21"/>
                <w:szCs w:val="21"/>
                <w:lang w:val="en-US" w:eastAsia="zh-CN" w:bidi="ar-SA"/>
              </w:rPr>
              <w:t>酵罐发酵工艺开发</w:t>
            </w:r>
            <w:r>
              <w:rPr>
                <w:rFonts w:hint="eastAsia"/>
                <w:b/>
                <w:bCs/>
                <w:color w:val="auto"/>
                <w:kern w:val="0"/>
                <w:sz w:val="21"/>
                <w:szCs w:val="21"/>
                <w:lang w:val="en-US" w:eastAsia="zh-CN"/>
              </w:rPr>
              <w:t>物料平衡（kg/a）</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1729"/>
              <w:gridCol w:w="2080"/>
              <w:gridCol w:w="2080"/>
            </w:tblGrid>
            <w:tr w14:paraId="2B1E6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59" w:type="dxa"/>
                  <w:gridSpan w:val="2"/>
                  <w:tcBorders>
                    <w:tl2br w:val="nil"/>
                    <w:tr2bl w:val="nil"/>
                  </w:tcBorders>
                  <w:vAlign w:val="center"/>
                </w:tcPr>
                <w:p w14:paraId="214051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输入</w:t>
                  </w:r>
                </w:p>
              </w:tc>
              <w:tc>
                <w:tcPr>
                  <w:tcW w:w="4160" w:type="dxa"/>
                  <w:gridSpan w:val="2"/>
                  <w:tcBorders>
                    <w:tl2br w:val="nil"/>
                    <w:tr2bl w:val="nil"/>
                  </w:tcBorders>
                  <w:vAlign w:val="center"/>
                </w:tcPr>
                <w:p w14:paraId="50E6C0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输出</w:t>
                  </w:r>
                </w:p>
              </w:tc>
            </w:tr>
            <w:tr w14:paraId="629DB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0" w:type="dxa"/>
                  <w:tcBorders>
                    <w:tl2br w:val="nil"/>
                    <w:tr2bl w:val="nil"/>
                  </w:tcBorders>
                  <w:vAlign w:val="bottom"/>
                </w:tcPr>
                <w:p w14:paraId="16A55F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菌种保存液</w:t>
                  </w:r>
                </w:p>
              </w:tc>
              <w:tc>
                <w:tcPr>
                  <w:tcW w:w="1729" w:type="dxa"/>
                  <w:tcBorders>
                    <w:tl2br w:val="nil"/>
                    <w:tr2bl w:val="nil"/>
                  </w:tcBorders>
                  <w:vAlign w:val="bottom"/>
                </w:tcPr>
                <w:p w14:paraId="79510D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1.18</w:t>
                  </w:r>
                </w:p>
              </w:tc>
              <w:tc>
                <w:tcPr>
                  <w:tcW w:w="2080" w:type="dxa"/>
                  <w:tcBorders>
                    <w:tl2br w:val="nil"/>
                    <w:tr2bl w:val="nil"/>
                  </w:tcBorders>
                  <w:vAlign w:val="center"/>
                </w:tcPr>
                <w:p w14:paraId="6A9583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b w:val="0"/>
                      <w:bCs w:val="0"/>
                      <w:color w:val="auto"/>
                      <w:kern w:val="0"/>
                      <w:sz w:val="21"/>
                      <w:szCs w:val="21"/>
                      <w:vertAlign w:val="baseline"/>
                      <w:lang w:val="en-US" w:eastAsia="zh-CN"/>
                    </w:rPr>
                    <w:t>废气</w:t>
                  </w:r>
                </w:p>
              </w:tc>
              <w:tc>
                <w:tcPr>
                  <w:tcW w:w="2080" w:type="dxa"/>
                  <w:tcBorders>
                    <w:tl2br w:val="nil"/>
                    <w:tr2bl w:val="nil"/>
                  </w:tcBorders>
                  <w:vAlign w:val="center"/>
                </w:tcPr>
                <w:p w14:paraId="643662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811.696</w:t>
                  </w:r>
                </w:p>
              </w:tc>
            </w:tr>
            <w:tr w14:paraId="56363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430" w:type="dxa"/>
                  <w:tcBorders>
                    <w:tl2br w:val="nil"/>
                    <w:tr2bl w:val="nil"/>
                  </w:tcBorders>
                  <w:vAlign w:val="bottom"/>
                </w:tcPr>
                <w:p w14:paraId="67ACDB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蛋白胨</w:t>
                  </w:r>
                </w:p>
              </w:tc>
              <w:tc>
                <w:tcPr>
                  <w:tcW w:w="1729" w:type="dxa"/>
                  <w:tcBorders>
                    <w:tl2br w:val="nil"/>
                    <w:tr2bl w:val="nil"/>
                  </w:tcBorders>
                  <w:vAlign w:val="bottom"/>
                </w:tcPr>
                <w:p w14:paraId="5692CA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6.5</w:t>
                  </w:r>
                </w:p>
              </w:tc>
              <w:tc>
                <w:tcPr>
                  <w:tcW w:w="2080" w:type="dxa"/>
                  <w:tcBorders>
                    <w:tl2br w:val="nil"/>
                    <w:tr2bl w:val="nil"/>
                  </w:tcBorders>
                  <w:vAlign w:val="center"/>
                </w:tcPr>
                <w:p w14:paraId="544054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b w:val="0"/>
                      <w:bCs w:val="0"/>
                      <w:color w:val="auto"/>
                      <w:kern w:val="0"/>
                      <w:sz w:val="21"/>
                      <w:szCs w:val="21"/>
                      <w:vertAlign w:val="baseline"/>
                      <w:lang w:val="en-US" w:eastAsia="zh-CN"/>
                    </w:rPr>
                    <w:t>废液</w:t>
                  </w:r>
                </w:p>
              </w:tc>
              <w:tc>
                <w:tcPr>
                  <w:tcW w:w="2080" w:type="dxa"/>
                  <w:tcBorders>
                    <w:tl2br w:val="nil"/>
                    <w:tr2bl w:val="nil"/>
                  </w:tcBorders>
                  <w:vAlign w:val="center"/>
                </w:tcPr>
                <w:p w14:paraId="5B7D38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kern w:val="0"/>
                      <w:sz w:val="21"/>
                      <w:szCs w:val="21"/>
                      <w:vertAlign w:val="baseline"/>
                      <w:lang w:val="en-US" w:eastAsia="zh-CN" w:bidi="ar-SA"/>
                    </w:rPr>
                    <w:t>348</w:t>
                  </w:r>
                </w:p>
              </w:tc>
            </w:tr>
            <w:tr w14:paraId="73954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250E92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酵母粉</w:t>
                  </w:r>
                </w:p>
              </w:tc>
              <w:tc>
                <w:tcPr>
                  <w:tcW w:w="1729" w:type="dxa"/>
                  <w:tcBorders>
                    <w:tl2br w:val="nil"/>
                    <w:tr2bl w:val="nil"/>
                  </w:tcBorders>
                  <w:vAlign w:val="bottom"/>
                </w:tcPr>
                <w:p w14:paraId="6ABFBE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4.25</w:t>
                  </w:r>
                </w:p>
              </w:tc>
              <w:tc>
                <w:tcPr>
                  <w:tcW w:w="2080" w:type="dxa"/>
                  <w:tcBorders>
                    <w:tl2br w:val="nil"/>
                    <w:tr2bl w:val="nil"/>
                  </w:tcBorders>
                  <w:vAlign w:val="center"/>
                </w:tcPr>
                <w:p w14:paraId="29CACA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2080" w:type="dxa"/>
                  <w:tcBorders>
                    <w:tl2br w:val="nil"/>
                    <w:tr2bl w:val="nil"/>
                  </w:tcBorders>
                  <w:vAlign w:val="center"/>
                </w:tcPr>
                <w:p w14:paraId="6A7500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r>
            <w:tr w14:paraId="28E82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1C826F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氯化钠</w:t>
                  </w:r>
                </w:p>
              </w:tc>
              <w:tc>
                <w:tcPr>
                  <w:tcW w:w="1729" w:type="dxa"/>
                  <w:tcBorders>
                    <w:tl2br w:val="nil"/>
                    <w:tr2bl w:val="nil"/>
                  </w:tcBorders>
                  <w:vAlign w:val="bottom"/>
                </w:tcPr>
                <w:p w14:paraId="29E925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0.7</w:t>
                  </w:r>
                </w:p>
              </w:tc>
              <w:tc>
                <w:tcPr>
                  <w:tcW w:w="2080" w:type="dxa"/>
                  <w:tcBorders>
                    <w:tl2br w:val="nil"/>
                    <w:tr2bl w:val="nil"/>
                  </w:tcBorders>
                  <w:vAlign w:val="center"/>
                </w:tcPr>
                <w:p w14:paraId="235B9C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2080" w:type="dxa"/>
                  <w:tcBorders>
                    <w:tl2br w:val="nil"/>
                    <w:tr2bl w:val="nil"/>
                  </w:tcBorders>
                  <w:vAlign w:val="center"/>
                </w:tcPr>
                <w:p w14:paraId="1BC33B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r>
            <w:tr w14:paraId="5E530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628FB5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纯水</w:t>
                  </w:r>
                </w:p>
              </w:tc>
              <w:tc>
                <w:tcPr>
                  <w:tcW w:w="1729" w:type="dxa"/>
                  <w:tcBorders>
                    <w:tl2br w:val="nil"/>
                    <w:tr2bl w:val="nil"/>
                  </w:tcBorders>
                  <w:vAlign w:val="bottom"/>
                </w:tcPr>
                <w:p w14:paraId="50FD80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699.7</w:t>
                  </w:r>
                </w:p>
              </w:tc>
              <w:tc>
                <w:tcPr>
                  <w:tcW w:w="2080" w:type="dxa"/>
                  <w:tcBorders>
                    <w:tl2br w:val="nil"/>
                    <w:tr2bl w:val="nil"/>
                  </w:tcBorders>
                  <w:vAlign w:val="center"/>
                </w:tcPr>
                <w:p w14:paraId="4B7D59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2080" w:type="dxa"/>
                  <w:tcBorders>
                    <w:tl2br w:val="nil"/>
                    <w:tr2bl w:val="nil"/>
                  </w:tcBorders>
                  <w:vAlign w:val="center"/>
                </w:tcPr>
                <w:p w14:paraId="33E987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49C20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3E49AD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甘油</w:t>
                  </w:r>
                </w:p>
              </w:tc>
              <w:tc>
                <w:tcPr>
                  <w:tcW w:w="1729" w:type="dxa"/>
                  <w:tcBorders>
                    <w:tl2br w:val="nil"/>
                    <w:tr2bl w:val="nil"/>
                  </w:tcBorders>
                  <w:vAlign w:val="bottom"/>
                </w:tcPr>
                <w:p w14:paraId="740256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10</w:t>
                  </w:r>
                </w:p>
              </w:tc>
              <w:tc>
                <w:tcPr>
                  <w:tcW w:w="2080" w:type="dxa"/>
                  <w:tcBorders>
                    <w:tl2br w:val="nil"/>
                    <w:tr2bl w:val="nil"/>
                  </w:tcBorders>
                  <w:vAlign w:val="center"/>
                </w:tcPr>
                <w:p w14:paraId="788951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2080" w:type="dxa"/>
                  <w:tcBorders>
                    <w:tl2br w:val="nil"/>
                    <w:tr2bl w:val="nil"/>
                  </w:tcBorders>
                  <w:vAlign w:val="center"/>
                </w:tcPr>
                <w:p w14:paraId="3A3E73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045C0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17F35A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磷酸氢二钠</w:t>
                  </w:r>
                </w:p>
              </w:tc>
              <w:tc>
                <w:tcPr>
                  <w:tcW w:w="1729" w:type="dxa"/>
                  <w:tcBorders>
                    <w:tl2br w:val="nil"/>
                    <w:tr2bl w:val="nil"/>
                  </w:tcBorders>
                  <w:vAlign w:val="bottom"/>
                </w:tcPr>
                <w:p w14:paraId="648874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1.4</w:t>
                  </w:r>
                </w:p>
              </w:tc>
              <w:tc>
                <w:tcPr>
                  <w:tcW w:w="0" w:type="auto"/>
                  <w:tcBorders>
                    <w:tl2br w:val="nil"/>
                    <w:tr2bl w:val="nil"/>
                  </w:tcBorders>
                </w:tcPr>
                <w:p w14:paraId="2D2D68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785D68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4FEAF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1FDB49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磷酸二氢钾</w:t>
                  </w:r>
                </w:p>
              </w:tc>
              <w:tc>
                <w:tcPr>
                  <w:tcW w:w="1729" w:type="dxa"/>
                  <w:tcBorders>
                    <w:tl2br w:val="nil"/>
                    <w:tr2bl w:val="nil"/>
                  </w:tcBorders>
                  <w:vAlign w:val="bottom"/>
                </w:tcPr>
                <w:p w14:paraId="1EA50C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0.7</w:t>
                  </w:r>
                </w:p>
              </w:tc>
              <w:tc>
                <w:tcPr>
                  <w:tcW w:w="0" w:type="auto"/>
                  <w:tcBorders>
                    <w:tl2br w:val="nil"/>
                    <w:tr2bl w:val="nil"/>
                  </w:tcBorders>
                </w:tcPr>
                <w:p w14:paraId="10C37A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0C125B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6979A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6407F9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硫酸镁</w:t>
                  </w:r>
                </w:p>
              </w:tc>
              <w:tc>
                <w:tcPr>
                  <w:tcW w:w="1729" w:type="dxa"/>
                  <w:tcBorders>
                    <w:tl2br w:val="nil"/>
                    <w:tr2bl w:val="nil"/>
                  </w:tcBorders>
                  <w:vAlign w:val="bottom"/>
                </w:tcPr>
                <w:p w14:paraId="398418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0.024</w:t>
                  </w:r>
                </w:p>
              </w:tc>
              <w:tc>
                <w:tcPr>
                  <w:tcW w:w="0" w:type="auto"/>
                  <w:tcBorders>
                    <w:tl2br w:val="nil"/>
                    <w:tr2bl w:val="nil"/>
                  </w:tcBorders>
                </w:tcPr>
                <w:p w14:paraId="6FB45F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45E043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14DD8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25441F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硫酸铵</w:t>
                  </w:r>
                </w:p>
              </w:tc>
              <w:tc>
                <w:tcPr>
                  <w:tcW w:w="1729" w:type="dxa"/>
                  <w:tcBorders>
                    <w:tl2br w:val="nil"/>
                    <w:tr2bl w:val="nil"/>
                  </w:tcBorders>
                  <w:vAlign w:val="bottom"/>
                </w:tcPr>
                <w:p w14:paraId="248C6F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1.2</w:t>
                  </w:r>
                </w:p>
              </w:tc>
              <w:tc>
                <w:tcPr>
                  <w:tcW w:w="0" w:type="auto"/>
                  <w:tcBorders>
                    <w:tl2br w:val="nil"/>
                    <w:tr2bl w:val="nil"/>
                  </w:tcBorders>
                </w:tcPr>
                <w:p w14:paraId="19AD6D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196B0D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7EF38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52F500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消泡剂</w:t>
                  </w:r>
                </w:p>
              </w:tc>
              <w:tc>
                <w:tcPr>
                  <w:tcW w:w="1729" w:type="dxa"/>
                  <w:tcBorders>
                    <w:tl2br w:val="nil"/>
                    <w:tr2bl w:val="nil"/>
                  </w:tcBorders>
                  <w:vAlign w:val="bottom"/>
                </w:tcPr>
                <w:p w14:paraId="0C87FF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0.5</w:t>
                  </w:r>
                </w:p>
              </w:tc>
              <w:tc>
                <w:tcPr>
                  <w:tcW w:w="0" w:type="auto"/>
                  <w:tcBorders>
                    <w:tl2br w:val="nil"/>
                    <w:tr2bl w:val="nil"/>
                  </w:tcBorders>
                </w:tcPr>
                <w:p w14:paraId="6587BD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475B15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75C0F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6468F0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葡萄糖</w:t>
                  </w:r>
                </w:p>
              </w:tc>
              <w:tc>
                <w:tcPr>
                  <w:tcW w:w="1729" w:type="dxa"/>
                  <w:tcBorders>
                    <w:tl2br w:val="nil"/>
                    <w:tr2bl w:val="nil"/>
                  </w:tcBorders>
                  <w:vAlign w:val="bottom"/>
                </w:tcPr>
                <w:p w14:paraId="16AE6A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104</w:t>
                  </w:r>
                </w:p>
              </w:tc>
              <w:tc>
                <w:tcPr>
                  <w:tcW w:w="0" w:type="auto"/>
                  <w:tcBorders>
                    <w:tl2br w:val="nil"/>
                    <w:tr2bl w:val="nil"/>
                  </w:tcBorders>
                </w:tcPr>
                <w:p w14:paraId="0300F7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35ABD7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67ED3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430" w:type="dxa"/>
                  <w:tcBorders>
                    <w:tl2br w:val="nil"/>
                    <w:tr2bl w:val="nil"/>
                  </w:tcBorders>
                  <w:vAlign w:val="bottom"/>
                </w:tcPr>
                <w:p w14:paraId="15F3CF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玉米浆粉</w:t>
                  </w:r>
                </w:p>
              </w:tc>
              <w:tc>
                <w:tcPr>
                  <w:tcW w:w="1729" w:type="dxa"/>
                  <w:tcBorders>
                    <w:tl2br w:val="nil"/>
                    <w:tr2bl w:val="nil"/>
                  </w:tcBorders>
                  <w:vAlign w:val="bottom"/>
                </w:tcPr>
                <w:p w14:paraId="0A39A0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2</w:t>
                  </w:r>
                </w:p>
              </w:tc>
              <w:tc>
                <w:tcPr>
                  <w:tcW w:w="0" w:type="auto"/>
                  <w:tcBorders>
                    <w:tl2br w:val="nil"/>
                    <w:tr2bl w:val="nil"/>
                  </w:tcBorders>
                </w:tcPr>
                <w:p w14:paraId="5096FC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57C8DE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6D6BE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3F1360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氢氧化钠</w:t>
                  </w:r>
                </w:p>
              </w:tc>
              <w:tc>
                <w:tcPr>
                  <w:tcW w:w="1729" w:type="dxa"/>
                  <w:tcBorders>
                    <w:tl2br w:val="nil"/>
                    <w:tr2bl w:val="nil"/>
                  </w:tcBorders>
                  <w:vAlign w:val="bottom"/>
                </w:tcPr>
                <w:p w14:paraId="5F16E2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0.5</w:t>
                  </w:r>
                </w:p>
              </w:tc>
              <w:tc>
                <w:tcPr>
                  <w:tcW w:w="0" w:type="auto"/>
                  <w:tcBorders>
                    <w:tl2br w:val="nil"/>
                    <w:tr2bl w:val="nil"/>
                  </w:tcBorders>
                </w:tcPr>
                <w:p w14:paraId="7617D0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09B3A4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2BFA7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3736A9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空气</w:t>
                  </w:r>
                </w:p>
              </w:tc>
              <w:tc>
                <w:tcPr>
                  <w:tcW w:w="1729" w:type="dxa"/>
                  <w:tcBorders>
                    <w:tl2br w:val="nil"/>
                    <w:tr2bl w:val="nil"/>
                  </w:tcBorders>
                  <w:vAlign w:val="bottom"/>
                </w:tcPr>
                <w:p w14:paraId="4916F9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604.042</w:t>
                  </w:r>
                </w:p>
              </w:tc>
              <w:tc>
                <w:tcPr>
                  <w:tcW w:w="0" w:type="auto"/>
                  <w:tcBorders>
                    <w:tl2br w:val="nil"/>
                    <w:tr2bl w:val="nil"/>
                  </w:tcBorders>
                </w:tcPr>
                <w:p w14:paraId="60D054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5B0261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370D7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6EAA92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大肠杆菌</w:t>
                  </w:r>
                </w:p>
              </w:tc>
              <w:tc>
                <w:tcPr>
                  <w:tcW w:w="1729" w:type="dxa"/>
                  <w:tcBorders>
                    <w:tl2br w:val="nil"/>
                    <w:tr2bl w:val="nil"/>
                  </w:tcBorders>
                  <w:vAlign w:val="bottom"/>
                </w:tcPr>
                <w:p w14:paraId="50EB25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w:t>
                  </w:r>
                </w:p>
              </w:tc>
              <w:tc>
                <w:tcPr>
                  <w:tcW w:w="0" w:type="auto"/>
                  <w:tcBorders>
                    <w:tl2br w:val="nil"/>
                    <w:tr2bl w:val="nil"/>
                  </w:tcBorders>
                </w:tcPr>
                <w:p w14:paraId="226119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c>
                <w:tcPr>
                  <w:tcW w:w="0" w:type="auto"/>
                  <w:tcBorders>
                    <w:tl2br w:val="nil"/>
                    <w:tr2bl w:val="nil"/>
                  </w:tcBorders>
                </w:tcPr>
                <w:p w14:paraId="069B2D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p>
              </w:tc>
            </w:tr>
            <w:tr w14:paraId="4AE61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center"/>
                </w:tcPr>
                <w:p w14:paraId="35A11F55">
                  <w:pPr>
                    <w:pStyle w:val="84"/>
                    <w:spacing w:line="70" w:lineRule="atLeast"/>
                    <w:jc w:val="center"/>
                    <w:rPr>
                      <w:rFonts w:hint="eastAsia"/>
                      <w:b w:val="0"/>
                      <w:bCs w:val="0"/>
                      <w:color w:val="auto"/>
                      <w:kern w:val="0"/>
                      <w:sz w:val="21"/>
                      <w:szCs w:val="21"/>
                      <w:vertAlign w:val="baseline"/>
                      <w:lang w:val="en-US" w:eastAsia="zh-CN"/>
                    </w:rPr>
                  </w:pPr>
                  <w:r>
                    <w:rPr>
                      <w:rFonts w:hint="eastAsia" w:ascii="Times New Roman" w:hAnsi="Times New Roman" w:cs="Times New Roman" w:eastAsiaTheme="minorEastAsia"/>
                      <w:color w:val="auto"/>
                      <w:sz w:val="21"/>
                      <w:szCs w:val="21"/>
                      <w:lang w:val="en-US" w:eastAsia="zh-CN"/>
                    </w:rPr>
                    <w:t>总计</w:t>
                  </w:r>
                </w:p>
              </w:tc>
              <w:tc>
                <w:tcPr>
                  <w:tcW w:w="1729" w:type="dxa"/>
                  <w:tcBorders>
                    <w:tl2br w:val="nil"/>
                    <w:tr2bl w:val="nil"/>
                  </w:tcBorders>
                  <w:vAlign w:val="top"/>
                </w:tcPr>
                <w:p w14:paraId="24FB05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auto"/>
                      <w:kern w:val="0"/>
                      <w:sz w:val="21"/>
                      <w:szCs w:val="21"/>
                      <w:vertAlign w:val="baseline"/>
                      <w:lang w:val="en-US" w:eastAsia="zh-CN"/>
                    </w:rPr>
                  </w:pPr>
                  <w:r>
                    <w:rPr>
                      <w:rFonts w:hint="eastAsia"/>
                      <w:b w:val="0"/>
                      <w:bCs w:val="0"/>
                      <w:color w:val="auto"/>
                      <w:kern w:val="0"/>
                      <w:sz w:val="21"/>
                      <w:szCs w:val="21"/>
                      <w:vertAlign w:val="baseline"/>
                      <w:lang w:val="en-US" w:eastAsia="zh-CN"/>
                    </w:rPr>
                    <w:t>1159.696</w:t>
                  </w:r>
                </w:p>
              </w:tc>
              <w:tc>
                <w:tcPr>
                  <w:tcW w:w="0" w:type="auto"/>
                  <w:tcBorders>
                    <w:tl2br w:val="nil"/>
                    <w:tr2bl w:val="nil"/>
                  </w:tcBorders>
                  <w:vAlign w:val="center"/>
                </w:tcPr>
                <w:p w14:paraId="5235C552">
                  <w:pPr>
                    <w:pStyle w:val="84"/>
                    <w:spacing w:line="70" w:lineRule="atLeast"/>
                    <w:jc w:val="center"/>
                    <w:rPr>
                      <w:rFonts w:hint="default" w:ascii="仿宋_GB2312" w:hAnsi="宋体" w:eastAsia="仿宋_GB2312" w:cs="宋体"/>
                      <w:b w:val="0"/>
                      <w:bCs w:val="0"/>
                      <w:color w:val="auto"/>
                      <w:kern w:val="0"/>
                      <w:sz w:val="21"/>
                      <w:szCs w:val="21"/>
                      <w:vertAlign w:val="baseline"/>
                      <w:lang w:val="en-US" w:eastAsia="zh-CN" w:bidi="ar-SA"/>
                    </w:rPr>
                  </w:pPr>
                  <w:r>
                    <w:rPr>
                      <w:rFonts w:hint="eastAsia" w:ascii="Times New Roman" w:hAnsi="Times New Roman" w:cs="Times New Roman" w:eastAsiaTheme="minorEastAsia"/>
                      <w:color w:val="auto"/>
                      <w:sz w:val="21"/>
                      <w:szCs w:val="21"/>
                      <w:lang w:val="en-US" w:eastAsia="zh-CN"/>
                    </w:rPr>
                    <w:t>总计</w:t>
                  </w:r>
                </w:p>
              </w:tc>
              <w:tc>
                <w:tcPr>
                  <w:tcW w:w="0" w:type="auto"/>
                  <w:tcBorders>
                    <w:tl2br w:val="nil"/>
                    <w:tr2bl w:val="nil"/>
                  </w:tcBorders>
                  <w:vAlign w:val="top"/>
                </w:tcPr>
                <w:p w14:paraId="4CB5B5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b w:val="0"/>
                      <w:bCs w:val="0"/>
                      <w:color w:val="auto"/>
                      <w:kern w:val="0"/>
                      <w:sz w:val="21"/>
                      <w:szCs w:val="21"/>
                      <w:vertAlign w:val="baseline"/>
                      <w:lang w:val="en-US" w:eastAsia="zh-CN"/>
                    </w:rPr>
                    <w:t>1159.696</w:t>
                  </w:r>
                </w:p>
              </w:tc>
            </w:tr>
          </w:tbl>
          <w:p w14:paraId="2578F2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bCs/>
                <w:color w:val="FF0000"/>
                <w:kern w:val="0"/>
                <w:sz w:val="21"/>
                <w:szCs w:val="21"/>
                <w:lang w:val="en-US" w:eastAsia="zh-CN"/>
              </w:rPr>
            </w:pPr>
            <w:r>
              <w:rPr>
                <w:rFonts w:hint="eastAsia"/>
                <w:b/>
                <w:bCs/>
                <w:color w:val="000000" w:themeColor="text1"/>
                <w:kern w:val="0"/>
                <w:sz w:val="21"/>
                <w:szCs w:val="21"/>
                <w:lang w:val="en-US" w:eastAsia="zh-CN"/>
                <w14:textFill>
                  <w14:solidFill>
                    <w14:schemeClr w14:val="tx1"/>
                  </w14:solidFill>
                </w14:textFill>
              </w:rPr>
              <w:t>表2-14  5-羟基色氨酸</w:t>
            </w:r>
            <w:r>
              <w:rPr>
                <w:rFonts w:hint="eastAsia" w:cs="Times New Roman"/>
                <w:b/>
                <w:bCs w:val="0"/>
                <w:color w:val="000000" w:themeColor="text1"/>
                <w:sz w:val="21"/>
                <w:szCs w:val="21"/>
                <w:lang w:val="en-US" w:eastAsia="zh-CN" w:bidi="ar-SA"/>
                <w14:textFill>
                  <w14:solidFill>
                    <w14:schemeClr w14:val="tx1"/>
                  </w14:solidFill>
                </w14:textFill>
              </w:rPr>
              <w:t>酵罐发酵工艺开发</w:t>
            </w:r>
            <w:r>
              <w:rPr>
                <w:rFonts w:hint="eastAsia"/>
                <w:b/>
                <w:bCs/>
                <w:color w:val="000000" w:themeColor="text1"/>
                <w:kern w:val="0"/>
                <w:sz w:val="21"/>
                <w:szCs w:val="21"/>
                <w:lang w:val="en-US" w:eastAsia="zh-CN"/>
                <w14:textFill>
                  <w14:solidFill>
                    <w14:schemeClr w14:val="tx1"/>
                  </w14:solidFill>
                </w14:textFill>
              </w:rPr>
              <w:t>物料单批次平衡（g/批次）</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1729"/>
              <w:gridCol w:w="2080"/>
              <w:gridCol w:w="2080"/>
            </w:tblGrid>
            <w:tr w14:paraId="39F44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59" w:type="dxa"/>
                  <w:gridSpan w:val="2"/>
                  <w:tcBorders>
                    <w:tl2br w:val="nil"/>
                    <w:tr2bl w:val="nil"/>
                  </w:tcBorders>
                  <w:vAlign w:val="center"/>
                </w:tcPr>
                <w:p w14:paraId="1EEFF9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输入</w:t>
                  </w:r>
                </w:p>
              </w:tc>
              <w:tc>
                <w:tcPr>
                  <w:tcW w:w="4160" w:type="dxa"/>
                  <w:gridSpan w:val="2"/>
                  <w:tcBorders>
                    <w:tl2br w:val="nil"/>
                    <w:tr2bl w:val="nil"/>
                  </w:tcBorders>
                  <w:vAlign w:val="center"/>
                </w:tcPr>
                <w:p w14:paraId="376653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输出</w:t>
                  </w:r>
                </w:p>
              </w:tc>
            </w:tr>
            <w:tr w14:paraId="2EFB3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0" w:type="dxa"/>
                  <w:tcBorders>
                    <w:tl2br w:val="nil"/>
                    <w:tr2bl w:val="nil"/>
                  </w:tcBorders>
                  <w:vAlign w:val="bottom"/>
                </w:tcPr>
                <w:p w14:paraId="54347A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菌种保存液</w:t>
                  </w:r>
                </w:p>
              </w:tc>
              <w:tc>
                <w:tcPr>
                  <w:tcW w:w="1729" w:type="dxa"/>
                  <w:tcBorders>
                    <w:tl2br w:val="nil"/>
                    <w:tr2bl w:val="nil"/>
                  </w:tcBorders>
                  <w:vAlign w:val="bottom"/>
                </w:tcPr>
                <w:p w14:paraId="26629E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11.8</w:t>
                  </w:r>
                </w:p>
              </w:tc>
              <w:tc>
                <w:tcPr>
                  <w:tcW w:w="2080" w:type="dxa"/>
                  <w:tcBorders>
                    <w:tl2br w:val="nil"/>
                    <w:tr2bl w:val="nil"/>
                  </w:tcBorders>
                  <w:vAlign w:val="center"/>
                </w:tcPr>
                <w:p w14:paraId="02FD5E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废气</w:t>
                  </w:r>
                </w:p>
              </w:tc>
              <w:tc>
                <w:tcPr>
                  <w:tcW w:w="2080" w:type="dxa"/>
                  <w:tcBorders>
                    <w:tl2br w:val="nil"/>
                    <w:tr2bl w:val="nil"/>
                  </w:tcBorders>
                  <w:vAlign w:val="bottom"/>
                </w:tcPr>
                <w:p w14:paraId="0AED9B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8116.96</w:t>
                  </w:r>
                </w:p>
              </w:tc>
            </w:tr>
            <w:tr w14:paraId="03FC7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430" w:type="dxa"/>
                  <w:tcBorders>
                    <w:tl2br w:val="nil"/>
                    <w:tr2bl w:val="nil"/>
                  </w:tcBorders>
                  <w:vAlign w:val="bottom"/>
                </w:tcPr>
                <w:p w14:paraId="757419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蛋白胨</w:t>
                  </w:r>
                </w:p>
              </w:tc>
              <w:tc>
                <w:tcPr>
                  <w:tcW w:w="1729" w:type="dxa"/>
                  <w:tcBorders>
                    <w:tl2br w:val="nil"/>
                    <w:tr2bl w:val="nil"/>
                  </w:tcBorders>
                  <w:vAlign w:val="bottom"/>
                </w:tcPr>
                <w:p w14:paraId="1085FC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65</w:t>
                  </w:r>
                </w:p>
              </w:tc>
              <w:tc>
                <w:tcPr>
                  <w:tcW w:w="2080" w:type="dxa"/>
                  <w:tcBorders>
                    <w:tl2br w:val="nil"/>
                    <w:tr2bl w:val="nil"/>
                  </w:tcBorders>
                  <w:vAlign w:val="center"/>
                </w:tcPr>
                <w:p w14:paraId="78E007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废液</w:t>
                  </w:r>
                </w:p>
              </w:tc>
              <w:tc>
                <w:tcPr>
                  <w:tcW w:w="2080" w:type="dxa"/>
                  <w:tcBorders>
                    <w:tl2br w:val="nil"/>
                    <w:tr2bl w:val="nil"/>
                  </w:tcBorders>
                  <w:vAlign w:val="bottom"/>
                </w:tcPr>
                <w:p w14:paraId="669D91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3480</w:t>
                  </w:r>
                </w:p>
              </w:tc>
            </w:tr>
            <w:tr w14:paraId="7BADE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0B1C961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酵母粉</w:t>
                  </w:r>
                </w:p>
              </w:tc>
              <w:tc>
                <w:tcPr>
                  <w:tcW w:w="1729" w:type="dxa"/>
                  <w:tcBorders>
                    <w:tl2br w:val="nil"/>
                    <w:tr2bl w:val="nil"/>
                  </w:tcBorders>
                  <w:vAlign w:val="bottom"/>
                </w:tcPr>
                <w:p w14:paraId="0682BA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42.5</w:t>
                  </w:r>
                </w:p>
              </w:tc>
              <w:tc>
                <w:tcPr>
                  <w:tcW w:w="2080" w:type="dxa"/>
                  <w:tcBorders>
                    <w:tl2br w:val="nil"/>
                    <w:tr2bl w:val="nil"/>
                  </w:tcBorders>
                  <w:vAlign w:val="center"/>
                </w:tcPr>
                <w:p w14:paraId="1AE246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p>
              </w:tc>
              <w:tc>
                <w:tcPr>
                  <w:tcW w:w="2080" w:type="dxa"/>
                  <w:tcBorders>
                    <w:tl2br w:val="nil"/>
                    <w:tr2bl w:val="nil"/>
                  </w:tcBorders>
                  <w:vAlign w:val="center"/>
                </w:tcPr>
                <w:p w14:paraId="2A5688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33CA9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274C4E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氯化钠</w:t>
                  </w:r>
                </w:p>
              </w:tc>
              <w:tc>
                <w:tcPr>
                  <w:tcW w:w="1729" w:type="dxa"/>
                  <w:tcBorders>
                    <w:tl2br w:val="nil"/>
                    <w:tr2bl w:val="nil"/>
                  </w:tcBorders>
                  <w:vAlign w:val="bottom"/>
                </w:tcPr>
                <w:p w14:paraId="0C9AA4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7</w:t>
                  </w:r>
                </w:p>
              </w:tc>
              <w:tc>
                <w:tcPr>
                  <w:tcW w:w="2080" w:type="dxa"/>
                  <w:tcBorders>
                    <w:tl2br w:val="nil"/>
                    <w:tr2bl w:val="nil"/>
                  </w:tcBorders>
                  <w:vAlign w:val="center"/>
                </w:tcPr>
                <w:p w14:paraId="5FC129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p>
              </w:tc>
              <w:tc>
                <w:tcPr>
                  <w:tcW w:w="2080" w:type="dxa"/>
                  <w:tcBorders>
                    <w:tl2br w:val="nil"/>
                    <w:tr2bl w:val="nil"/>
                  </w:tcBorders>
                  <w:vAlign w:val="center"/>
                </w:tcPr>
                <w:p w14:paraId="712E55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58D72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2879D2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纯水</w:t>
                  </w:r>
                </w:p>
              </w:tc>
              <w:tc>
                <w:tcPr>
                  <w:tcW w:w="1729" w:type="dxa"/>
                  <w:tcBorders>
                    <w:tl2br w:val="nil"/>
                    <w:tr2bl w:val="nil"/>
                  </w:tcBorders>
                  <w:vAlign w:val="bottom"/>
                </w:tcPr>
                <w:p w14:paraId="1657A1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6997</w:t>
                  </w:r>
                </w:p>
              </w:tc>
              <w:tc>
                <w:tcPr>
                  <w:tcW w:w="2080" w:type="dxa"/>
                  <w:tcBorders>
                    <w:tl2br w:val="nil"/>
                    <w:tr2bl w:val="nil"/>
                  </w:tcBorders>
                  <w:vAlign w:val="center"/>
                </w:tcPr>
                <w:p w14:paraId="3DF570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2080" w:type="dxa"/>
                  <w:tcBorders>
                    <w:tl2br w:val="nil"/>
                    <w:tr2bl w:val="nil"/>
                  </w:tcBorders>
                  <w:vAlign w:val="center"/>
                </w:tcPr>
                <w:p w14:paraId="0B7904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1C517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13843C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甘油</w:t>
                  </w:r>
                </w:p>
              </w:tc>
              <w:tc>
                <w:tcPr>
                  <w:tcW w:w="1729" w:type="dxa"/>
                  <w:tcBorders>
                    <w:tl2br w:val="nil"/>
                    <w:tr2bl w:val="nil"/>
                  </w:tcBorders>
                  <w:vAlign w:val="bottom"/>
                </w:tcPr>
                <w:p w14:paraId="799C33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2080" w:type="dxa"/>
                  <w:tcBorders>
                    <w:tl2br w:val="nil"/>
                    <w:tr2bl w:val="nil"/>
                  </w:tcBorders>
                  <w:vAlign w:val="center"/>
                </w:tcPr>
                <w:p w14:paraId="36BD00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2080" w:type="dxa"/>
                  <w:tcBorders>
                    <w:tl2br w:val="nil"/>
                    <w:tr2bl w:val="nil"/>
                  </w:tcBorders>
                  <w:vAlign w:val="center"/>
                </w:tcPr>
                <w:p w14:paraId="3B538D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0E540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5F12BD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磷酸氢二钠</w:t>
                  </w:r>
                </w:p>
              </w:tc>
              <w:tc>
                <w:tcPr>
                  <w:tcW w:w="1729" w:type="dxa"/>
                  <w:tcBorders>
                    <w:tl2br w:val="nil"/>
                    <w:tr2bl w:val="nil"/>
                  </w:tcBorders>
                  <w:vAlign w:val="bottom"/>
                </w:tcPr>
                <w:p w14:paraId="516725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14</w:t>
                  </w:r>
                </w:p>
              </w:tc>
              <w:tc>
                <w:tcPr>
                  <w:tcW w:w="0" w:type="auto"/>
                  <w:tcBorders>
                    <w:tl2br w:val="nil"/>
                    <w:tr2bl w:val="nil"/>
                  </w:tcBorders>
                </w:tcPr>
                <w:p w14:paraId="25A87A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0B5C59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6558D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617DE0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磷酸二氢钾</w:t>
                  </w:r>
                </w:p>
              </w:tc>
              <w:tc>
                <w:tcPr>
                  <w:tcW w:w="1729" w:type="dxa"/>
                  <w:tcBorders>
                    <w:tl2br w:val="nil"/>
                    <w:tr2bl w:val="nil"/>
                  </w:tcBorders>
                  <w:vAlign w:val="bottom"/>
                </w:tcPr>
                <w:p w14:paraId="078342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7</w:t>
                  </w:r>
                </w:p>
              </w:tc>
              <w:tc>
                <w:tcPr>
                  <w:tcW w:w="0" w:type="auto"/>
                  <w:tcBorders>
                    <w:tl2br w:val="nil"/>
                    <w:tr2bl w:val="nil"/>
                  </w:tcBorders>
                </w:tcPr>
                <w:p w14:paraId="2F3444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2F8F1C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1ED45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7519AA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硫酸镁</w:t>
                  </w:r>
                </w:p>
              </w:tc>
              <w:tc>
                <w:tcPr>
                  <w:tcW w:w="1729" w:type="dxa"/>
                  <w:tcBorders>
                    <w:tl2br w:val="nil"/>
                    <w:tr2bl w:val="nil"/>
                  </w:tcBorders>
                  <w:vAlign w:val="bottom"/>
                </w:tcPr>
                <w:p w14:paraId="364CAD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0.24</w:t>
                  </w:r>
                </w:p>
              </w:tc>
              <w:tc>
                <w:tcPr>
                  <w:tcW w:w="0" w:type="auto"/>
                  <w:tcBorders>
                    <w:tl2br w:val="nil"/>
                    <w:tr2bl w:val="nil"/>
                  </w:tcBorders>
                </w:tcPr>
                <w:p w14:paraId="4FF25C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6487ED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60520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39C7CB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硫酸铵</w:t>
                  </w:r>
                </w:p>
              </w:tc>
              <w:tc>
                <w:tcPr>
                  <w:tcW w:w="1729" w:type="dxa"/>
                  <w:tcBorders>
                    <w:tl2br w:val="nil"/>
                    <w:tr2bl w:val="nil"/>
                  </w:tcBorders>
                  <w:vAlign w:val="bottom"/>
                </w:tcPr>
                <w:p w14:paraId="0847E3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0" w:type="auto"/>
                  <w:tcBorders>
                    <w:tl2br w:val="nil"/>
                    <w:tr2bl w:val="nil"/>
                  </w:tcBorders>
                </w:tcPr>
                <w:p w14:paraId="35DE83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16B59D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3314C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4234F6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消泡剂</w:t>
                  </w:r>
                </w:p>
              </w:tc>
              <w:tc>
                <w:tcPr>
                  <w:tcW w:w="1729" w:type="dxa"/>
                  <w:tcBorders>
                    <w:tl2br w:val="nil"/>
                    <w:tr2bl w:val="nil"/>
                  </w:tcBorders>
                  <w:vAlign w:val="bottom"/>
                </w:tcPr>
                <w:p w14:paraId="2E49C5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0" w:type="auto"/>
                  <w:tcBorders>
                    <w:tl2br w:val="nil"/>
                    <w:tr2bl w:val="nil"/>
                  </w:tcBorders>
                </w:tcPr>
                <w:p w14:paraId="35EC39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6A96B9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74F28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0F7A80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葡萄糖</w:t>
                  </w:r>
                </w:p>
              </w:tc>
              <w:tc>
                <w:tcPr>
                  <w:tcW w:w="1729" w:type="dxa"/>
                  <w:tcBorders>
                    <w:tl2br w:val="nil"/>
                    <w:tr2bl w:val="nil"/>
                  </w:tcBorders>
                  <w:vAlign w:val="bottom"/>
                </w:tcPr>
                <w:p w14:paraId="3DAEF0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1040</w:t>
                  </w:r>
                </w:p>
              </w:tc>
              <w:tc>
                <w:tcPr>
                  <w:tcW w:w="0" w:type="auto"/>
                  <w:tcBorders>
                    <w:tl2br w:val="nil"/>
                    <w:tr2bl w:val="nil"/>
                  </w:tcBorders>
                </w:tcPr>
                <w:p w14:paraId="689EE3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39E6BB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41D6C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430" w:type="dxa"/>
                  <w:tcBorders>
                    <w:tl2br w:val="nil"/>
                    <w:tr2bl w:val="nil"/>
                  </w:tcBorders>
                  <w:vAlign w:val="bottom"/>
                </w:tcPr>
                <w:p w14:paraId="10F348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玉米浆粉</w:t>
                  </w:r>
                </w:p>
              </w:tc>
              <w:tc>
                <w:tcPr>
                  <w:tcW w:w="1729" w:type="dxa"/>
                  <w:tcBorders>
                    <w:tl2br w:val="nil"/>
                    <w:tr2bl w:val="nil"/>
                  </w:tcBorders>
                  <w:vAlign w:val="bottom"/>
                </w:tcPr>
                <w:p w14:paraId="5553A1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20</w:t>
                  </w:r>
                </w:p>
              </w:tc>
              <w:tc>
                <w:tcPr>
                  <w:tcW w:w="0" w:type="auto"/>
                  <w:tcBorders>
                    <w:tl2br w:val="nil"/>
                    <w:tr2bl w:val="nil"/>
                  </w:tcBorders>
                </w:tcPr>
                <w:p w14:paraId="0633BE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1F3BB3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5CD7E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521CA7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氢氧化钠</w:t>
                  </w:r>
                </w:p>
              </w:tc>
              <w:tc>
                <w:tcPr>
                  <w:tcW w:w="1729" w:type="dxa"/>
                  <w:tcBorders>
                    <w:tl2br w:val="nil"/>
                    <w:tr2bl w:val="nil"/>
                  </w:tcBorders>
                  <w:vAlign w:val="bottom"/>
                </w:tcPr>
                <w:p w14:paraId="220AC4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0" w:type="auto"/>
                  <w:tcBorders>
                    <w:tl2br w:val="nil"/>
                    <w:tr2bl w:val="nil"/>
                  </w:tcBorders>
                </w:tcPr>
                <w:p w14:paraId="7248C1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2F2E09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778E0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02D5A0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空气</w:t>
                  </w:r>
                </w:p>
              </w:tc>
              <w:tc>
                <w:tcPr>
                  <w:tcW w:w="1729" w:type="dxa"/>
                  <w:tcBorders>
                    <w:tl2br w:val="nil"/>
                    <w:tr2bl w:val="nil"/>
                  </w:tcBorders>
                  <w:vAlign w:val="bottom"/>
                </w:tcPr>
                <w:p w14:paraId="563D39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6040.42</w:t>
                  </w:r>
                </w:p>
              </w:tc>
              <w:tc>
                <w:tcPr>
                  <w:tcW w:w="0" w:type="auto"/>
                  <w:tcBorders>
                    <w:tl2br w:val="nil"/>
                    <w:tr2bl w:val="nil"/>
                  </w:tcBorders>
                </w:tcPr>
                <w:p w14:paraId="18454B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636375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28A9F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076242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大肠杆菌</w:t>
                  </w:r>
                </w:p>
              </w:tc>
              <w:tc>
                <w:tcPr>
                  <w:tcW w:w="1729" w:type="dxa"/>
                  <w:tcBorders>
                    <w:tl2br w:val="nil"/>
                    <w:tr2bl w:val="nil"/>
                  </w:tcBorders>
                  <w:vAlign w:val="bottom"/>
                </w:tcPr>
                <w:p w14:paraId="64EE01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w:t>
                  </w:r>
                </w:p>
              </w:tc>
              <w:tc>
                <w:tcPr>
                  <w:tcW w:w="0" w:type="auto"/>
                  <w:tcBorders>
                    <w:tl2br w:val="nil"/>
                    <w:tr2bl w:val="nil"/>
                  </w:tcBorders>
                </w:tcPr>
                <w:p w14:paraId="400531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1EA94C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2BD98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center"/>
                </w:tcPr>
                <w:p w14:paraId="6F61353C">
                  <w:pPr>
                    <w:pStyle w:val="84"/>
                    <w:spacing w:line="70" w:lineRule="atLeast"/>
                    <w:jc w:val="center"/>
                    <w:rPr>
                      <w:rFonts w:hint="eastAsia"/>
                      <w:b w:val="0"/>
                      <w:bCs w:val="0"/>
                      <w:color w:val="FF0000"/>
                      <w:kern w:val="0"/>
                      <w:sz w:val="21"/>
                      <w:szCs w:val="21"/>
                      <w:vertAlign w:val="baseli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总计</w:t>
                  </w:r>
                </w:p>
              </w:tc>
              <w:tc>
                <w:tcPr>
                  <w:tcW w:w="1729" w:type="dxa"/>
                  <w:tcBorders>
                    <w:tl2br w:val="nil"/>
                    <w:tr2bl w:val="nil"/>
                  </w:tcBorders>
                  <w:vAlign w:val="bottom"/>
                </w:tcPr>
                <w:p w14:paraId="3A670D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11596.96</w:t>
                  </w:r>
                </w:p>
              </w:tc>
              <w:tc>
                <w:tcPr>
                  <w:tcW w:w="0" w:type="auto"/>
                  <w:tcBorders>
                    <w:tl2br w:val="nil"/>
                    <w:tr2bl w:val="nil"/>
                  </w:tcBorders>
                  <w:vAlign w:val="center"/>
                </w:tcPr>
                <w:p w14:paraId="6048D5E6">
                  <w:pPr>
                    <w:pStyle w:val="84"/>
                    <w:spacing w:line="70" w:lineRule="atLeast"/>
                    <w:jc w:val="center"/>
                    <w:rPr>
                      <w:rFonts w:hint="default" w:ascii="仿宋_GB2312" w:hAnsi="宋体" w:eastAsia="仿宋_GB2312" w:cs="宋体"/>
                      <w:b w:val="0"/>
                      <w:bCs w:val="0"/>
                      <w:color w:val="FF0000"/>
                      <w:kern w:val="0"/>
                      <w:sz w:val="21"/>
                      <w:szCs w:val="21"/>
                      <w:vertAlign w:val="baseline"/>
                      <w:lang w:val="en-US" w:eastAsia="zh-CN" w:bidi="ar-SA"/>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总计</w:t>
                  </w:r>
                </w:p>
              </w:tc>
              <w:tc>
                <w:tcPr>
                  <w:tcW w:w="0" w:type="auto"/>
                  <w:tcBorders>
                    <w:tl2br w:val="nil"/>
                    <w:tr2bl w:val="nil"/>
                  </w:tcBorders>
                  <w:vAlign w:val="top"/>
                </w:tcPr>
                <w:p w14:paraId="63D9A4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11596.96</w:t>
                  </w:r>
                </w:p>
              </w:tc>
            </w:tr>
          </w:tbl>
          <w:p w14:paraId="50F8FA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bCs/>
                <w:color w:val="FF0000"/>
                <w:kern w:val="0"/>
                <w:sz w:val="21"/>
                <w:szCs w:val="21"/>
                <w:lang w:val="en-US" w:eastAsia="zh-CN"/>
              </w:rPr>
            </w:pPr>
            <w:r>
              <w:rPr>
                <w:rFonts w:hint="eastAsia"/>
                <w:b/>
                <w:bCs/>
                <w:color w:val="000000" w:themeColor="text1"/>
                <w:kern w:val="0"/>
                <w:sz w:val="21"/>
                <w:szCs w:val="21"/>
                <w:lang w:val="en-US" w:eastAsia="zh-CN"/>
                <w14:textFill>
                  <w14:solidFill>
                    <w14:schemeClr w14:val="tx1"/>
                  </w14:solidFill>
                </w14:textFill>
              </w:rPr>
              <w:t>表2-15   色氨酸</w:t>
            </w:r>
            <w:r>
              <w:rPr>
                <w:rFonts w:hint="eastAsia" w:cs="Times New Roman"/>
                <w:b/>
                <w:bCs w:val="0"/>
                <w:color w:val="000000" w:themeColor="text1"/>
                <w:sz w:val="21"/>
                <w:szCs w:val="21"/>
                <w:lang w:val="en-US" w:eastAsia="zh-CN" w:bidi="ar-SA"/>
                <w14:textFill>
                  <w14:solidFill>
                    <w14:schemeClr w14:val="tx1"/>
                  </w14:solidFill>
                </w14:textFill>
              </w:rPr>
              <w:t>酵罐发酵工艺开发</w:t>
            </w:r>
            <w:r>
              <w:rPr>
                <w:rFonts w:hint="eastAsia"/>
                <w:b/>
                <w:bCs/>
                <w:color w:val="000000" w:themeColor="text1"/>
                <w:kern w:val="0"/>
                <w:sz w:val="21"/>
                <w:szCs w:val="21"/>
                <w:lang w:val="en-US" w:eastAsia="zh-CN"/>
                <w14:textFill>
                  <w14:solidFill>
                    <w14:schemeClr w14:val="tx1"/>
                  </w14:solidFill>
                </w14:textFill>
              </w:rPr>
              <w:t>物料单批次平衡（g/批次）</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0"/>
              <w:gridCol w:w="1729"/>
              <w:gridCol w:w="2080"/>
              <w:gridCol w:w="2080"/>
            </w:tblGrid>
            <w:tr w14:paraId="57332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59" w:type="dxa"/>
                  <w:gridSpan w:val="2"/>
                  <w:tcBorders>
                    <w:tl2br w:val="nil"/>
                    <w:tr2bl w:val="nil"/>
                  </w:tcBorders>
                  <w:vAlign w:val="center"/>
                </w:tcPr>
                <w:p w14:paraId="5FC921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输入</w:t>
                  </w:r>
                </w:p>
              </w:tc>
              <w:tc>
                <w:tcPr>
                  <w:tcW w:w="4160" w:type="dxa"/>
                  <w:gridSpan w:val="2"/>
                  <w:tcBorders>
                    <w:tl2br w:val="nil"/>
                    <w:tr2bl w:val="nil"/>
                  </w:tcBorders>
                  <w:vAlign w:val="center"/>
                </w:tcPr>
                <w:p w14:paraId="2A8E08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000000" w:themeColor="text1"/>
                      <w:kern w:val="0"/>
                      <w:sz w:val="21"/>
                      <w:szCs w:val="21"/>
                      <w:vertAlign w:val="baseline"/>
                      <w:lang w:val="en-US" w:eastAsia="zh-CN"/>
                      <w14:textFill>
                        <w14:solidFill>
                          <w14:schemeClr w14:val="tx1"/>
                        </w14:solidFill>
                      </w14:textFill>
                    </w:rPr>
                    <w:t>输出</w:t>
                  </w:r>
                </w:p>
              </w:tc>
            </w:tr>
            <w:tr w14:paraId="3001A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0" w:type="dxa"/>
                  <w:tcBorders>
                    <w:tl2br w:val="nil"/>
                    <w:tr2bl w:val="nil"/>
                  </w:tcBorders>
                  <w:vAlign w:val="bottom"/>
                </w:tcPr>
                <w:p w14:paraId="0700A9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菌种保存液</w:t>
                  </w:r>
                </w:p>
              </w:tc>
              <w:tc>
                <w:tcPr>
                  <w:tcW w:w="1729" w:type="dxa"/>
                  <w:tcBorders>
                    <w:tl2br w:val="nil"/>
                    <w:tr2bl w:val="nil"/>
                  </w:tcBorders>
                  <w:vAlign w:val="bottom"/>
                </w:tcPr>
                <w:p w14:paraId="6B39D6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11.8</w:t>
                  </w:r>
                </w:p>
              </w:tc>
              <w:tc>
                <w:tcPr>
                  <w:tcW w:w="2080" w:type="dxa"/>
                  <w:tcBorders>
                    <w:tl2br w:val="nil"/>
                    <w:tr2bl w:val="nil"/>
                  </w:tcBorders>
                  <w:vAlign w:val="center"/>
                </w:tcPr>
                <w:p w14:paraId="542571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废气</w:t>
                  </w:r>
                </w:p>
              </w:tc>
              <w:tc>
                <w:tcPr>
                  <w:tcW w:w="2080" w:type="dxa"/>
                  <w:tcBorders>
                    <w:tl2br w:val="nil"/>
                    <w:tr2bl w:val="nil"/>
                  </w:tcBorders>
                  <w:vAlign w:val="bottom"/>
                </w:tcPr>
                <w:p w14:paraId="401BED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8116.96</w:t>
                  </w:r>
                </w:p>
              </w:tc>
            </w:tr>
            <w:tr w14:paraId="30CBD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430" w:type="dxa"/>
                  <w:tcBorders>
                    <w:tl2br w:val="nil"/>
                    <w:tr2bl w:val="nil"/>
                  </w:tcBorders>
                  <w:vAlign w:val="bottom"/>
                </w:tcPr>
                <w:p w14:paraId="46C22C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蛋白胨</w:t>
                  </w:r>
                </w:p>
              </w:tc>
              <w:tc>
                <w:tcPr>
                  <w:tcW w:w="1729" w:type="dxa"/>
                  <w:tcBorders>
                    <w:tl2br w:val="nil"/>
                    <w:tr2bl w:val="nil"/>
                  </w:tcBorders>
                  <w:vAlign w:val="bottom"/>
                </w:tcPr>
                <w:p w14:paraId="3CBDBB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65</w:t>
                  </w:r>
                </w:p>
              </w:tc>
              <w:tc>
                <w:tcPr>
                  <w:tcW w:w="2080" w:type="dxa"/>
                  <w:tcBorders>
                    <w:tl2br w:val="nil"/>
                    <w:tr2bl w:val="nil"/>
                  </w:tcBorders>
                  <w:vAlign w:val="center"/>
                </w:tcPr>
                <w:p w14:paraId="5FB4CF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r>
                    <w:rPr>
                      <w:rFonts w:hint="eastAsia"/>
                      <w:b w:val="0"/>
                      <w:bCs w:val="0"/>
                      <w:color w:val="000000" w:themeColor="text1"/>
                      <w:kern w:val="0"/>
                      <w:sz w:val="21"/>
                      <w:szCs w:val="21"/>
                      <w:vertAlign w:val="baseline"/>
                      <w:lang w:val="en-US" w:eastAsia="zh-CN"/>
                      <w14:textFill>
                        <w14:solidFill>
                          <w14:schemeClr w14:val="tx1"/>
                        </w14:solidFill>
                      </w14:textFill>
                    </w:rPr>
                    <w:t>废液</w:t>
                  </w:r>
                </w:p>
              </w:tc>
              <w:tc>
                <w:tcPr>
                  <w:tcW w:w="2080" w:type="dxa"/>
                  <w:tcBorders>
                    <w:tl2br w:val="nil"/>
                    <w:tr2bl w:val="nil"/>
                  </w:tcBorders>
                  <w:vAlign w:val="bottom"/>
                </w:tcPr>
                <w:p w14:paraId="47C154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3480</w:t>
                  </w:r>
                </w:p>
              </w:tc>
            </w:tr>
            <w:tr w14:paraId="43371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391C70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酵母粉</w:t>
                  </w:r>
                </w:p>
              </w:tc>
              <w:tc>
                <w:tcPr>
                  <w:tcW w:w="1729" w:type="dxa"/>
                  <w:tcBorders>
                    <w:tl2br w:val="nil"/>
                    <w:tr2bl w:val="nil"/>
                  </w:tcBorders>
                  <w:vAlign w:val="bottom"/>
                </w:tcPr>
                <w:p w14:paraId="7454B7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42.5</w:t>
                  </w:r>
                </w:p>
              </w:tc>
              <w:tc>
                <w:tcPr>
                  <w:tcW w:w="2080" w:type="dxa"/>
                  <w:tcBorders>
                    <w:tl2br w:val="nil"/>
                    <w:tr2bl w:val="nil"/>
                  </w:tcBorders>
                  <w:vAlign w:val="center"/>
                </w:tcPr>
                <w:p w14:paraId="6AA690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p>
              </w:tc>
              <w:tc>
                <w:tcPr>
                  <w:tcW w:w="2080" w:type="dxa"/>
                  <w:tcBorders>
                    <w:tl2br w:val="nil"/>
                    <w:tr2bl w:val="nil"/>
                  </w:tcBorders>
                  <w:vAlign w:val="center"/>
                </w:tcPr>
                <w:p w14:paraId="51EE60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68A79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4DC9A5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氯化钠</w:t>
                  </w:r>
                </w:p>
              </w:tc>
              <w:tc>
                <w:tcPr>
                  <w:tcW w:w="1729" w:type="dxa"/>
                  <w:tcBorders>
                    <w:tl2br w:val="nil"/>
                    <w:tr2bl w:val="nil"/>
                  </w:tcBorders>
                  <w:vAlign w:val="bottom"/>
                </w:tcPr>
                <w:p w14:paraId="464FCD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7</w:t>
                  </w:r>
                </w:p>
              </w:tc>
              <w:tc>
                <w:tcPr>
                  <w:tcW w:w="2080" w:type="dxa"/>
                  <w:tcBorders>
                    <w:tl2br w:val="nil"/>
                    <w:tr2bl w:val="nil"/>
                  </w:tcBorders>
                  <w:vAlign w:val="center"/>
                </w:tcPr>
                <w:p w14:paraId="069268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vertAlign w:val="baseline"/>
                      <w:lang w:val="en-US" w:eastAsia="zh-CN" w:bidi="ar-SA"/>
                    </w:rPr>
                  </w:pPr>
                </w:p>
              </w:tc>
              <w:tc>
                <w:tcPr>
                  <w:tcW w:w="2080" w:type="dxa"/>
                  <w:tcBorders>
                    <w:tl2br w:val="nil"/>
                    <w:tr2bl w:val="nil"/>
                  </w:tcBorders>
                  <w:vAlign w:val="center"/>
                </w:tcPr>
                <w:p w14:paraId="1D8E32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5875C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4E9BFD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纯水</w:t>
                  </w:r>
                </w:p>
              </w:tc>
              <w:tc>
                <w:tcPr>
                  <w:tcW w:w="1729" w:type="dxa"/>
                  <w:tcBorders>
                    <w:tl2br w:val="nil"/>
                    <w:tr2bl w:val="nil"/>
                  </w:tcBorders>
                  <w:vAlign w:val="bottom"/>
                </w:tcPr>
                <w:p w14:paraId="4A07B3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6997</w:t>
                  </w:r>
                </w:p>
              </w:tc>
              <w:tc>
                <w:tcPr>
                  <w:tcW w:w="2080" w:type="dxa"/>
                  <w:tcBorders>
                    <w:tl2br w:val="nil"/>
                    <w:tr2bl w:val="nil"/>
                  </w:tcBorders>
                  <w:vAlign w:val="center"/>
                </w:tcPr>
                <w:p w14:paraId="092744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2080" w:type="dxa"/>
                  <w:tcBorders>
                    <w:tl2br w:val="nil"/>
                    <w:tr2bl w:val="nil"/>
                  </w:tcBorders>
                  <w:vAlign w:val="center"/>
                </w:tcPr>
                <w:p w14:paraId="64DE4B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14D42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35F478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甘油</w:t>
                  </w:r>
                </w:p>
              </w:tc>
              <w:tc>
                <w:tcPr>
                  <w:tcW w:w="1729" w:type="dxa"/>
                  <w:tcBorders>
                    <w:tl2br w:val="nil"/>
                    <w:tr2bl w:val="nil"/>
                  </w:tcBorders>
                  <w:vAlign w:val="bottom"/>
                </w:tcPr>
                <w:p w14:paraId="59914B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100</w:t>
                  </w:r>
                </w:p>
              </w:tc>
              <w:tc>
                <w:tcPr>
                  <w:tcW w:w="2080" w:type="dxa"/>
                  <w:tcBorders>
                    <w:tl2br w:val="nil"/>
                    <w:tr2bl w:val="nil"/>
                  </w:tcBorders>
                  <w:vAlign w:val="center"/>
                </w:tcPr>
                <w:p w14:paraId="664F3E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2080" w:type="dxa"/>
                  <w:tcBorders>
                    <w:tl2br w:val="nil"/>
                    <w:tr2bl w:val="nil"/>
                  </w:tcBorders>
                  <w:vAlign w:val="center"/>
                </w:tcPr>
                <w:p w14:paraId="6DC219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0432C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799BBB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磷酸氢二钠</w:t>
                  </w:r>
                </w:p>
              </w:tc>
              <w:tc>
                <w:tcPr>
                  <w:tcW w:w="1729" w:type="dxa"/>
                  <w:tcBorders>
                    <w:tl2br w:val="nil"/>
                    <w:tr2bl w:val="nil"/>
                  </w:tcBorders>
                  <w:vAlign w:val="bottom"/>
                </w:tcPr>
                <w:p w14:paraId="0AFA9B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14</w:t>
                  </w:r>
                </w:p>
              </w:tc>
              <w:tc>
                <w:tcPr>
                  <w:tcW w:w="0" w:type="auto"/>
                  <w:tcBorders>
                    <w:tl2br w:val="nil"/>
                    <w:tr2bl w:val="nil"/>
                  </w:tcBorders>
                </w:tcPr>
                <w:p w14:paraId="65AD7B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1CC981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7850E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15898F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磷酸二氢钾</w:t>
                  </w:r>
                </w:p>
              </w:tc>
              <w:tc>
                <w:tcPr>
                  <w:tcW w:w="1729" w:type="dxa"/>
                  <w:tcBorders>
                    <w:tl2br w:val="nil"/>
                    <w:tr2bl w:val="nil"/>
                  </w:tcBorders>
                  <w:vAlign w:val="bottom"/>
                </w:tcPr>
                <w:p w14:paraId="140C40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7</w:t>
                  </w:r>
                </w:p>
              </w:tc>
              <w:tc>
                <w:tcPr>
                  <w:tcW w:w="0" w:type="auto"/>
                  <w:tcBorders>
                    <w:tl2br w:val="nil"/>
                    <w:tr2bl w:val="nil"/>
                  </w:tcBorders>
                </w:tcPr>
                <w:p w14:paraId="68703B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357862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3AF66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64FCC3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硫酸镁</w:t>
                  </w:r>
                </w:p>
              </w:tc>
              <w:tc>
                <w:tcPr>
                  <w:tcW w:w="1729" w:type="dxa"/>
                  <w:tcBorders>
                    <w:tl2br w:val="nil"/>
                    <w:tr2bl w:val="nil"/>
                  </w:tcBorders>
                  <w:vAlign w:val="bottom"/>
                </w:tcPr>
                <w:p w14:paraId="5511E4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0.24</w:t>
                  </w:r>
                </w:p>
              </w:tc>
              <w:tc>
                <w:tcPr>
                  <w:tcW w:w="0" w:type="auto"/>
                  <w:tcBorders>
                    <w:tl2br w:val="nil"/>
                    <w:tr2bl w:val="nil"/>
                  </w:tcBorders>
                </w:tcPr>
                <w:p w14:paraId="22796A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35893D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1EFCB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2CF4A9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硫酸铵</w:t>
                  </w:r>
                </w:p>
              </w:tc>
              <w:tc>
                <w:tcPr>
                  <w:tcW w:w="1729" w:type="dxa"/>
                  <w:tcBorders>
                    <w:tl2br w:val="nil"/>
                    <w:tr2bl w:val="nil"/>
                  </w:tcBorders>
                  <w:vAlign w:val="bottom"/>
                </w:tcPr>
                <w:p w14:paraId="7A2C96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12</w:t>
                  </w:r>
                </w:p>
              </w:tc>
              <w:tc>
                <w:tcPr>
                  <w:tcW w:w="0" w:type="auto"/>
                  <w:tcBorders>
                    <w:tl2br w:val="nil"/>
                    <w:tr2bl w:val="nil"/>
                  </w:tcBorders>
                </w:tcPr>
                <w:p w14:paraId="0DEF99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0DA4FE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1853B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0D2ED1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消泡剂</w:t>
                  </w:r>
                </w:p>
              </w:tc>
              <w:tc>
                <w:tcPr>
                  <w:tcW w:w="1729" w:type="dxa"/>
                  <w:tcBorders>
                    <w:tl2br w:val="nil"/>
                    <w:tr2bl w:val="nil"/>
                  </w:tcBorders>
                  <w:vAlign w:val="bottom"/>
                </w:tcPr>
                <w:p w14:paraId="496B47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0" w:type="auto"/>
                  <w:tcBorders>
                    <w:tl2br w:val="nil"/>
                    <w:tr2bl w:val="nil"/>
                  </w:tcBorders>
                </w:tcPr>
                <w:p w14:paraId="1F2DC1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6B8A8B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6ED8D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50D51C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葡萄糖</w:t>
                  </w:r>
                </w:p>
              </w:tc>
              <w:tc>
                <w:tcPr>
                  <w:tcW w:w="1729" w:type="dxa"/>
                  <w:tcBorders>
                    <w:tl2br w:val="nil"/>
                    <w:tr2bl w:val="nil"/>
                  </w:tcBorders>
                  <w:vAlign w:val="bottom"/>
                </w:tcPr>
                <w:p w14:paraId="7DC61B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1040</w:t>
                  </w:r>
                </w:p>
              </w:tc>
              <w:tc>
                <w:tcPr>
                  <w:tcW w:w="0" w:type="auto"/>
                  <w:tcBorders>
                    <w:tl2br w:val="nil"/>
                    <w:tr2bl w:val="nil"/>
                  </w:tcBorders>
                </w:tcPr>
                <w:p w14:paraId="429CC5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5B7297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5C942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430" w:type="dxa"/>
                  <w:tcBorders>
                    <w:tl2br w:val="nil"/>
                    <w:tr2bl w:val="nil"/>
                  </w:tcBorders>
                  <w:vAlign w:val="bottom"/>
                </w:tcPr>
                <w:p w14:paraId="287EE7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玉米浆粉</w:t>
                  </w:r>
                </w:p>
              </w:tc>
              <w:tc>
                <w:tcPr>
                  <w:tcW w:w="1729" w:type="dxa"/>
                  <w:tcBorders>
                    <w:tl2br w:val="nil"/>
                    <w:tr2bl w:val="nil"/>
                  </w:tcBorders>
                  <w:vAlign w:val="bottom"/>
                </w:tcPr>
                <w:p w14:paraId="5CAE46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20</w:t>
                  </w:r>
                </w:p>
              </w:tc>
              <w:tc>
                <w:tcPr>
                  <w:tcW w:w="0" w:type="auto"/>
                  <w:tcBorders>
                    <w:tl2br w:val="nil"/>
                    <w:tr2bl w:val="nil"/>
                  </w:tcBorders>
                </w:tcPr>
                <w:p w14:paraId="02A746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19C043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3B55F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59B84B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氢氧化钠</w:t>
                  </w:r>
                </w:p>
              </w:tc>
              <w:tc>
                <w:tcPr>
                  <w:tcW w:w="1729" w:type="dxa"/>
                  <w:tcBorders>
                    <w:tl2br w:val="nil"/>
                    <w:tr2bl w:val="nil"/>
                  </w:tcBorders>
                  <w:vAlign w:val="bottom"/>
                </w:tcPr>
                <w:p w14:paraId="3A70EB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5</w:t>
                  </w:r>
                </w:p>
              </w:tc>
              <w:tc>
                <w:tcPr>
                  <w:tcW w:w="0" w:type="auto"/>
                  <w:tcBorders>
                    <w:tl2br w:val="nil"/>
                    <w:tr2bl w:val="nil"/>
                  </w:tcBorders>
                </w:tcPr>
                <w:p w14:paraId="360112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1E2017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15CD0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77E5EF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空气</w:t>
                  </w:r>
                </w:p>
              </w:tc>
              <w:tc>
                <w:tcPr>
                  <w:tcW w:w="1729" w:type="dxa"/>
                  <w:tcBorders>
                    <w:tl2br w:val="nil"/>
                    <w:tr2bl w:val="nil"/>
                  </w:tcBorders>
                  <w:vAlign w:val="bottom"/>
                </w:tcPr>
                <w:p w14:paraId="61045FC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6040.42</w:t>
                  </w:r>
                </w:p>
              </w:tc>
              <w:tc>
                <w:tcPr>
                  <w:tcW w:w="0" w:type="auto"/>
                  <w:tcBorders>
                    <w:tl2br w:val="nil"/>
                    <w:tr2bl w:val="nil"/>
                  </w:tcBorders>
                </w:tcPr>
                <w:p w14:paraId="4A14AE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0D16A2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6E181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bottom"/>
                </w:tcPr>
                <w:p w14:paraId="5C00EB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000000" w:themeColor="text1"/>
                      <w:kern w:val="0"/>
                      <w:sz w:val="21"/>
                      <w:szCs w:val="21"/>
                      <w:vertAlign w:val="baseline"/>
                      <w:lang w:val="en-US" w:eastAsia="zh-CN"/>
                      <w14:textFill>
                        <w14:solidFill>
                          <w14:schemeClr w14:val="tx1"/>
                        </w14:solidFill>
                      </w14:textFill>
                    </w:rPr>
                    <w:t>大肠杆菌</w:t>
                  </w:r>
                </w:p>
              </w:tc>
              <w:tc>
                <w:tcPr>
                  <w:tcW w:w="1729" w:type="dxa"/>
                  <w:tcBorders>
                    <w:tl2br w:val="nil"/>
                    <w:tr2bl w:val="nil"/>
                  </w:tcBorders>
                  <w:vAlign w:val="bottom"/>
                </w:tcPr>
                <w:p w14:paraId="3E3997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10</w:t>
                  </w:r>
                </w:p>
              </w:tc>
              <w:tc>
                <w:tcPr>
                  <w:tcW w:w="0" w:type="auto"/>
                  <w:tcBorders>
                    <w:tl2br w:val="nil"/>
                    <w:tr2bl w:val="nil"/>
                  </w:tcBorders>
                </w:tcPr>
                <w:p w14:paraId="104EA6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p>
              </w:tc>
              <w:tc>
                <w:tcPr>
                  <w:tcW w:w="0" w:type="auto"/>
                  <w:tcBorders>
                    <w:tl2br w:val="nil"/>
                    <w:tr2bl w:val="nil"/>
                  </w:tcBorders>
                </w:tcPr>
                <w:p w14:paraId="7ED9A7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p>
              </w:tc>
            </w:tr>
            <w:tr w14:paraId="3EB41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0" w:type="dxa"/>
                  <w:tcBorders>
                    <w:tl2br w:val="nil"/>
                    <w:tr2bl w:val="nil"/>
                  </w:tcBorders>
                  <w:vAlign w:val="center"/>
                </w:tcPr>
                <w:p w14:paraId="13740681">
                  <w:pPr>
                    <w:pStyle w:val="84"/>
                    <w:spacing w:line="70" w:lineRule="atLeast"/>
                    <w:jc w:val="center"/>
                    <w:rPr>
                      <w:rFonts w:hint="eastAsia"/>
                      <w:b w:val="0"/>
                      <w:bCs w:val="0"/>
                      <w:color w:val="FF0000"/>
                      <w:kern w:val="0"/>
                      <w:sz w:val="21"/>
                      <w:szCs w:val="21"/>
                      <w:vertAlign w:val="baseli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总计</w:t>
                  </w:r>
                </w:p>
              </w:tc>
              <w:tc>
                <w:tcPr>
                  <w:tcW w:w="1729" w:type="dxa"/>
                  <w:tcBorders>
                    <w:tl2br w:val="nil"/>
                    <w:tr2bl w:val="nil"/>
                  </w:tcBorders>
                  <w:vAlign w:val="bottom"/>
                </w:tcPr>
                <w:p w14:paraId="55C089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11596.96</w:t>
                  </w:r>
                </w:p>
              </w:tc>
              <w:tc>
                <w:tcPr>
                  <w:tcW w:w="0" w:type="auto"/>
                  <w:tcBorders>
                    <w:tl2br w:val="nil"/>
                    <w:tr2bl w:val="nil"/>
                  </w:tcBorders>
                  <w:vAlign w:val="center"/>
                </w:tcPr>
                <w:p w14:paraId="5B05A3E2">
                  <w:pPr>
                    <w:pStyle w:val="84"/>
                    <w:spacing w:line="70" w:lineRule="atLeast"/>
                    <w:jc w:val="center"/>
                    <w:rPr>
                      <w:rFonts w:hint="default" w:ascii="仿宋_GB2312" w:hAnsi="宋体" w:eastAsia="仿宋_GB2312" w:cs="宋体"/>
                      <w:b w:val="0"/>
                      <w:bCs w:val="0"/>
                      <w:color w:val="FF0000"/>
                      <w:kern w:val="0"/>
                      <w:sz w:val="21"/>
                      <w:szCs w:val="21"/>
                      <w:vertAlign w:val="baseline"/>
                      <w:lang w:val="en-US" w:eastAsia="zh-CN" w:bidi="ar-SA"/>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总计</w:t>
                  </w:r>
                </w:p>
              </w:tc>
              <w:tc>
                <w:tcPr>
                  <w:tcW w:w="0" w:type="auto"/>
                  <w:tcBorders>
                    <w:tl2br w:val="nil"/>
                    <w:tr2bl w:val="nil"/>
                  </w:tcBorders>
                  <w:vAlign w:val="top"/>
                </w:tcPr>
                <w:p w14:paraId="42D93D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FF0000"/>
                      <w:kern w:val="0"/>
                      <w:sz w:val="21"/>
                      <w:szCs w:val="21"/>
                      <w:vertAlign w:val="baseline"/>
                      <w:lang w:val="en-US" w:eastAsia="zh-CN"/>
                    </w:rPr>
                  </w:pPr>
                  <w:r>
                    <w:rPr>
                      <w:rFonts w:hint="eastAsia" w:ascii="Times New Roman" w:hAnsi="Times New Roman" w:cs="Times New Roman"/>
                      <w:b w:val="0"/>
                      <w:bCs w:val="0"/>
                      <w:color w:val="000000" w:themeColor="text1"/>
                      <w:kern w:val="0"/>
                      <w:sz w:val="21"/>
                      <w:szCs w:val="21"/>
                      <w:vertAlign w:val="baseline"/>
                      <w:lang w:val="en-US" w:eastAsia="zh-CN"/>
                      <w14:textFill>
                        <w14:solidFill>
                          <w14:schemeClr w14:val="tx1"/>
                        </w14:solidFill>
                      </w14:textFill>
                    </w:rPr>
                    <w:t>11596.96</w:t>
                  </w:r>
                </w:p>
              </w:tc>
            </w:tr>
          </w:tbl>
          <w:p w14:paraId="6F0E9D4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p>
          <w:p w14:paraId="1018E50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0" w:firstLineChars="200"/>
              <w:textAlignment w:val="auto"/>
              <w:rPr>
                <w:rFonts w:hint="eastAsia"/>
                <w:b w:val="0"/>
                <w:bCs w:val="0"/>
                <w:color w:val="auto"/>
                <w:sz w:val="24"/>
                <w:szCs w:val="24"/>
                <w:lang w:val="en-US" w:eastAsia="zh-CN"/>
              </w:rPr>
            </w:pPr>
          </w:p>
          <w:p w14:paraId="192A233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textAlignment w:val="auto"/>
              <w:rPr>
                <w:rFonts w:hint="eastAsia"/>
                <w:b w:val="0"/>
                <w:bCs w:val="0"/>
                <w:color w:val="auto"/>
                <w:sz w:val="24"/>
                <w:szCs w:val="24"/>
                <w:lang w:val="en-US" w:eastAsia="zh-CN"/>
              </w:rPr>
            </w:pPr>
          </w:p>
          <w:p w14:paraId="333F12AC">
            <w:pPr>
              <w:pStyle w:val="30"/>
              <w:rPr>
                <w:rFonts w:hint="eastAsia"/>
                <w:b w:val="0"/>
                <w:bCs w:val="0"/>
                <w:color w:val="auto"/>
                <w:sz w:val="24"/>
                <w:szCs w:val="24"/>
                <w:lang w:val="en-US" w:eastAsia="zh-CN"/>
              </w:rPr>
            </w:pPr>
          </w:p>
          <w:p w14:paraId="55CF4890">
            <w:pPr>
              <w:pStyle w:val="30"/>
              <w:rPr>
                <w:rFonts w:hint="eastAsia"/>
                <w:b w:val="0"/>
                <w:bCs w:val="0"/>
                <w:color w:val="auto"/>
                <w:sz w:val="24"/>
                <w:szCs w:val="24"/>
                <w:lang w:val="en-US" w:eastAsia="zh-CN"/>
              </w:rPr>
            </w:pPr>
          </w:p>
          <w:p w14:paraId="2E3F1CC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0" w:firstLineChars="200"/>
              <w:textAlignment w:val="auto"/>
              <w:rPr>
                <w:rFonts w:hint="eastAsia"/>
                <w:b/>
                <w:bCs/>
                <w:color w:val="auto"/>
                <w:kern w:val="0"/>
                <w:sz w:val="21"/>
                <w:szCs w:val="21"/>
                <w:lang w:val="en-US" w:eastAsia="zh-CN"/>
              </w:rPr>
            </w:pPr>
            <w:r>
              <w:rPr>
                <w:rFonts w:hint="eastAsia"/>
                <w:b w:val="0"/>
                <w:bCs w:val="0"/>
                <w:color w:val="auto"/>
                <w:sz w:val="24"/>
                <w:szCs w:val="24"/>
                <w:lang w:val="en-US" w:eastAsia="zh-CN"/>
              </w:rPr>
              <w:t>酵罐发酵工艺开发平衡图如下：</w:t>
            </w:r>
          </w:p>
          <w:p w14:paraId="6326F4B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both"/>
              <w:textAlignment w:val="auto"/>
              <w:rPr>
                <w:rFonts w:hint="eastAsia"/>
                <w:b/>
                <w:bCs/>
                <w:color w:val="auto"/>
                <w:kern w:val="0"/>
                <w:sz w:val="21"/>
                <w:szCs w:val="21"/>
                <w:lang w:val="en-US" w:eastAsia="zh-CN"/>
              </w:rPr>
            </w:pPr>
          </w:p>
          <w:p w14:paraId="5B5C731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31BC6E8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05450A7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0FD6AC1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3B64986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40CB6C4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1C189D2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65BBDCC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5918C3C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5988BBD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269655B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6534A76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73205FC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both"/>
              <w:textAlignment w:val="auto"/>
              <w:rPr>
                <w:rFonts w:hint="eastAsia"/>
                <w:b/>
                <w:bCs/>
                <w:color w:val="auto"/>
                <w:kern w:val="0"/>
                <w:sz w:val="21"/>
                <w:szCs w:val="21"/>
                <w:lang w:val="en-US" w:eastAsia="zh-CN"/>
              </w:rPr>
            </w:pPr>
          </w:p>
          <w:p w14:paraId="1E8BF34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b/>
                <w:bCs/>
                <w:color w:val="auto"/>
                <w:kern w:val="0"/>
                <w:sz w:val="21"/>
                <w:szCs w:val="21"/>
                <w:lang w:val="en-US" w:eastAsia="zh-CN"/>
              </w:rPr>
            </w:pPr>
          </w:p>
          <w:p w14:paraId="69CB799C">
            <w:pPr>
              <w:pStyle w:val="7"/>
              <w:rPr>
                <w:rFonts w:hint="eastAsia"/>
                <w:b/>
                <w:bCs/>
                <w:color w:val="auto"/>
                <w:kern w:val="0"/>
                <w:sz w:val="21"/>
                <w:szCs w:val="21"/>
                <w:lang w:val="en-US" w:eastAsia="zh-CN"/>
              </w:rPr>
            </w:pPr>
            <w:r>
              <w:rPr>
                <w:rFonts w:hint="eastAsia"/>
                <w:b w:val="0"/>
                <w:bCs w:val="0"/>
                <w:color w:val="auto"/>
                <w:sz w:val="24"/>
                <w:szCs w:val="24"/>
                <w:lang w:val="en-US" w:eastAsia="zh-CN"/>
              </w:rPr>
              <w:drawing>
                <wp:anchor distT="0" distB="0" distL="114300" distR="114300" simplePos="0" relativeHeight="251664384" behindDoc="1" locked="0" layoutInCell="1" allowOverlap="1">
                  <wp:simplePos x="0" y="0"/>
                  <wp:positionH relativeFrom="column">
                    <wp:posOffset>33020</wp:posOffset>
                  </wp:positionH>
                  <wp:positionV relativeFrom="page">
                    <wp:posOffset>387350</wp:posOffset>
                  </wp:positionV>
                  <wp:extent cx="5278755" cy="4741545"/>
                  <wp:effectExtent l="0" t="0" r="0" b="0"/>
                  <wp:wrapTight wrapText="bothSides">
                    <wp:wrapPolygon>
                      <wp:start x="11162" y="972"/>
                      <wp:lineTo x="11038" y="1180"/>
                      <wp:lineTo x="11100" y="1527"/>
                      <wp:lineTo x="12160" y="2083"/>
                      <wp:lineTo x="11786" y="2569"/>
                      <wp:lineTo x="11786" y="3055"/>
                      <wp:lineTo x="12160" y="3194"/>
                      <wp:lineTo x="2120" y="3680"/>
                      <wp:lineTo x="2120" y="4304"/>
                      <wp:lineTo x="2494" y="4304"/>
                      <wp:lineTo x="2245" y="4582"/>
                      <wp:lineTo x="2681" y="5415"/>
                      <wp:lineTo x="686" y="5832"/>
                      <wp:lineTo x="624" y="6109"/>
                      <wp:lineTo x="1060" y="6526"/>
                      <wp:lineTo x="561" y="7081"/>
                      <wp:lineTo x="499" y="8400"/>
                      <wp:lineTo x="4116" y="8748"/>
                      <wp:lineTo x="11412" y="8748"/>
                      <wp:lineTo x="12098" y="9858"/>
                      <wp:lineTo x="5301" y="9928"/>
                      <wp:lineTo x="4926" y="9997"/>
                      <wp:lineTo x="5176" y="10969"/>
                      <wp:lineTo x="5176" y="11039"/>
                      <wp:lineTo x="12160" y="12080"/>
                      <wp:lineTo x="10539" y="13191"/>
                      <wp:lineTo x="6049" y="13330"/>
                      <wp:lineTo x="6111" y="14163"/>
                      <wp:lineTo x="12160" y="14302"/>
                      <wp:lineTo x="11661" y="14579"/>
                      <wp:lineTo x="11661" y="15135"/>
                      <wp:lineTo x="12160" y="15412"/>
                      <wp:lineTo x="10539" y="16315"/>
                      <wp:lineTo x="6485" y="16523"/>
                      <wp:lineTo x="6485" y="17079"/>
                      <wp:lineTo x="12160" y="17634"/>
                      <wp:lineTo x="11661" y="17842"/>
                      <wp:lineTo x="11661" y="18398"/>
                      <wp:lineTo x="12160" y="18745"/>
                      <wp:lineTo x="5425" y="18745"/>
                      <wp:lineTo x="5363" y="19509"/>
                      <wp:lineTo x="5675" y="19856"/>
                      <wp:lineTo x="5301" y="20064"/>
                      <wp:lineTo x="5301" y="20203"/>
                      <wp:lineTo x="5799" y="20966"/>
                      <wp:lineTo x="5799" y="21105"/>
                      <wp:lineTo x="7546" y="21244"/>
                      <wp:lineTo x="7857" y="21244"/>
                      <wp:lineTo x="17274" y="20966"/>
                      <wp:lineTo x="20766" y="20689"/>
                      <wp:lineTo x="20828" y="19161"/>
                      <wp:lineTo x="19706" y="19023"/>
                      <wp:lineTo x="12534" y="18745"/>
                      <wp:lineTo x="13096" y="18398"/>
                      <wp:lineTo x="13096" y="17842"/>
                      <wp:lineTo x="13719" y="17634"/>
                      <wp:lineTo x="14218" y="17287"/>
                      <wp:lineTo x="14280" y="16315"/>
                      <wp:lineTo x="12534" y="15412"/>
                      <wp:lineTo x="13096" y="15135"/>
                      <wp:lineTo x="13096" y="14579"/>
                      <wp:lineTo x="12534" y="14302"/>
                      <wp:lineTo x="18459" y="14163"/>
                      <wp:lineTo x="18521" y="13469"/>
                      <wp:lineTo x="14156" y="13191"/>
                      <wp:lineTo x="14218" y="13191"/>
                      <wp:lineTo x="12534" y="12080"/>
                      <wp:lineTo x="12846" y="12080"/>
                      <wp:lineTo x="14655" y="11108"/>
                      <wp:lineTo x="14779" y="10067"/>
                      <wp:lineTo x="14405" y="9858"/>
                      <wp:lineTo x="12659" y="9858"/>
                      <wp:lineTo x="13407" y="8748"/>
                      <wp:lineTo x="14093" y="7637"/>
                      <wp:lineTo x="14218" y="6804"/>
                      <wp:lineTo x="13969" y="6665"/>
                      <wp:lineTo x="12534" y="6526"/>
                      <wp:lineTo x="19581" y="5901"/>
                      <wp:lineTo x="19893" y="5485"/>
                      <wp:lineTo x="20641" y="5346"/>
                      <wp:lineTo x="20828" y="5068"/>
                      <wp:lineTo x="20267" y="4304"/>
                      <wp:lineTo x="20579" y="4304"/>
                      <wp:lineTo x="20579" y="3888"/>
                      <wp:lineTo x="20392" y="2985"/>
                      <wp:lineTo x="12534" y="2083"/>
                      <wp:lineTo x="13595" y="1597"/>
                      <wp:lineTo x="13782" y="1111"/>
                      <wp:lineTo x="13532" y="972"/>
                      <wp:lineTo x="11162" y="972"/>
                    </wp:wrapPolygon>
                  </wp:wrapTight>
                  <wp:docPr id="1" name="ECB019B1-382A-4266-B25C-5B523AA43C14-3" descr="C:/Users/22312/AppData/Local/Temp/wps.PYMOM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3" descr="C:/Users/22312/AppData/Local/Temp/wps.PYMOMWwps"/>
                          <pic:cNvPicPr>
                            <a:picLocks noChangeAspect="1"/>
                          </pic:cNvPicPr>
                        </pic:nvPicPr>
                        <pic:blipFill>
                          <a:blip r:embed="rId12"/>
                          <a:srcRect b="2800"/>
                          <a:stretch>
                            <a:fillRect/>
                          </a:stretch>
                        </pic:blipFill>
                        <pic:spPr>
                          <a:xfrm>
                            <a:off x="0" y="0"/>
                            <a:ext cx="5278755" cy="4741545"/>
                          </a:xfrm>
                          <a:prstGeom prst="rect">
                            <a:avLst/>
                          </a:prstGeom>
                        </pic:spPr>
                      </pic:pic>
                    </a:graphicData>
                  </a:graphic>
                </wp:anchor>
              </w:drawing>
            </w:r>
          </w:p>
          <w:p w14:paraId="700BA98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lang w:val="en-US" w:eastAsia="zh-CN"/>
              </w:rPr>
            </w:pPr>
            <w:r>
              <w:rPr>
                <w:rFonts w:hint="eastAsia"/>
                <w:b/>
                <w:bCs/>
                <w:color w:val="auto"/>
                <w:kern w:val="0"/>
                <w:sz w:val="21"/>
                <w:szCs w:val="21"/>
                <w:lang w:val="en-US" w:eastAsia="zh-CN"/>
              </w:rPr>
              <w:t xml:space="preserve">图2-3 </w:t>
            </w:r>
            <w:r>
              <w:rPr>
                <w:rFonts w:hint="eastAsia" w:cs="Times New Roman"/>
                <w:b/>
                <w:bCs w:val="0"/>
                <w:color w:val="auto"/>
                <w:sz w:val="21"/>
                <w:szCs w:val="21"/>
                <w:lang w:val="en-US" w:eastAsia="zh-CN" w:bidi="ar-SA"/>
              </w:rPr>
              <w:t>酵罐发酵工艺开发</w:t>
            </w:r>
            <w:r>
              <w:rPr>
                <w:rFonts w:hint="eastAsia"/>
                <w:b/>
                <w:bCs/>
                <w:color w:val="auto"/>
                <w:kern w:val="0"/>
                <w:sz w:val="21"/>
                <w:szCs w:val="21"/>
                <w:lang w:val="en-US" w:eastAsia="zh-CN"/>
              </w:rPr>
              <w:t>物料平衡图（单位：a）</w:t>
            </w:r>
          </w:p>
          <w:p w14:paraId="36F66547">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auto"/>
                <w:kern w:val="0"/>
                <w:sz w:val="24"/>
                <w:szCs w:val="24"/>
              </w:rPr>
            </w:pPr>
            <w:r>
              <w:rPr>
                <w:rFonts w:hint="eastAsia"/>
                <w:b/>
                <w:bCs/>
                <w:color w:val="auto"/>
                <w:kern w:val="0"/>
                <w:sz w:val="24"/>
                <w:szCs w:val="24"/>
                <w:lang w:val="en-US" w:eastAsia="zh-CN"/>
              </w:rPr>
              <w:t>9</w:t>
            </w:r>
            <w:r>
              <w:rPr>
                <w:b/>
                <w:bCs/>
                <w:color w:val="auto"/>
                <w:kern w:val="0"/>
                <w:sz w:val="24"/>
                <w:szCs w:val="24"/>
              </w:rPr>
              <w:t>、劳动定员及工作制度</w:t>
            </w:r>
          </w:p>
          <w:p w14:paraId="1FBF8B57">
            <w:pPr>
              <w:keepNext w:val="0"/>
              <w:keepLines w:val="0"/>
              <w:pageBreakBefore w:val="0"/>
              <w:widowControl w:val="0"/>
              <w:kinsoku/>
              <w:wordWrap/>
              <w:overflowPunct/>
              <w:topLinePunct w:val="0"/>
              <w:bidi w:val="0"/>
              <w:spacing w:line="480" w:lineRule="exact"/>
              <w:ind w:firstLine="480" w:firstLineChars="200"/>
              <w:textAlignment w:val="auto"/>
              <w:rPr>
                <w:snapToGrid w:val="0"/>
                <w:color w:val="auto"/>
                <w:kern w:val="0"/>
                <w:sz w:val="24"/>
                <w:szCs w:val="24"/>
              </w:rPr>
            </w:pPr>
            <w:r>
              <w:rPr>
                <w:snapToGrid w:val="0"/>
                <w:color w:val="auto"/>
                <w:kern w:val="0"/>
                <w:sz w:val="24"/>
                <w:szCs w:val="24"/>
              </w:rPr>
              <w:t>职工人数：</w:t>
            </w:r>
            <w:r>
              <w:rPr>
                <w:rFonts w:hint="eastAsia"/>
                <w:snapToGrid w:val="0"/>
                <w:color w:val="auto"/>
                <w:kern w:val="0"/>
                <w:sz w:val="24"/>
                <w:szCs w:val="24"/>
              </w:rPr>
              <w:t>本项目</w:t>
            </w:r>
            <w:r>
              <w:rPr>
                <w:snapToGrid w:val="0"/>
                <w:color w:val="auto"/>
                <w:kern w:val="0"/>
                <w:sz w:val="24"/>
                <w:szCs w:val="24"/>
              </w:rPr>
              <w:t>员工</w:t>
            </w:r>
            <w:r>
              <w:rPr>
                <w:rFonts w:hint="eastAsia"/>
                <w:snapToGrid w:val="0"/>
                <w:color w:val="auto"/>
                <w:kern w:val="0"/>
                <w:sz w:val="24"/>
                <w:szCs w:val="24"/>
                <w:lang w:val="en-US" w:eastAsia="zh-CN"/>
              </w:rPr>
              <w:t>10</w:t>
            </w:r>
            <w:r>
              <w:rPr>
                <w:snapToGrid w:val="0"/>
                <w:color w:val="auto"/>
                <w:kern w:val="0"/>
                <w:sz w:val="24"/>
                <w:szCs w:val="24"/>
              </w:rPr>
              <w:t>人。</w:t>
            </w:r>
          </w:p>
          <w:p w14:paraId="7BB7C9AB">
            <w:pPr>
              <w:keepNext w:val="0"/>
              <w:keepLines w:val="0"/>
              <w:pageBreakBefore w:val="0"/>
              <w:widowControl w:val="0"/>
              <w:kinsoku/>
              <w:wordWrap/>
              <w:overflowPunct/>
              <w:topLinePunct w:val="0"/>
              <w:bidi w:val="0"/>
              <w:spacing w:line="480" w:lineRule="exact"/>
              <w:ind w:firstLine="480" w:firstLineChars="200"/>
              <w:textAlignment w:val="auto"/>
              <w:rPr>
                <w:snapToGrid w:val="0"/>
                <w:color w:val="auto"/>
                <w:kern w:val="0"/>
                <w:sz w:val="24"/>
                <w:szCs w:val="24"/>
              </w:rPr>
            </w:pPr>
            <w:r>
              <w:rPr>
                <w:snapToGrid w:val="0"/>
                <w:color w:val="auto"/>
                <w:kern w:val="0"/>
                <w:sz w:val="24"/>
                <w:szCs w:val="24"/>
              </w:rPr>
              <w:t>工作制度：年工作</w:t>
            </w:r>
            <w:r>
              <w:rPr>
                <w:rFonts w:hint="eastAsia"/>
                <w:snapToGrid w:val="0"/>
                <w:color w:val="auto"/>
                <w:kern w:val="0"/>
                <w:sz w:val="24"/>
                <w:szCs w:val="24"/>
                <w:lang w:val="en-US" w:eastAsia="zh-CN"/>
              </w:rPr>
              <w:t>300</w:t>
            </w:r>
            <w:r>
              <w:rPr>
                <w:snapToGrid w:val="0"/>
                <w:color w:val="auto"/>
                <w:kern w:val="0"/>
                <w:sz w:val="24"/>
                <w:szCs w:val="24"/>
              </w:rPr>
              <w:t>天，</w:t>
            </w:r>
            <w:r>
              <w:rPr>
                <w:rFonts w:hint="eastAsia"/>
                <w:snapToGrid w:val="0"/>
                <w:color w:val="auto"/>
                <w:kern w:val="0"/>
                <w:sz w:val="24"/>
                <w:szCs w:val="24"/>
                <w:lang w:val="en-US" w:eastAsia="zh-CN"/>
              </w:rPr>
              <w:t>白班</w:t>
            </w:r>
            <w:r>
              <w:rPr>
                <w:rFonts w:hint="eastAsia"/>
                <w:snapToGrid w:val="0"/>
                <w:color w:val="auto"/>
                <w:kern w:val="0"/>
                <w:sz w:val="24"/>
                <w:szCs w:val="24"/>
              </w:rPr>
              <w:t>制，每班</w:t>
            </w:r>
            <w:r>
              <w:rPr>
                <w:rFonts w:hint="eastAsia"/>
                <w:snapToGrid w:val="0"/>
                <w:color w:val="auto"/>
                <w:kern w:val="0"/>
                <w:sz w:val="24"/>
                <w:szCs w:val="24"/>
                <w:lang w:val="en-US" w:eastAsia="zh-CN"/>
              </w:rPr>
              <w:t>8</w:t>
            </w:r>
            <w:r>
              <w:rPr>
                <w:rFonts w:hint="eastAsia"/>
                <w:snapToGrid w:val="0"/>
                <w:color w:val="auto"/>
                <w:kern w:val="0"/>
                <w:sz w:val="24"/>
                <w:szCs w:val="24"/>
              </w:rPr>
              <w:t>h</w:t>
            </w:r>
            <w:r>
              <w:rPr>
                <w:snapToGrid w:val="0"/>
                <w:color w:val="auto"/>
                <w:kern w:val="0"/>
                <w:sz w:val="24"/>
                <w:szCs w:val="24"/>
              </w:rPr>
              <w:t>。</w:t>
            </w:r>
          </w:p>
          <w:p w14:paraId="74C3270D">
            <w:pPr>
              <w:keepNext w:val="0"/>
              <w:keepLines w:val="0"/>
              <w:pageBreakBefore w:val="0"/>
              <w:widowControl w:val="0"/>
              <w:kinsoku/>
              <w:wordWrap/>
              <w:overflowPunct/>
              <w:topLinePunct w:val="0"/>
              <w:bidi w:val="0"/>
              <w:spacing w:line="480" w:lineRule="exact"/>
              <w:ind w:firstLine="480" w:firstLineChars="200"/>
              <w:textAlignment w:val="auto"/>
              <w:rPr>
                <w:snapToGrid w:val="0"/>
                <w:color w:val="auto"/>
                <w:kern w:val="0"/>
                <w:sz w:val="24"/>
                <w:szCs w:val="24"/>
              </w:rPr>
            </w:pPr>
            <w:r>
              <w:rPr>
                <w:snapToGrid w:val="0"/>
                <w:color w:val="auto"/>
                <w:kern w:val="0"/>
                <w:sz w:val="24"/>
                <w:szCs w:val="24"/>
              </w:rPr>
              <w:t>生活设施：不设食堂、宿舍</w:t>
            </w:r>
            <w:r>
              <w:rPr>
                <w:rFonts w:hint="eastAsia"/>
                <w:snapToGrid w:val="0"/>
                <w:color w:val="auto"/>
                <w:kern w:val="0"/>
                <w:sz w:val="24"/>
                <w:szCs w:val="24"/>
              </w:rPr>
              <w:t>、</w:t>
            </w:r>
            <w:r>
              <w:rPr>
                <w:snapToGrid w:val="0"/>
                <w:color w:val="auto"/>
                <w:kern w:val="0"/>
                <w:sz w:val="24"/>
                <w:szCs w:val="24"/>
              </w:rPr>
              <w:t>浴室。</w:t>
            </w:r>
          </w:p>
          <w:p w14:paraId="634E77E6">
            <w:pPr>
              <w:keepNext w:val="0"/>
              <w:keepLines w:val="0"/>
              <w:pageBreakBefore w:val="0"/>
              <w:widowControl w:val="0"/>
              <w:kinsoku/>
              <w:wordWrap/>
              <w:overflowPunct/>
              <w:topLinePunct w:val="0"/>
              <w:bidi w:val="0"/>
              <w:spacing w:line="480" w:lineRule="exact"/>
              <w:ind w:firstLine="480" w:firstLineChars="200"/>
              <w:textAlignment w:val="auto"/>
              <w:rPr>
                <w:snapToGrid w:val="0"/>
                <w:color w:val="auto"/>
                <w:kern w:val="0"/>
                <w:sz w:val="24"/>
                <w:szCs w:val="24"/>
              </w:rPr>
            </w:pPr>
            <w:r>
              <w:rPr>
                <w:snapToGrid w:val="0"/>
                <w:color w:val="auto"/>
                <w:kern w:val="0"/>
                <w:sz w:val="24"/>
                <w:szCs w:val="24"/>
              </w:rPr>
              <w:t>项目进度：拟202</w:t>
            </w:r>
            <w:r>
              <w:rPr>
                <w:rFonts w:hint="eastAsia"/>
                <w:snapToGrid w:val="0"/>
                <w:color w:val="auto"/>
                <w:kern w:val="0"/>
                <w:sz w:val="24"/>
                <w:szCs w:val="24"/>
                <w:lang w:val="en-US" w:eastAsia="zh-CN"/>
              </w:rPr>
              <w:t>5</w:t>
            </w:r>
            <w:r>
              <w:rPr>
                <w:snapToGrid w:val="0"/>
                <w:color w:val="auto"/>
                <w:kern w:val="0"/>
                <w:sz w:val="24"/>
                <w:szCs w:val="24"/>
              </w:rPr>
              <w:t>年</w:t>
            </w:r>
            <w:r>
              <w:rPr>
                <w:rFonts w:hint="eastAsia"/>
                <w:snapToGrid w:val="0"/>
                <w:color w:val="auto"/>
                <w:kern w:val="0"/>
                <w:sz w:val="24"/>
                <w:szCs w:val="24"/>
                <w:lang w:val="en-US" w:eastAsia="zh-CN"/>
              </w:rPr>
              <w:t>6</w:t>
            </w:r>
            <w:r>
              <w:rPr>
                <w:snapToGrid w:val="0"/>
                <w:color w:val="auto"/>
                <w:kern w:val="0"/>
                <w:sz w:val="24"/>
                <w:szCs w:val="24"/>
              </w:rPr>
              <w:t>月建成投运。</w:t>
            </w:r>
          </w:p>
          <w:p w14:paraId="7B538A97">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b/>
                <w:bCs/>
                <w:color w:val="auto"/>
                <w:kern w:val="0"/>
                <w:sz w:val="24"/>
                <w:szCs w:val="24"/>
              </w:rPr>
            </w:pPr>
            <w:r>
              <w:rPr>
                <w:rFonts w:hint="eastAsia"/>
                <w:b/>
                <w:bCs/>
                <w:color w:val="auto"/>
                <w:kern w:val="0"/>
                <w:sz w:val="24"/>
                <w:szCs w:val="24"/>
                <w:lang w:val="en-US" w:eastAsia="zh-CN"/>
              </w:rPr>
              <w:t>10</w:t>
            </w:r>
            <w:r>
              <w:rPr>
                <w:b/>
                <w:bCs/>
                <w:color w:val="auto"/>
                <w:kern w:val="0"/>
                <w:sz w:val="24"/>
                <w:szCs w:val="24"/>
              </w:rPr>
              <w:t>、周边概况及厂区平面布置情况</w:t>
            </w:r>
          </w:p>
          <w:p w14:paraId="29176636">
            <w:pPr>
              <w:keepNext w:val="0"/>
              <w:keepLines w:val="0"/>
              <w:pageBreakBefore w:val="0"/>
              <w:widowControl w:val="0"/>
              <w:kinsoku/>
              <w:wordWrap/>
              <w:overflowPunct/>
              <w:topLinePunct w:val="0"/>
              <w:bidi w:val="0"/>
              <w:spacing w:line="480" w:lineRule="exact"/>
              <w:ind w:firstLine="472" w:firstLineChars="200"/>
              <w:textAlignment w:val="auto"/>
              <w:rPr>
                <w:sz w:val="24"/>
                <w:szCs w:val="24"/>
              </w:rPr>
            </w:pPr>
            <w:r>
              <w:rPr>
                <w:color w:val="auto"/>
                <w:spacing w:val="-2"/>
                <w:sz w:val="24"/>
                <w:szCs w:val="24"/>
              </w:rPr>
              <w:t>本项目位于</w:t>
            </w:r>
            <w:r>
              <w:rPr>
                <w:rFonts w:hint="eastAsia"/>
                <w:color w:val="auto"/>
                <w:sz w:val="24"/>
                <w:szCs w:val="24"/>
              </w:rPr>
              <w:t>江苏省</w:t>
            </w:r>
            <w:r>
              <w:rPr>
                <w:rFonts w:hint="eastAsia"/>
                <w:color w:val="auto"/>
                <w:sz w:val="24"/>
                <w:szCs w:val="24"/>
                <w:lang w:val="en-US" w:eastAsia="zh-CN"/>
              </w:rPr>
              <w:t>金坛金城科技产业园</w:t>
            </w:r>
            <w:r>
              <w:rPr>
                <w:rFonts w:hint="eastAsia"/>
                <w:color w:val="auto"/>
                <w:sz w:val="24"/>
                <w:szCs w:val="24"/>
                <w:lang w:eastAsia="zh-CN"/>
              </w:rPr>
              <w:t>西城路118号</w:t>
            </w:r>
            <w:r>
              <w:rPr>
                <w:color w:val="auto"/>
                <w:spacing w:val="-2"/>
                <w:sz w:val="24"/>
                <w:szCs w:val="24"/>
              </w:rPr>
              <w:t>，南侧</w:t>
            </w:r>
            <w:r>
              <w:rPr>
                <w:rFonts w:hint="eastAsia"/>
                <w:color w:val="auto"/>
                <w:spacing w:val="-2"/>
                <w:sz w:val="24"/>
                <w:szCs w:val="24"/>
                <w:lang w:val="en-US" w:eastAsia="zh-CN"/>
              </w:rPr>
              <w:t>为良常路，越过良常路196m处为元巷村</w:t>
            </w:r>
            <w:r>
              <w:rPr>
                <w:rFonts w:hint="eastAsia"/>
                <w:color w:val="auto"/>
                <w:spacing w:val="-2"/>
                <w:sz w:val="24"/>
                <w:szCs w:val="24"/>
                <w:lang w:eastAsia="zh-CN"/>
              </w:rPr>
              <w:t>；</w:t>
            </w:r>
            <w:r>
              <w:rPr>
                <w:color w:val="auto"/>
                <w:spacing w:val="-2"/>
                <w:sz w:val="24"/>
                <w:szCs w:val="24"/>
              </w:rPr>
              <w:t>西侧为</w:t>
            </w:r>
            <w:r>
              <w:rPr>
                <w:rFonts w:hint="eastAsia"/>
                <w:color w:val="auto"/>
                <w:spacing w:val="-2"/>
                <w:sz w:val="24"/>
                <w:szCs w:val="24"/>
                <w:lang w:val="en-US" w:eastAsia="zh-CN"/>
              </w:rPr>
              <w:t>空的厂房</w:t>
            </w:r>
            <w:r>
              <w:rPr>
                <w:rFonts w:hint="eastAsia"/>
                <w:color w:val="auto"/>
                <w:spacing w:val="-2"/>
                <w:sz w:val="24"/>
                <w:szCs w:val="24"/>
                <w:lang w:eastAsia="zh-CN"/>
              </w:rPr>
              <w:t>；</w:t>
            </w:r>
            <w:r>
              <w:rPr>
                <w:color w:val="auto"/>
                <w:spacing w:val="-2"/>
                <w:sz w:val="24"/>
                <w:szCs w:val="24"/>
              </w:rPr>
              <w:t>北侧为</w:t>
            </w:r>
            <w:r>
              <w:rPr>
                <w:rFonts w:hint="eastAsia"/>
                <w:color w:val="auto"/>
                <w:spacing w:val="-2"/>
                <w:sz w:val="24"/>
                <w:szCs w:val="24"/>
                <w:lang w:val="en-US" w:eastAsia="zh-CN"/>
              </w:rPr>
              <w:t>江苏康泰生物医学有限公司</w:t>
            </w:r>
            <w:r>
              <w:rPr>
                <w:rFonts w:hint="eastAsia"/>
                <w:color w:val="auto"/>
                <w:spacing w:val="-2"/>
                <w:sz w:val="24"/>
                <w:szCs w:val="24"/>
                <w:lang w:eastAsia="zh-CN"/>
              </w:rPr>
              <w:t>；</w:t>
            </w:r>
            <w:r>
              <w:rPr>
                <w:color w:val="auto"/>
                <w:spacing w:val="-2"/>
                <w:sz w:val="24"/>
                <w:szCs w:val="24"/>
              </w:rPr>
              <w:t>东侧为</w:t>
            </w:r>
            <w:r>
              <w:rPr>
                <w:rFonts w:hint="eastAsia"/>
                <w:color w:val="auto"/>
                <w:spacing w:val="-2"/>
                <w:sz w:val="24"/>
                <w:szCs w:val="24"/>
                <w:lang w:val="en-US" w:eastAsia="zh-CN"/>
              </w:rPr>
              <w:t>常州新一产生命科技有限公司。</w:t>
            </w:r>
          </w:p>
        </w:tc>
      </w:tr>
    </w:tbl>
    <w:p w14:paraId="69D87A8F">
      <w:pPr>
        <w:spacing w:line="360" w:lineRule="exact"/>
        <w:rPr>
          <w:color w:val="auto"/>
          <w:spacing w:val="-2"/>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5"/>
        <w:gridCol w:w="8455"/>
      </w:tblGrid>
      <w:tr w14:paraId="3544FE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3" w:hRule="atLeast"/>
          <w:jc w:val="center"/>
        </w:trPr>
        <w:tc>
          <w:tcPr>
            <w:tcW w:w="605" w:type="dxa"/>
            <w:noWrap w:val="0"/>
            <w:vAlign w:val="center"/>
          </w:tcPr>
          <w:p w14:paraId="6FE29DD4">
            <w:pPr>
              <w:pStyle w:val="18"/>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工艺流程和产排污环节</w:t>
            </w:r>
          </w:p>
        </w:tc>
        <w:tc>
          <w:tcPr>
            <w:tcW w:w="8455" w:type="dxa"/>
            <w:noWrap w:val="0"/>
            <w:vAlign w:val="top"/>
          </w:tcPr>
          <w:p w14:paraId="49FFC62F">
            <w:pPr>
              <w:pStyle w:val="7"/>
              <w:keepNext w:val="0"/>
              <w:keepLines w:val="0"/>
              <w:pageBreakBefore w:val="0"/>
              <w:numPr>
                <w:ilvl w:val="0"/>
                <w:numId w:val="14"/>
              </w:numPr>
              <w:kinsoku/>
              <w:wordWrap/>
              <w:overflowPunct/>
              <w:topLinePunct w:val="0"/>
              <w:bidi w:val="0"/>
              <w:snapToGrid/>
              <w:spacing w:before="0" w:after="0" w:line="480" w:lineRule="exact"/>
              <w:ind w:left="0" w:right="0"/>
              <w:textAlignment w:val="auto"/>
              <w:rPr>
                <w:b/>
                <w:bCs/>
                <w:color w:val="auto"/>
                <w:sz w:val="24"/>
                <w:szCs w:val="24"/>
              </w:rPr>
            </w:pPr>
            <w:r>
              <w:rPr>
                <w:rFonts w:hint="eastAsia"/>
                <w:b/>
                <w:bCs/>
                <w:color w:val="auto"/>
                <w:sz w:val="24"/>
                <w:szCs w:val="24"/>
              </w:rPr>
              <w:t>施工期</w:t>
            </w:r>
          </w:p>
          <w:p w14:paraId="5C99E0C9">
            <w:pPr>
              <w:pStyle w:val="7"/>
              <w:keepNext w:val="0"/>
              <w:keepLines w:val="0"/>
              <w:pageBreakBefore w:val="0"/>
              <w:kinsoku/>
              <w:wordWrap/>
              <w:overflowPunct/>
              <w:topLinePunct w:val="0"/>
              <w:bidi w:val="0"/>
              <w:snapToGrid/>
              <w:spacing w:before="0" w:after="0" w:line="480" w:lineRule="exact"/>
              <w:ind w:left="0" w:right="0" w:firstLine="480" w:firstLineChars="200"/>
              <w:textAlignment w:val="auto"/>
              <w:rPr>
                <w:bCs/>
                <w:color w:val="auto"/>
                <w:kern w:val="2"/>
                <w:sz w:val="24"/>
                <w:szCs w:val="24"/>
              </w:rPr>
            </w:pPr>
            <w:r>
              <w:rPr>
                <w:rFonts w:hint="eastAsia"/>
                <w:bCs/>
                <w:color w:val="auto"/>
                <w:kern w:val="2"/>
                <w:sz w:val="24"/>
                <w:szCs w:val="24"/>
              </w:rPr>
              <w:t>本项目施工期不涉及生产车间建设，只需购置、安装设备，对周围环境产生影响很小，本次环评将不予论述。</w:t>
            </w:r>
          </w:p>
          <w:p w14:paraId="3BA5C7BA">
            <w:pPr>
              <w:pStyle w:val="7"/>
              <w:keepNext w:val="0"/>
              <w:keepLines w:val="0"/>
              <w:pageBreakBefore w:val="0"/>
              <w:kinsoku/>
              <w:wordWrap/>
              <w:overflowPunct/>
              <w:topLinePunct w:val="0"/>
              <w:bidi w:val="0"/>
              <w:snapToGrid/>
              <w:spacing w:before="0" w:after="0" w:line="480" w:lineRule="exact"/>
              <w:ind w:left="0" w:right="0"/>
              <w:textAlignment w:val="auto"/>
              <w:rPr>
                <w:rFonts w:hint="eastAsia"/>
                <w:b/>
                <w:bCs/>
                <w:color w:val="auto"/>
                <w:sz w:val="24"/>
                <w:szCs w:val="24"/>
              </w:rPr>
            </w:pPr>
            <w:r>
              <w:rPr>
                <w:rFonts w:hint="eastAsia"/>
                <w:b/>
                <w:bCs/>
                <w:color w:val="auto"/>
                <w:sz w:val="24"/>
                <w:szCs w:val="24"/>
              </w:rPr>
              <w:t>二、营运期</w:t>
            </w:r>
          </w:p>
          <w:p w14:paraId="54931520">
            <w:pPr>
              <w:pStyle w:val="7"/>
              <w:keepNext w:val="0"/>
              <w:keepLines w:val="0"/>
              <w:pageBreakBefore w:val="0"/>
              <w:kinsoku/>
              <w:wordWrap/>
              <w:overflowPunct/>
              <w:topLinePunct w:val="0"/>
              <w:bidi w:val="0"/>
              <w:snapToGrid/>
              <w:spacing w:before="0" w:after="0" w:line="480" w:lineRule="exact"/>
              <w:ind w:left="0" w:right="0"/>
              <w:textAlignment w:val="auto"/>
              <w:rPr>
                <w:b/>
                <w:bCs/>
                <w:color w:val="auto"/>
                <w:sz w:val="24"/>
                <w:szCs w:val="24"/>
              </w:rPr>
            </w:pPr>
            <w:r>
              <w:rPr>
                <w:rFonts w:hint="eastAsia"/>
                <w:b/>
                <w:bCs/>
                <w:color w:val="auto"/>
                <w:sz w:val="24"/>
                <w:szCs w:val="24"/>
                <w:lang w:val="en-US" w:eastAsia="zh-CN"/>
              </w:rPr>
              <w:t>1、</w:t>
            </w:r>
            <w:r>
              <w:rPr>
                <w:b/>
                <w:bCs/>
                <w:color w:val="auto"/>
                <w:sz w:val="24"/>
                <w:szCs w:val="24"/>
              </w:rPr>
              <w:t>工艺流程简述及产污环节分析</w:t>
            </w:r>
          </w:p>
          <w:p w14:paraId="59B84FD1">
            <w:pPr>
              <w:pStyle w:val="83"/>
              <w:keepNext w:val="0"/>
              <w:keepLines w:val="0"/>
              <w:pageBreakBefore w:val="0"/>
              <w:tabs>
                <w:tab w:val="left" w:pos="2121"/>
              </w:tabs>
              <w:kinsoku/>
              <w:wordWrap/>
              <w:overflowPunct/>
              <w:topLinePunct w:val="0"/>
              <w:bidi w:val="0"/>
              <w:snapToGrid/>
              <w:spacing w:line="480" w:lineRule="exact"/>
              <w:ind w:left="0" w:firstLine="480" w:firstLineChars="200"/>
              <w:textAlignment w:val="auto"/>
              <w:rPr>
                <w:rFonts w:hint="eastAsia" w:cs="Times New Roman"/>
                <w:bCs/>
                <w:color w:val="auto"/>
                <w:sz w:val="24"/>
                <w:lang w:val="en-US" w:eastAsia="zh-CN" w:bidi="ar-SA"/>
              </w:rPr>
            </w:pPr>
            <w:r>
              <w:rPr>
                <w:rFonts w:ascii="Times New Roman" w:hAnsi="Times New Roman" w:cs="Times New Roman"/>
                <w:bCs/>
                <w:color w:val="auto"/>
                <w:sz w:val="24"/>
                <w:lang w:val="en-US" w:bidi="ar-SA"/>
              </w:rPr>
              <w:t>本项</w:t>
            </w:r>
            <w:r>
              <w:rPr>
                <w:rFonts w:hint="eastAsia" w:cs="Times New Roman"/>
                <w:bCs/>
                <w:color w:val="auto"/>
                <w:sz w:val="24"/>
                <w:lang w:val="en-US" w:eastAsia="zh-CN" w:bidi="ar-SA"/>
              </w:rPr>
              <w:t>目以代谢工程和合成生物学技术改造基因工程菌实验为主，实验室分别在两个功能区开展两个主体实验，一是菌种构建和培养，二是发酵罐发酵工艺开发。</w:t>
            </w:r>
          </w:p>
          <w:p w14:paraId="2DAFEE39">
            <w:pPr>
              <w:pStyle w:val="83"/>
              <w:tabs>
                <w:tab w:val="left" w:pos="2121"/>
              </w:tabs>
              <w:spacing w:line="360" w:lineRule="auto"/>
              <w:ind w:left="0" w:firstLine="480" w:firstLineChars="200"/>
              <w:rPr>
                <w:rFonts w:hint="eastAsia" w:cs="Times New Roman"/>
                <w:bCs/>
                <w:color w:val="auto"/>
                <w:sz w:val="24"/>
                <w:lang w:val="en-US" w:eastAsia="zh-CN" w:bidi="ar-SA"/>
              </w:rPr>
            </w:pPr>
            <w:r>
              <w:rPr>
                <w:rFonts w:hint="eastAsia" w:cs="Times New Roman"/>
                <w:bCs/>
                <w:color w:val="auto"/>
                <w:sz w:val="24"/>
                <w:lang w:val="en-US" w:eastAsia="zh-CN" w:bidi="ar-SA"/>
              </w:rPr>
              <w:t>第一部分菌种构建和培养。菌种构建涉及到分子生物学中的多项关键技术，‌包括PCR技术、‌酶切反应、‌连接反应等，‌都是构建基因工程菌不可或缺的步骤。‌通过这些步骤，‌可以将目的基因导入大肠杆菌中，‌使其表达出所需的产物。该部分工作还包括基因工程菌的筛选和验证，对获得的菌种进行保藏，‌为发酵罐发酵提供材料。</w:t>
            </w:r>
          </w:p>
          <w:p w14:paraId="5DB6A73E">
            <w:pPr>
              <w:pStyle w:val="83"/>
              <w:tabs>
                <w:tab w:val="left" w:pos="2121"/>
              </w:tabs>
              <w:spacing w:line="360" w:lineRule="auto"/>
              <w:ind w:left="0" w:firstLine="480" w:firstLineChars="200"/>
              <w:rPr>
                <w:rFonts w:hint="eastAsia" w:cs="Times New Roman"/>
                <w:bCs/>
                <w:color w:val="auto"/>
                <w:sz w:val="24"/>
                <w:lang w:val="en-US" w:eastAsia="zh-CN" w:bidi="ar-SA"/>
              </w:rPr>
            </w:pPr>
            <w:r>
              <w:rPr>
                <w:rFonts w:hint="eastAsia" w:cs="Times New Roman"/>
                <w:bCs/>
                <w:color w:val="auto"/>
                <w:sz w:val="24"/>
                <w:lang w:val="en-US" w:eastAsia="zh-CN" w:bidi="ar-SA"/>
              </w:rPr>
              <w:t>第二部分发酵罐发酵工艺开发。‌‌微生物发酵工艺的研究通常从实验室阶段开始，‌经过中试阶段，‌最终到达工厂化阶段。‌这一过程不仅是为了筛选出适宜、‌高产的菌种和找出合适的培养基配方及初步的发酵条件，‌而且是为了验证小试结果，‌进一步摸清发酵条件，‌为大规模生产提供准确的工艺参数和设计依据。</w:t>
            </w:r>
          </w:p>
          <w:p w14:paraId="400E817F">
            <w:pPr>
              <w:pStyle w:val="83"/>
              <w:tabs>
                <w:tab w:val="left" w:pos="2121"/>
              </w:tabs>
              <w:spacing w:line="360" w:lineRule="auto"/>
              <w:ind w:left="0" w:firstLine="480" w:firstLineChars="200"/>
              <w:rPr>
                <w:rFonts w:hint="default" w:cs="Times New Roman"/>
                <w:bCs/>
                <w:color w:val="auto"/>
                <w:sz w:val="24"/>
                <w:lang w:val="en-US" w:eastAsia="zh-CN" w:bidi="ar-SA"/>
              </w:rPr>
            </w:pPr>
            <w:r>
              <w:rPr>
                <w:rFonts w:hint="eastAsia" w:cs="Times New Roman"/>
                <w:bCs/>
                <w:color w:val="auto"/>
                <w:sz w:val="24"/>
                <w:lang w:val="en-US" w:eastAsia="zh-CN" w:bidi="ar-SA"/>
              </w:rPr>
              <w:t>（1）菌种构建和培养，工艺流程如下：</w:t>
            </w:r>
          </w:p>
          <w:p w14:paraId="6B9072A3">
            <w:pPr>
              <w:pStyle w:val="83"/>
              <w:tabs>
                <w:tab w:val="left" w:pos="2121"/>
              </w:tabs>
              <w:spacing w:line="360" w:lineRule="auto"/>
              <w:ind w:left="0" w:firstLine="480" w:firstLineChars="200"/>
              <w:rPr>
                <w:rFonts w:hint="eastAsia" w:cs="Times New Roman"/>
                <w:bCs/>
                <w:color w:val="auto"/>
                <w:sz w:val="24"/>
                <w:lang w:val="en-US" w:eastAsia="zh-CN" w:bidi="ar-SA"/>
              </w:rPr>
            </w:pPr>
          </w:p>
          <w:p w14:paraId="558D8738">
            <w:pPr>
              <w:pStyle w:val="83"/>
              <w:tabs>
                <w:tab w:val="left" w:pos="2121"/>
              </w:tabs>
              <w:spacing w:line="360" w:lineRule="auto"/>
              <w:jc w:val="center"/>
              <w:rPr>
                <w:rFonts w:hint="default" w:cs="Times New Roman"/>
                <w:b/>
                <w:bCs w:val="0"/>
                <w:color w:val="auto"/>
                <w:sz w:val="24"/>
                <w:lang w:val="en-US" w:eastAsia="zh-CN" w:bidi="ar-SA"/>
              </w:rPr>
            </w:pPr>
            <w:r>
              <w:rPr>
                <w:rFonts w:hint="eastAsia" w:cs="Times New Roman"/>
                <w:b/>
                <w:bCs w:val="0"/>
                <w:color w:val="auto"/>
                <w:sz w:val="21"/>
                <w:szCs w:val="21"/>
                <w:lang w:val="en-US" w:eastAsia="zh-CN" w:bidi="ar-SA"/>
              </w:rPr>
              <w:t xml:space="preserve">  </w:t>
            </w:r>
            <w:r>
              <w:rPr>
                <w:rFonts w:hint="default"/>
                <w:color w:val="auto"/>
                <w:sz w:val="24"/>
                <w:lang w:val="en-US"/>
              </w:rPr>
              <mc:AlternateContent>
                <mc:Choice Requires="wpc">
                  <w:drawing>
                    <wp:inline distT="0" distB="0" distL="114300" distR="114300">
                      <wp:extent cx="5157470" cy="3691255"/>
                      <wp:effectExtent l="0" t="0" r="0" b="0"/>
                      <wp:docPr id="243" name="画布 243"/>
                      <wp:cNvGraphicFramePr/>
                      <a:graphic xmlns:a="http://schemas.openxmlformats.org/drawingml/2006/main">
                        <a:graphicData uri="http://schemas.microsoft.com/office/word/2010/wordprocessingCanvas">
                          <wpc:wpc>
                            <wpc:bg/>
                            <wpc:whole/>
                            <wpg:wgp>
                              <wpg:cNvPr id="64" name="组合 291"/>
                              <wpg:cNvGrpSpPr/>
                              <wpg:grpSpPr>
                                <a:xfrm rot="0">
                                  <a:off x="2005965" y="235585"/>
                                  <a:ext cx="1149985" cy="3264535"/>
                                  <a:chOff x="1207" y="2503"/>
                                  <a:chExt cx="1811" cy="5141"/>
                                </a:xfrm>
                              </wpg:grpSpPr>
                              <wps:wsp>
                                <wps:cNvPr id="65" name="文本框 247"/>
                                <wps:cNvSpPr txBox="1"/>
                                <wps:spPr>
                                  <a:xfrm>
                                    <a:off x="1244" y="2503"/>
                                    <a:ext cx="1667" cy="41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7D5C2A">
                                      <w:pPr>
                                        <w:rPr>
                                          <w:rFonts w:hint="default" w:eastAsia="宋体"/>
                                          <w:lang w:val="en-US" w:eastAsia="zh-CN"/>
                                        </w:rPr>
                                      </w:pPr>
                                      <w:r>
                                        <w:rPr>
                                          <w:rFonts w:hint="eastAsia"/>
                                          <w:lang w:val="en-US" w:eastAsia="zh-CN"/>
                                        </w:rPr>
                                        <w:t>目标基因克隆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249"/>
                                <wps:cNvSpPr txBox="1"/>
                                <wps:spPr>
                                  <a:xfrm>
                                    <a:off x="1243" y="3427"/>
                                    <a:ext cx="1667" cy="41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191A35">
                                      <w:pPr>
                                        <w:rPr>
                                          <w:rFonts w:hint="default" w:eastAsia="宋体"/>
                                          <w:lang w:val="en-US" w:eastAsia="zh-CN"/>
                                        </w:rPr>
                                      </w:pPr>
                                      <w:r>
                                        <w:rPr>
                                          <w:rFonts w:hint="eastAsia"/>
                                          <w:lang w:val="en-US" w:eastAsia="zh-CN"/>
                                        </w:rPr>
                                        <w:t>表达载体构建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直接箭头连接符 250"/>
                                <wps:cNvCnPr>
                                  <a:endCxn id="249" idx="0"/>
                                </wps:cNvCnPr>
                                <wps:spPr>
                                  <a:xfrm flipH="1">
                                    <a:off x="2077" y="2899"/>
                                    <a:ext cx="0" cy="528"/>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4" name="文本框 251"/>
                                <wps:cNvSpPr txBox="1"/>
                                <wps:spPr>
                                  <a:xfrm>
                                    <a:off x="1207" y="4387"/>
                                    <a:ext cx="1811" cy="41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05F318">
                                      <w:pPr>
                                        <w:rPr>
                                          <w:rFonts w:hint="default" w:eastAsia="宋体"/>
                                          <w:lang w:val="en-US" w:eastAsia="zh-CN"/>
                                        </w:rPr>
                                      </w:pPr>
                                      <w:r>
                                        <w:rPr>
                                          <w:rFonts w:hint="eastAsia"/>
                                          <w:lang w:val="en-US" w:eastAsia="zh-CN"/>
                                        </w:rPr>
                                        <w:t>遗传转化与筛选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直接箭头连接符 252"/>
                                <wps:cNvCnPr>
                                  <a:endCxn id="251" idx="0"/>
                                </wps:cNvCnPr>
                                <wps:spPr>
                                  <a:xfrm flipH="1">
                                    <a:off x="2113" y="3859"/>
                                    <a:ext cx="0" cy="528"/>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11" name="文本框 253"/>
                                <wps:cNvSpPr txBox="1"/>
                                <wps:spPr>
                                  <a:xfrm>
                                    <a:off x="1423" y="5323"/>
                                    <a:ext cx="1377" cy="41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CD7557">
                                      <w:pPr>
                                        <w:rPr>
                                          <w:rFonts w:hint="default" w:eastAsia="宋体"/>
                                          <w:lang w:val="en-US" w:eastAsia="zh-CN"/>
                                        </w:rPr>
                                      </w:pPr>
                                      <w:r>
                                        <w:rPr>
                                          <w:rFonts w:hint="eastAsia"/>
                                          <w:lang w:val="en-US" w:eastAsia="zh-CN"/>
                                        </w:rPr>
                                        <w:t>高产菌验证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直接箭头连接符 254"/>
                                <wps:cNvCnPr>
                                  <a:endCxn id="253" idx="0"/>
                                </wps:cNvCnPr>
                                <wps:spPr>
                                  <a:xfrm flipH="1">
                                    <a:off x="2119" y="4795"/>
                                    <a:ext cx="0" cy="528"/>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1" name="文本框 255"/>
                                <wps:cNvSpPr txBox="1"/>
                                <wps:spPr>
                                  <a:xfrm>
                                    <a:off x="1411" y="6271"/>
                                    <a:ext cx="1427" cy="41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80C85D">
                                      <w:pPr>
                                        <w:rPr>
                                          <w:rFonts w:hint="default" w:eastAsia="宋体"/>
                                          <w:lang w:val="en-US" w:eastAsia="zh-CN"/>
                                        </w:rPr>
                                      </w:pPr>
                                      <w:r>
                                        <w:rPr>
                                          <w:rFonts w:hint="eastAsia"/>
                                          <w:lang w:val="en-US" w:eastAsia="zh-CN"/>
                                        </w:rPr>
                                        <w:t>工程菌获得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直接箭头连接符 256"/>
                                <wps:cNvCnPr>
                                  <a:endCxn id="255" idx="0"/>
                                </wps:cNvCnPr>
                                <wps:spPr>
                                  <a:xfrm flipH="1">
                                    <a:off x="2125" y="5743"/>
                                    <a:ext cx="0" cy="528"/>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7" name="文本框 257"/>
                                <wps:cNvSpPr txBox="1"/>
                                <wps:spPr>
                                  <a:xfrm>
                                    <a:off x="1531" y="7231"/>
                                    <a:ext cx="1151" cy="413"/>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FF4897">
                                      <w:pPr>
                                        <w:rPr>
                                          <w:rFonts w:hint="default" w:eastAsia="宋体"/>
                                          <w:lang w:val="en-US" w:eastAsia="zh-CN"/>
                                        </w:rPr>
                                      </w:pPr>
                                      <w:r>
                                        <w:rPr>
                                          <w:rFonts w:hint="eastAsia"/>
                                          <w:lang w:val="en-US" w:eastAsia="zh-CN"/>
                                        </w:rPr>
                                        <w:t>菌种保藏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直接箭头连接符 258"/>
                                <wps:cNvCnPr>
                                  <a:endCxn id="257" idx="0"/>
                                </wps:cNvCnPr>
                                <wps:spPr>
                                  <a:xfrm flipH="1">
                                    <a:off x="2107" y="6703"/>
                                    <a:ext cx="0" cy="528"/>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wgp>
                            <wps:wsp>
                              <wps:cNvPr id="142" name="直接箭头连接符 294"/>
                              <wps:cNvCnPr/>
                              <wps:spPr>
                                <a:xfrm flipV="1">
                                  <a:off x="1626870" y="2155825"/>
                                  <a:ext cx="470535"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3" name="文本框 295"/>
                              <wps:cNvSpPr txBox="1"/>
                              <wps:spPr>
                                <a:xfrm>
                                  <a:off x="92710" y="1797685"/>
                                  <a:ext cx="1558925" cy="872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AD708">
                                    <w:pPr>
                                      <w:rPr>
                                        <w:rFonts w:hint="eastAsia" w:ascii="仿宋" w:hAnsi="仿宋" w:eastAsia="仿宋" w:cs="仿宋"/>
                                        <w:sz w:val="18"/>
                                        <w:szCs w:val="18"/>
                                        <w:lang w:val="en-US" w:eastAsia="zh-CN"/>
                                      </w:rPr>
                                    </w:pPr>
                                    <w:r>
                                      <w:rPr>
                                        <w:rFonts w:hint="eastAsia" w:ascii="仿宋" w:hAnsi="仿宋" w:eastAsia="仿宋" w:cs="仿宋"/>
                                        <w:sz w:val="18"/>
                                        <w:szCs w:val="18"/>
                                      </w:rPr>
                                      <w:t>甘油、酵母粉、胰蛋白胨、磷酸氢二钾、磷酸二氢钾、硫酸镁、氯化钠、硫酸铵、消泡剂、葡萄糖、玉米浆粉、氢氧化钠、纯水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直接箭头连接符 294"/>
                              <wps:cNvCnPr/>
                              <wps:spPr>
                                <a:xfrm>
                                  <a:off x="3169920" y="1559560"/>
                                  <a:ext cx="215900"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9" name="文本框 299"/>
                              <wps:cNvSpPr txBox="1"/>
                              <wps:spPr>
                                <a:xfrm>
                                  <a:off x="3394075" y="1414780"/>
                                  <a:ext cx="64770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BB654">
                                    <w:pPr>
                                      <w:rPr>
                                        <w:rFonts w:hint="default"/>
                                        <w:lang w:val="en-US" w:eastAsia="zh-CN"/>
                                      </w:rPr>
                                    </w:pPr>
                                    <w:r>
                                      <w:rPr>
                                        <w:rFonts w:hint="eastAsia"/>
                                        <w:lang w:val="en-US" w:eastAsia="zh-CN"/>
                                      </w:rPr>
                                      <w:t>G1、S1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直接箭头连接符 294"/>
                              <wps:cNvCnPr/>
                              <wps:spPr>
                                <a:xfrm>
                                  <a:off x="1680845" y="1597025"/>
                                  <a:ext cx="252095"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2" name="文本框 295"/>
                              <wps:cNvSpPr txBox="1"/>
                              <wps:spPr>
                                <a:xfrm>
                                  <a:off x="1132205" y="3227705"/>
                                  <a:ext cx="76200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F86BA">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甘油、纯水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直接箭头连接符 294"/>
                              <wps:cNvCnPr/>
                              <wps:spPr>
                                <a:xfrm>
                                  <a:off x="1932305" y="3372485"/>
                                  <a:ext cx="252095"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2" name="文本框 295"/>
                              <wps:cNvSpPr txBox="1"/>
                              <wps:spPr>
                                <a:xfrm>
                                  <a:off x="514350" y="1276350"/>
                                  <a:ext cx="1132840" cy="544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0E0FC">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蛋白胨、酵母粉、氯化钠、琼脂粉、纯水、氯化钙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直接箭头连接符 294"/>
                              <wps:cNvCnPr/>
                              <wps:spPr>
                                <a:xfrm>
                                  <a:off x="3029585" y="2168525"/>
                                  <a:ext cx="215900"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4" name="文本框 299"/>
                              <wps:cNvSpPr txBox="1"/>
                              <wps:spPr>
                                <a:xfrm>
                                  <a:off x="3265805" y="2031365"/>
                                  <a:ext cx="64770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5B3D9">
                                    <w:pPr>
                                      <w:rPr>
                                        <w:rFonts w:hint="default"/>
                                        <w:lang w:val="en-US" w:eastAsia="zh-CN"/>
                                      </w:rPr>
                                    </w:pPr>
                                    <w:r>
                                      <w:rPr>
                                        <w:rFonts w:hint="eastAsia"/>
                                        <w:lang w:val="en-US" w:eastAsia="zh-CN"/>
                                      </w:rPr>
                                      <w:t>G2、S2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9" name="直接箭头连接符 294"/>
                              <wps:cNvCnPr/>
                              <wps:spPr>
                                <a:xfrm>
                                  <a:off x="1742440" y="386080"/>
                                  <a:ext cx="252095"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20" name="文本框 295"/>
                              <wps:cNvSpPr txBox="1"/>
                              <wps:spPr>
                                <a:xfrm>
                                  <a:off x="362585" y="233045"/>
                                  <a:ext cx="1346200" cy="300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8D5F5">
                                    <w:pPr>
                                      <w:rPr>
                                        <w:rFonts w:hint="eastAsia" w:ascii="仿宋" w:hAnsi="仿宋" w:eastAsia="仿宋" w:cs="仿宋"/>
                                        <w:lang w:val="en-US" w:eastAsia="zh-CN"/>
                                      </w:rPr>
                                    </w:pPr>
                                    <w:r>
                                      <w:rPr>
                                        <w:rFonts w:hint="eastAsia" w:ascii="仿宋" w:hAnsi="仿宋" w:eastAsia="仿宋" w:cs="仿宋"/>
                                        <w:sz w:val="18"/>
                                        <w:szCs w:val="18"/>
                                        <w:lang w:val="en-US" w:eastAsia="zh-CN"/>
                                      </w:rPr>
                                      <w:t>聚合酶、脱氧核苷酸</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90.65pt;width:406.1pt;" coordsize="5157470,3691255" editas="canvas" o:gfxdata="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">
                      <o:lock v:ext="edit" aspectratio="f"/>
                      <v:shape id="_x0000_s1026" o:spid="_x0000_s1026" style="position:absolute;left:0;top:0;height:3691255;width:5157470;" filled="f" stroked="f" coordsize="21600,21600" o:gfxdata="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">
                        <v:fill on="f" focussize="0,0"/>
                        <v:stroke on="f"/>
                        <v:imagedata o:title=""/>
                        <o:lock v:ext="edit" aspectratio="f"/>
                      </v:shape>
                      <v:group id="组合 291" o:spid="_x0000_s1026" o:spt="203" style="position:absolute;left:2005965;top:235585;height:3264535;width:1149985;" coordorigin="1207,2503" coordsize="1811,5141" o:gfxdata="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">
                        <o:lock v:ext="edit" aspectratio="f"/>
                        <v:shape id="文本框 247" o:spid="_x0000_s1026" o:spt="202" type="#_x0000_t202" style="position:absolute;left:1244;top:2503;height:413;width:1667;" filled="f" stroked="t" coordsize="21600,21600" o:gfxdata="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ZFK74A&#10;AADb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14:paraId="0B7D5C2A">
                                <w:pPr>
                                  <w:rPr>
                                    <w:rFonts w:hint="default" w:eastAsia="宋体"/>
                                    <w:lang w:val="en-US" w:eastAsia="zh-CN"/>
                                  </w:rPr>
                                </w:pPr>
                                <w:r>
                                  <w:rPr>
                                    <w:rFonts w:hint="eastAsia"/>
                                    <w:lang w:val="en-US" w:eastAsia="zh-CN"/>
                                  </w:rPr>
                                  <w:t>目标基因克隆</w:t>
                                </w:r>
                              </w:p>
                            </w:txbxContent>
                          </v:textbox>
                        </v:shape>
                        <v:shape id="文本框 249" o:spid="_x0000_s1026" o:spt="202" type="#_x0000_t202" style="position:absolute;left:1243;top:3427;height:413;width:1667;" filled="f" stroked="t" coordsize="21600,21600" o:gfxdata="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21y/&#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01191A35">
                                <w:pPr>
                                  <w:rPr>
                                    <w:rFonts w:hint="default" w:eastAsia="宋体"/>
                                    <w:lang w:val="en-US" w:eastAsia="zh-CN"/>
                                  </w:rPr>
                                </w:pPr>
                                <w:r>
                                  <w:rPr>
                                    <w:rFonts w:hint="eastAsia"/>
                                    <w:lang w:val="en-US" w:eastAsia="zh-CN"/>
                                  </w:rPr>
                                  <w:t>表达载体构建</w:t>
                                </w:r>
                              </w:p>
                            </w:txbxContent>
                          </v:textbox>
                        </v:shape>
                        <v:shape id="直接箭头连接符 250" o:spid="_x0000_s1026" o:spt="32" type="#_x0000_t32" style="position:absolute;left:2077;top:2899;flip:x;height:528;width:0;" filled="f" stroked="t" coordsize="21600,21600" o:gfxdata="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ziib4A&#10;AADbAAAADwAAAAAAAAABACAAAAAiAAAAZHJzL2Rvd25yZXYueG1sUEsBAhQAFAAAAAgAh07iQDMv&#10;BZ47AAAAOQAAABAAAAAAAAAAAQAgAAAADQEAAGRycy9zaGFwZXhtbC54bWxQSwUGAAAAAAYABgBb&#10;AQAAtwMAAAAA&#10;">
                          <v:fill on="f" focussize="0,0"/>
                          <v:stroke weight="0.25pt" color="#000000 [3213]" joinstyle="round" endarrow="block"/>
                          <v:imagedata o:title=""/>
                          <o:lock v:ext="edit" aspectratio="f"/>
                        </v:shape>
                        <v:shape id="文本框 251" o:spid="_x0000_s1026" o:spt="202" type="#_x0000_t202" style="position:absolute;left:1207;top:4387;height:413;width:1811;" filled="f" stroked="t" coordsize="21600,21600" o:gfxdata="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dm2/&#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0305F318">
                                <w:pPr>
                                  <w:rPr>
                                    <w:rFonts w:hint="default" w:eastAsia="宋体"/>
                                    <w:lang w:val="en-US" w:eastAsia="zh-CN"/>
                                  </w:rPr>
                                </w:pPr>
                                <w:r>
                                  <w:rPr>
                                    <w:rFonts w:hint="eastAsia"/>
                                    <w:lang w:val="en-US" w:eastAsia="zh-CN"/>
                                  </w:rPr>
                                  <w:t>遗传转化与筛选</w:t>
                                </w:r>
                              </w:p>
                            </w:txbxContent>
                          </v:textbox>
                        </v:shape>
                        <v:shape id="直接箭头连接符 252" o:spid="_x0000_s1026" o:spt="32" type="#_x0000_t32" style="position:absolute;left:2113;top:3859;flip:x;height:528;width:0;" filled="f" stroked="t" coordsize="21600,21600" o:gfxdata="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bQRG/&#10;AAAA2wAAAA8AAAAAAAAAAQAgAAAAIgAAAGRycy9kb3ducmV2LnhtbFBLAQIUABQAAAAIAIdO4kAz&#10;LwWeOwAAADkAAAAQAAAAAAAAAAEAIAAAAA4BAABkcnMvc2hhcGV4bWwueG1sUEsFBgAAAAAGAAYA&#10;WwEAALgDAAAAAA==&#10;">
                          <v:fill on="f" focussize="0,0"/>
                          <v:stroke weight="0.25pt" color="#000000 [3213]" joinstyle="round" endarrow="block"/>
                          <v:imagedata o:title=""/>
                          <o:lock v:ext="edit" aspectratio="f"/>
                        </v:shape>
                        <v:shape id="文本框 253" o:spid="_x0000_s1026" o:spt="202" type="#_x0000_t202" style="position:absolute;left:1423;top:5323;height:413;width:1377;" filled="f" stroked="t" coordsize="21600,21600" o:gfxdata="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hMh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3DCD7557">
                                <w:pPr>
                                  <w:rPr>
                                    <w:rFonts w:hint="default" w:eastAsia="宋体"/>
                                    <w:lang w:val="en-US" w:eastAsia="zh-CN"/>
                                  </w:rPr>
                                </w:pPr>
                                <w:r>
                                  <w:rPr>
                                    <w:rFonts w:hint="eastAsia"/>
                                    <w:lang w:val="en-US" w:eastAsia="zh-CN"/>
                                  </w:rPr>
                                  <w:t>高产菌验证</w:t>
                                </w:r>
                              </w:p>
                            </w:txbxContent>
                          </v:textbox>
                        </v:shape>
                        <v:shape id="直接箭头连接符 254" o:spid="_x0000_s1026" o:spt="32" type="#_x0000_t32" style="position:absolute;left:2119;top:4795;flip:x;height:528;width:0;" filled="f" stroked="t" coordsize="21600,21600" o:gfxdata="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E6NvQAA&#10;ANwAAAAPAAAAAAAAAAEAIAAAACIAAABkcnMvZG93bnJldi54bWxQSwECFAAUAAAACACHTuJAMy8F&#10;njsAAAA5AAAAEAAAAAAAAAABACAAAAAMAQAAZHJzL3NoYXBleG1sLnhtbFBLBQYAAAAABgAGAFsB&#10;AAC2AwAAAAA=&#10;">
                          <v:fill on="f" focussize="0,0"/>
                          <v:stroke weight="0.25pt" color="#000000 [3213]" joinstyle="round" endarrow="block"/>
                          <v:imagedata o:title=""/>
                          <o:lock v:ext="edit" aspectratio="f"/>
                        </v:shape>
                        <v:shape id="文本框 255" o:spid="_x0000_s1026" o:spt="202" type="#_x0000_t202" style="position:absolute;left:1411;top:6271;height:413;width:1427;" filled="f" stroked="t" coordsize="21600,21600" o:gfxdata="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tmc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6380C85D">
                                <w:pPr>
                                  <w:rPr>
                                    <w:rFonts w:hint="default" w:eastAsia="宋体"/>
                                    <w:lang w:val="en-US" w:eastAsia="zh-CN"/>
                                  </w:rPr>
                                </w:pPr>
                                <w:r>
                                  <w:rPr>
                                    <w:rFonts w:hint="eastAsia"/>
                                    <w:lang w:val="en-US" w:eastAsia="zh-CN"/>
                                  </w:rPr>
                                  <w:t>工程菌获得</w:t>
                                </w:r>
                              </w:p>
                            </w:txbxContent>
                          </v:textbox>
                        </v:shape>
                        <v:shape id="直接箭头连接符 256" o:spid="_x0000_s1026" o:spt="32" type="#_x0000_t32" style="position:absolute;left:2125;top:5743;flip:x;height:528;width:0;" filled="f" stroked="t" coordsize="21600,21600" o:gfxdata="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TbnfvQAA&#10;ANwAAAAPAAAAAAAAAAEAIAAAACIAAABkcnMvZG93bnJldi54bWxQSwECFAAUAAAACACHTuJAMy8F&#10;njsAAAA5AAAAEAAAAAAAAAABACAAAAAMAQAAZHJzL3NoYXBleG1sLnhtbFBLBQYAAAAABgAGAFsB&#10;AAC2AwAAAAA=&#10;">
                          <v:fill on="f" focussize="0,0"/>
                          <v:stroke weight="0.25pt" color="#000000 [3213]" joinstyle="round" endarrow="block"/>
                          <v:imagedata o:title=""/>
                          <o:lock v:ext="edit" aspectratio="f"/>
                        </v:shape>
                        <v:shape id="文本框 257" o:spid="_x0000_s1026" o:spt="202" type="#_x0000_t202" style="position:absolute;left:1531;top:7231;height:413;width:1151;" filled="f" stroked="t" coordsize="21600,21600" o:gfxdata="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7+Rz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7EFF4897">
                                <w:pPr>
                                  <w:rPr>
                                    <w:rFonts w:hint="default" w:eastAsia="宋体"/>
                                    <w:lang w:val="en-US" w:eastAsia="zh-CN"/>
                                  </w:rPr>
                                </w:pPr>
                                <w:r>
                                  <w:rPr>
                                    <w:rFonts w:hint="eastAsia"/>
                                    <w:lang w:val="en-US" w:eastAsia="zh-CN"/>
                                  </w:rPr>
                                  <w:t>菌种保藏</w:t>
                                </w:r>
                              </w:p>
                            </w:txbxContent>
                          </v:textbox>
                        </v:shape>
                        <v:shape id="直接箭头连接符 258" o:spid="_x0000_s1026" o:spt="32" type="#_x0000_t32" style="position:absolute;left:2107;top:6703;flip:x;height:528;width:0;" filled="f" stroked="t" coordsize="21600,21600" o:gfxdata="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ljjW/&#10;AAAA3AAAAA8AAAAAAAAAAQAgAAAAIgAAAGRycy9kb3ducmV2LnhtbFBLAQIUABQAAAAIAIdO4kAz&#10;LwWeOwAAADkAAAAQAAAAAAAAAAEAIAAAAA4BAABkcnMvc2hhcGV4bWwueG1sUEsFBgAAAAAGAAYA&#10;WwEAALgDAAAAAA==&#10;">
                          <v:fill on="f" focussize="0,0"/>
                          <v:stroke weight="0.25pt" color="#000000 [3213]" joinstyle="round" endarrow="block"/>
                          <v:imagedata o:title=""/>
                          <o:lock v:ext="edit" aspectratio="f"/>
                        </v:shape>
                      </v:group>
                      <v:shape id="直接箭头连接符 294" o:spid="_x0000_s1026" o:spt="32" type="#_x0000_t32" style="position:absolute;left:1626870;top:2155825;flip:y;height:0;width:470535;" filled="f" stroked="t" coordsize="21600,21600" o:gfxdata="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6&#10;UnLWAAAABQEAAA8AAAAAAAAAAQAgAAAAIgAAAGRycy9kb3ducmV2LnhtbFBLAQIUABQAAAAIAIdO&#10;4kB30F3WJQIAAA0EAAAOAAAAAAAAAAEAIAAAACUBAABkcnMvZTJvRG9jLnhtbFBLBQYAAAAABgAG&#10;AFkBAAC8BQAAAAA=&#10;">
                        <v:fill on="f" focussize="0,0"/>
                        <v:stroke weight="0.25pt" color="#000000 [3213]" joinstyle="round" endarrow="block"/>
                        <v:imagedata o:title=""/>
                        <o:lock v:ext="edit" aspectratio="f"/>
                      </v:shape>
                      <v:shape id="文本框 295" o:spid="_x0000_s1026" o:spt="202" type="#_x0000_t202" style="position:absolute;left:92710;top:1797685;height:872490;width:1558925;" filled="f" stroked="f" coordsize="21600,21600" o:gfxdata="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dpnsdcAAAAFAQAADwAAAAAAAAAB&#10;ACAAAAAiAAAAZHJzL2Rvd25yZXYueG1sUEsBAhQAFAAAAAgAh07iQJ11V65KAgAAdAQAAA4AAAAA&#10;AAAAAQAgAAAAJgEAAGRycy9lMm9Eb2MueG1sUEsFBgAAAAAGAAYAWQEAAOIFAAAAAA==&#10;">
                        <v:fill on="f" focussize="0,0"/>
                        <v:stroke on="f" weight="0.5pt"/>
                        <v:imagedata o:title=""/>
                        <o:lock v:ext="edit" aspectratio="f"/>
                        <v:textbox>
                          <w:txbxContent>
                            <w:p w14:paraId="3AFAD708">
                              <w:pPr>
                                <w:rPr>
                                  <w:rFonts w:hint="eastAsia" w:ascii="仿宋" w:hAnsi="仿宋" w:eastAsia="仿宋" w:cs="仿宋"/>
                                  <w:sz w:val="18"/>
                                  <w:szCs w:val="18"/>
                                  <w:lang w:val="en-US" w:eastAsia="zh-CN"/>
                                </w:rPr>
                              </w:pPr>
                              <w:r>
                                <w:rPr>
                                  <w:rFonts w:hint="eastAsia" w:ascii="仿宋" w:hAnsi="仿宋" w:eastAsia="仿宋" w:cs="仿宋"/>
                                  <w:sz w:val="18"/>
                                  <w:szCs w:val="18"/>
                                </w:rPr>
                                <w:t>甘油、酵母粉、胰蛋白胨、磷酸氢二钾、磷酸二氢钾、硫酸镁、氯化钠、硫酸铵、消泡剂、葡萄糖、玉米浆粉、氢氧化钠、纯水</w:t>
                              </w:r>
                            </w:p>
                          </w:txbxContent>
                        </v:textbox>
                      </v:shape>
                      <v:shape id="直接箭头连接符 294" o:spid="_x0000_s1026" o:spt="32" type="#_x0000_t32" style="position:absolute;left:3169920;top:1559560;height:0;width:215900;" filled="f" stroked="t" coordsize="21600,21600" o:gfxdata="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8bjNL1AAAAAUBAAAP&#10;AAAAAAAAAAEAIAAAACIAAABkcnMvZG93bnJldi54bWxQSwECFAAUAAAACACHTuJArqdmxxwCAAAD&#10;BAAADgAAAAAAAAABACAAAAAjAQAAZHJzL2Uyb0RvYy54bWxQSwUGAAAAAAYABgBZAQAAsQUAAAAA&#10;">
                        <v:fill on="f" focussize="0,0"/>
                        <v:stroke weight="0.25pt" color="#000000 [3213]" joinstyle="round" endarrow="block"/>
                        <v:imagedata o:title=""/>
                        <o:lock v:ext="edit" aspectratio="f"/>
                      </v:shape>
                      <v:shape id="文本框 299" o:spid="_x0000_s1026" o:spt="202" type="#_x0000_t202" style="position:absolute;left:3394075;top:1414780;height:268605;width:647700;" filled="f" stroked="f" coordsize="21600,21600" o:gfxdata="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HaZ7HXAAAABQEAAA8AAAAAAAAAAQAg&#10;AAAAIgAAAGRycy9kb3ducmV2LnhtbFBLAQIUABQAAAAIAIdO4kB31Z8fSAIAAHUEAAAOAAAAAAAA&#10;AAEAIAAAACYBAABkcnMvZTJvRG9jLnhtbFBLBQYAAAAABgAGAFkBAADgBQAAAAA=&#10;">
                        <v:fill on="f" focussize="0,0"/>
                        <v:stroke on="f" weight="0.5pt"/>
                        <v:imagedata o:title=""/>
                        <o:lock v:ext="edit" aspectratio="f"/>
                        <v:textbox>
                          <w:txbxContent>
                            <w:p w14:paraId="64FBB654">
                              <w:pPr>
                                <w:rPr>
                                  <w:rFonts w:hint="default"/>
                                  <w:lang w:val="en-US" w:eastAsia="zh-CN"/>
                                </w:rPr>
                              </w:pPr>
                              <w:r>
                                <w:rPr>
                                  <w:rFonts w:hint="eastAsia"/>
                                  <w:lang w:val="en-US" w:eastAsia="zh-CN"/>
                                </w:rPr>
                                <w:t>G1、S1</w:t>
                              </w:r>
                            </w:p>
                          </w:txbxContent>
                        </v:textbox>
                      </v:shape>
                      <v:shape id="直接箭头连接符 294" o:spid="_x0000_s1026" o:spt="32" type="#_x0000_t32" style="position:absolute;left:1680845;top:1597025;height:0;width:252095;" filled="f" stroked="t" coordsize="21600,21600" o:gfxdata="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G4zS9QAAAAFAQAA&#10;DwAAAAAAAAABACAAAAAiAAAAZHJzL2Rvd25yZXYueG1sUEsBAhQAFAAAAAgAh07iQNBtHzEdAgAA&#10;AwQAAA4AAAAAAAAAAQAgAAAAIwEAAGRycy9lMm9Eb2MueG1sUEsFBgAAAAAGAAYAWQEAALIFAAAA&#10;AA==&#10;">
                        <v:fill on="f" focussize="0,0"/>
                        <v:stroke weight="0.25pt" color="#000000 [3213]" joinstyle="round" endarrow="block"/>
                        <v:imagedata o:title=""/>
                        <o:lock v:ext="edit" aspectratio="f"/>
                      </v:shape>
                      <v:shape id="文本框 295" o:spid="_x0000_s1026" o:spt="202" type="#_x0000_t202" style="position:absolute;left:1132205;top:3227705;height:260985;width:762000;" filled="f" stroked="f" coordsize="21600,21600" o:gfxdata="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HaZ7HXAAAABQEAAA8AAAAAAAAAAQAg&#10;AAAAIgAAAGRycy9kb3ducmV2LnhtbFBLAQIUABQAAAAIAIdO4kC4KOMRSAIAAHUEAAAOAAAAAAAA&#10;AAEAIAAAACYBAABkcnMvZTJvRG9jLnhtbFBLBQYAAAAABgAGAFkBAADgBQAAAAA=&#10;">
                        <v:fill on="f" focussize="0,0"/>
                        <v:stroke on="f" weight="0.5pt"/>
                        <v:imagedata o:title=""/>
                        <o:lock v:ext="edit" aspectratio="f"/>
                        <v:textbox>
                          <w:txbxContent>
                            <w:p w14:paraId="37DF86BA">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甘油、纯水</w:t>
                              </w:r>
                            </w:p>
                          </w:txbxContent>
                        </v:textbox>
                      </v:shape>
                      <v:shape id="直接箭头连接符 294" o:spid="_x0000_s1026" o:spt="32" type="#_x0000_t32" style="position:absolute;left:1932305;top:3372485;height:0;width:252095;" filled="f" stroked="t" coordsize="21600,21600" o:gfxdata="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uM0vUAAAABQEA&#10;AA8AAAAAAAAAAQAgAAAAIgAAAGRycy9kb3ducmV2LnhtbFBLAQIUABQAAAAIAIdO4kDS/+j0HgIA&#10;AAMEAAAOAAAAAAAAAAEAIAAAACMBAABkcnMvZTJvRG9jLnhtbFBLBQYAAAAABgAGAFkBAACzBQAA&#10;AAA=&#10;">
                        <v:fill on="f" focussize="0,0"/>
                        <v:stroke weight="0.25pt" color="#000000 [3213]" joinstyle="round" endarrow="block"/>
                        <v:imagedata o:title=""/>
                        <o:lock v:ext="edit" aspectratio="f"/>
                      </v:shape>
                      <v:shape id="文本框 295" o:spid="_x0000_s1026" o:spt="202" type="#_x0000_t202" style="position:absolute;left:514350;top:1276350;height:544195;width:1132840;" filled="f" stroked="f" coordsize="21600,21600" o:gfxdata="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dpnsdcAAAAFAQAADwAAAAAAAAABACAAAAAi&#10;AAAAZHJzL2Rvd25yZXYueG1sUEsBAhQAFAAAAAgAh07iQEzJvKdEAgAAdQQAAA4AAAAAAAAAAQAg&#10;AAAAJgEAAGRycy9lMm9Eb2MueG1sUEsFBgAAAAAGAAYAWQEAANwFAAAAAA==&#10;">
                        <v:fill on="f" focussize="0,0"/>
                        <v:stroke on="f" weight="0.5pt"/>
                        <v:imagedata o:title=""/>
                        <o:lock v:ext="edit" aspectratio="f"/>
                        <v:textbox>
                          <w:txbxContent>
                            <w:p w14:paraId="4050E0FC">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蛋白胨、酵母粉、氯化钠、琼脂粉、纯水、氯化钙</w:t>
                              </w:r>
                            </w:p>
                          </w:txbxContent>
                        </v:textbox>
                      </v:shape>
                      <v:shape id="直接箭头连接符 294" o:spid="_x0000_s1026" o:spt="32" type="#_x0000_t32" style="position:absolute;left:3029585;top:2168525;height:0;width:215900;" filled="f" stroked="t" coordsize="21600,21600" o:gfxdata="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8bjNL1AAAAAUB&#10;AAAPAAAAAAAAAAEAIAAAACIAAABkcnMvZG93bnJldi54bWxQSwECFAAUAAAACACHTuJA6v5zeB8C&#10;AAADBAAADgAAAAAAAAABACAAAAAjAQAAZHJzL2Uyb0RvYy54bWxQSwUGAAAAAAYABgBZAQAAtAUA&#10;AAAA&#10;">
                        <v:fill on="f" focussize="0,0"/>
                        <v:stroke weight="0.25pt" color="#000000 [3213]" joinstyle="round" endarrow="block"/>
                        <v:imagedata o:title=""/>
                        <o:lock v:ext="edit" aspectratio="f"/>
                      </v:shape>
                      <v:shape id="文本框 299" o:spid="_x0000_s1026" o:spt="202" type="#_x0000_t202" style="position:absolute;left:3265805;top:2031365;height:268605;width:647700;" filled="f" stroked="f" coordsize="21600,21600" o:gfxdata="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dpnsdcAAAAFAQAADwAAAAAAAAAB&#10;ACAAAAAiAAAAZHJzL2Rvd25yZXYueG1sUEsBAhQAFAAAAAgAh07iQEtznShKAgAAdQQAAA4AAAAA&#10;AAAAAQAgAAAAJgEAAGRycy9lMm9Eb2MueG1sUEsFBgAAAAAGAAYAWQEAAOIFAAAAAA==&#10;">
                        <v:fill on="f" focussize="0,0"/>
                        <v:stroke on="f" weight="0.5pt"/>
                        <v:imagedata o:title=""/>
                        <o:lock v:ext="edit" aspectratio="f"/>
                        <v:textbox>
                          <w:txbxContent>
                            <w:p w14:paraId="1675B3D9">
                              <w:pPr>
                                <w:rPr>
                                  <w:rFonts w:hint="default"/>
                                  <w:lang w:val="en-US" w:eastAsia="zh-CN"/>
                                </w:rPr>
                              </w:pPr>
                              <w:r>
                                <w:rPr>
                                  <w:rFonts w:hint="eastAsia"/>
                                  <w:lang w:val="en-US" w:eastAsia="zh-CN"/>
                                </w:rPr>
                                <w:t>G2、S2</w:t>
                              </w:r>
                            </w:p>
                          </w:txbxContent>
                        </v:textbox>
                      </v:shape>
                      <v:shape id="直接箭头连接符 294" o:spid="_x0000_s1026" o:spt="32" type="#_x0000_t32" style="position:absolute;left:1742440;top:386080;height:0;width:252095;" filled="f" stroked="t" coordsize="21600,21600" o:gfxdata="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G4zS9QAAAAFAQAA&#10;DwAAAAAAAAABACAAAAAiAAAAZHJzL2Rvd25yZXYueG1sUEsBAhQAFAAAAAgAh07iQKKLYmwdAgAA&#10;AgQAAA4AAAAAAAAAAQAgAAAAIwEAAGRycy9lMm9Eb2MueG1sUEsFBgAAAAAGAAYAWQEAALIFAAAA&#10;AA==&#10;">
                        <v:fill on="f" focussize="0,0"/>
                        <v:stroke weight="0.25pt" color="#000000 [3213]" joinstyle="round" endarrow="block"/>
                        <v:imagedata o:title=""/>
                        <o:lock v:ext="edit" aspectratio="f"/>
                      </v:shape>
                      <v:shape id="文本框 295" o:spid="_x0000_s1026" o:spt="202" type="#_x0000_t202" style="position:absolute;left:362585;top:233045;height:300990;width:1346200;" filled="f" stroked="f" coordsize="21600,21600" o:gfxdata="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dpnsdcAAAAFAQAADwAAAAAAAAAB&#10;ACAAAAAiAAAAZHJzL2Rvd25yZXYueG1sUEsBAhQAFAAAAAgAh07iQECvXcxKAgAAdAQAAA4AAAAA&#10;AAAAAQAgAAAAJgEAAGRycy9lMm9Eb2MueG1sUEsFBgAAAAAGAAYAWQEAAOIFAAAAAA==&#10;">
                        <v:fill on="f" focussize="0,0"/>
                        <v:stroke on="f" weight="0.5pt"/>
                        <v:imagedata o:title=""/>
                        <o:lock v:ext="edit" aspectratio="f"/>
                        <v:textbox>
                          <w:txbxContent>
                            <w:p w14:paraId="0D68D5F5">
                              <w:pPr>
                                <w:rPr>
                                  <w:rFonts w:hint="eastAsia" w:ascii="仿宋" w:hAnsi="仿宋" w:eastAsia="仿宋" w:cs="仿宋"/>
                                  <w:lang w:val="en-US" w:eastAsia="zh-CN"/>
                                </w:rPr>
                              </w:pPr>
                              <w:r>
                                <w:rPr>
                                  <w:rFonts w:hint="eastAsia" w:ascii="仿宋" w:hAnsi="仿宋" w:eastAsia="仿宋" w:cs="仿宋"/>
                                  <w:sz w:val="18"/>
                                  <w:szCs w:val="18"/>
                                  <w:lang w:val="en-US" w:eastAsia="zh-CN"/>
                                </w:rPr>
                                <w:t>聚合酶、脱氧核苷酸</w:t>
                              </w:r>
                            </w:p>
                          </w:txbxContent>
                        </v:textbox>
                      </v:shape>
                      <w10:wrap type="none"/>
                      <w10:anchorlock/>
                    </v:group>
                  </w:pict>
                </mc:Fallback>
              </mc:AlternateContent>
            </w:r>
            <w:r>
              <w:rPr>
                <w:rFonts w:hint="eastAsia" w:cs="Times New Roman"/>
                <w:b/>
                <w:bCs w:val="0"/>
                <w:color w:val="auto"/>
                <w:sz w:val="21"/>
                <w:szCs w:val="21"/>
                <w:lang w:val="en-US" w:eastAsia="zh-CN" w:bidi="ar-SA"/>
              </w:rPr>
              <w:t>图2-4 菌种构建和培养工艺流程图</w:t>
            </w:r>
          </w:p>
          <w:p w14:paraId="0D04D117">
            <w:pPr>
              <w:pStyle w:val="83"/>
              <w:keepNext w:val="0"/>
              <w:keepLines w:val="0"/>
              <w:pageBreakBefore w:val="0"/>
              <w:widowControl w:val="0"/>
              <w:tabs>
                <w:tab w:val="left" w:pos="2121"/>
              </w:tabs>
              <w:kinsoku/>
              <w:wordWrap/>
              <w:overflowPunct/>
              <w:topLinePunct w:val="0"/>
              <w:bidi w:val="0"/>
              <w:snapToGrid/>
              <w:spacing w:line="480" w:lineRule="exact"/>
              <w:ind w:left="0" w:firstLine="482" w:firstLineChars="200"/>
              <w:textAlignment w:val="auto"/>
              <w:rPr>
                <w:rFonts w:hint="default" w:ascii="Times New Roman" w:hAnsi="Times New Roman" w:cs="Times New Roman" w:eastAsiaTheme="minorEastAsia"/>
                <w:b/>
                <w:bCs w:val="0"/>
                <w:color w:val="auto"/>
                <w:sz w:val="24"/>
                <w:lang w:val="en-US" w:eastAsia="zh-CN" w:bidi="ar-SA"/>
              </w:rPr>
            </w:pPr>
            <w:r>
              <w:rPr>
                <w:rFonts w:hint="default" w:ascii="Times New Roman" w:hAnsi="Times New Roman" w:cs="Times New Roman" w:eastAsiaTheme="minorEastAsia"/>
                <w:b/>
                <w:bCs w:val="0"/>
                <w:color w:val="auto"/>
                <w:sz w:val="24"/>
                <w:lang w:val="en-US" w:eastAsia="zh-CN" w:bidi="ar-SA"/>
              </w:rPr>
              <w:t>菌种构建和培养工艺流程：</w:t>
            </w:r>
          </w:p>
          <w:p w14:paraId="5B2B303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sz w:val="24"/>
                <w:szCs w:val="24"/>
              </w:rPr>
              <w:t>目标基因克隆：</w:t>
            </w:r>
            <w:r>
              <w:rPr>
                <w:rFonts w:hint="default" w:ascii="Times New Roman" w:hAnsi="Times New Roman" w:cs="Times New Roman" w:eastAsiaTheme="minorEastAsia"/>
                <w:color w:val="auto"/>
                <w:sz w:val="24"/>
                <w:szCs w:val="24"/>
              </w:rPr>
              <w:t>‌通过PCR、‌文库筛选、‌化学合成等方法获取目标基因。</w:t>
            </w:r>
            <w:r>
              <w:rPr>
                <w:rFonts w:hint="default" w:ascii="Times New Roman" w:hAnsi="Times New Roman" w:cs="Times New Roman" w:eastAsiaTheme="minorEastAsia"/>
                <w:color w:val="000000" w:themeColor="text1"/>
                <w:sz w:val="24"/>
                <w:szCs w:val="24"/>
                <w14:textFill>
                  <w14:solidFill>
                    <w14:schemeClr w14:val="tx1"/>
                  </w14:solidFill>
                </w14:textFill>
              </w:rPr>
              <w:t>化学合成外源的目标基因通常是交由第三方公司合成</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PCR、‌文库筛选</w:t>
            </w:r>
            <w:r>
              <w:rPr>
                <w:rFonts w:hint="eastAsia" w:cs="Times New Roman" w:eastAsiaTheme="minorEastAsia"/>
                <w:color w:val="000000" w:themeColor="text1"/>
                <w:sz w:val="24"/>
                <w:szCs w:val="24"/>
                <w:lang w:eastAsia="zh-CN"/>
                <w14:textFill>
                  <w14:solidFill>
                    <w14:schemeClr w14:val="tx1"/>
                  </w14:solidFill>
                </w14:textFill>
              </w:rPr>
              <w:t>目标基因是基于DNA半保留复制机制，通过高温变性使双链DNA解离为单链，随后降低温度使特异性引物与单链模板结合，再在DNA聚合酶作用下</w:t>
            </w:r>
            <w:r>
              <w:rPr>
                <w:rFonts w:hint="eastAsia" w:cs="Times New Roman" w:eastAsiaTheme="minorEastAsia"/>
                <w:color w:val="000000" w:themeColor="text1"/>
                <w:sz w:val="24"/>
                <w:szCs w:val="24"/>
                <w:lang w:val="en-US" w:eastAsia="zh-CN"/>
                <w14:textFill>
                  <w14:solidFill>
                    <w14:schemeClr w14:val="tx1"/>
                  </w14:solidFill>
                </w14:textFill>
              </w:rPr>
              <w:t>脱氧核苷酸</w:t>
            </w:r>
            <w:r>
              <w:rPr>
                <w:rFonts w:hint="eastAsia" w:cs="Times New Roman" w:eastAsiaTheme="minorEastAsia"/>
                <w:color w:val="000000" w:themeColor="text1"/>
                <w:sz w:val="24"/>
                <w:szCs w:val="24"/>
                <w:lang w:eastAsia="zh-CN"/>
                <w14:textFill>
                  <w14:solidFill>
                    <w14:schemeClr w14:val="tx1"/>
                  </w14:solidFill>
                </w14:textFill>
              </w:rPr>
              <w:t>为原料延伸合成新链，如此循环往复，每个循环目标DNA片段数量翻倍，经25-35个循环即可指数级扩增出大量特定基因片段；其过程包括配制含模板DNA、酶、</w:t>
            </w:r>
            <w:r>
              <w:rPr>
                <w:rFonts w:hint="eastAsia" w:cs="Times New Roman" w:eastAsiaTheme="minorEastAsia"/>
                <w:color w:val="000000" w:themeColor="text1"/>
                <w:sz w:val="24"/>
                <w:szCs w:val="24"/>
                <w:lang w:val="en-US" w:eastAsia="zh-CN"/>
                <w14:textFill>
                  <w14:solidFill>
                    <w14:schemeClr w14:val="tx1"/>
                  </w14:solidFill>
                </w14:textFill>
              </w:rPr>
              <w:t>脱氧核苷酸的</w:t>
            </w:r>
            <w:r>
              <w:rPr>
                <w:rFonts w:hint="eastAsia" w:cs="Times New Roman" w:eastAsiaTheme="minorEastAsia"/>
                <w:color w:val="000000" w:themeColor="text1"/>
                <w:sz w:val="24"/>
                <w:szCs w:val="24"/>
                <w:lang w:eastAsia="zh-CN"/>
                <w14:textFill>
                  <w14:solidFill>
                    <w14:schemeClr w14:val="tx1"/>
                  </w14:solidFill>
                </w14:textFill>
              </w:rPr>
              <w:t>反应体系，放入PCR仪中先进行预变性激活，再按设定程序完成多个循环，最后终延伸并保温保存产物，通常需要</w:t>
            </w:r>
            <w:r>
              <w:rPr>
                <w:rFonts w:hint="eastAsia" w:cs="Times New Roman" w:eastAsiaTheme="minorEastAsia"/>
                <w:color w:val="000000" w:themeColor="text1"/>
                <w:sz w:val="24"/>
                <w:szCs w:val="24"/>
                <w:lang w:val="en-US" w:eastAsia="zh-CN"/>
                <w14:textFill>
                  <w14:solidFill>
                    <w14:schemeClr w14:val="tx1"/>
                  </w14:solidFill>
                </w14:textFill>
              </w:rPr>
              <w:t>2-3</w:t>
            </w:r>
            <w:r>
              <w:rPr>
                <w:rFonts w:hint="eastAsia" w:cs="Times New Roman" w:eastAsiaTheme="minorEastAsia"/>
                <w:color w:val="000000" w:themeColor="text1"/>
                <w:sz w:val="24"/>
                <w:szCs w:val="24"/>
                <w:lang w:eastAsia="zh-CN"/>
                <w14:textFill>
                  <w14:solidFill>
                    <w14:schemeClr w14:val="tx1"/>
                  </w14:solidFill>
                </w14:textFill>
              </w:rPr>
              <w:t>个小时。</w:t>
            </w:r>
            <w:r>
              <w:rPr>
                <w:rFonts w:hint="default" w:ascii="Times New Roman" w:hAnsi="Times New Roman" w:cs="Times New Roman" w:eastAsiaTheme="minorEastAsia"/>
                <w:color w:val="000000" w:themeColor="text1"/>
                <w:sz w:val="24"/>
                <w:szCs w:val="24"/>
                <w14:textFill>
                  <w14:solidFill>
                    <w14:schemeClr w14:val="tx1"/>
                  </w14:solidFill>
                </w14:textFill>
              </w:rPr>
              <w:t>‌这一步骤的目的是获取需要表达的目的基因。‌</w:t>
            </w:r>
          </w:p>
          <w:p w14:paraId="3A61A15F">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4"/>
                <w:szCs w:val="24"/>
              </w:rPr>
              <w:t>表达载体构建：</w:t>
            </w:r>
            <w:r>
              <w:rPr>
                <w:rFonts w:hint="default" w:ascii="Times New Roman" w:hAnsi="Times New Roman" w:cs="Times New Roman" w:eastAsiaTheme="minorEastAsia"/>
                <w:color w:val="auto"/>
                <w:sz w:val="24"/>
                <w:szCs w:val="24"/>
              </w:rPr>
              <w:t>‌通过酶切和链接技术，‌在质粒载体上插入外源基因表达盒，‌构成表达载体。‌这一步骤涉及到在特定的位点上催化双链DNA分子的断裂，‌以及DNA双链上相邻的3’羟基和5’磷酸基团共价结合形成3’-5’磷酸二酯键，‌使原来断开的DNA缺口重新连接起来。</w:t>
            </w:r>
          </w:p>
          <w:p w14:paraId="0E1E9EA9">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z w:val="24"/>
                <w:szCs w:val="24"/>
              </w:rPr>
              <w:t>遗传转化与筛选：</w:t>
            </w:r>
            <w:r>
              <w:rPr>
                <w:rFonts w:hint="default" w:ascii="Times New Roman" w:hAnsi="Times New Roman" w:cs="Times New Roman" w:eastAsiaTheme="minorEastAsia"/>
                <w:color w:val="auto"/>
                <w:sz w:val="24"/>
                <w:szCs w:val="24"/>
              </w:rPr>
              <w:t>‌通过氯化钙法等手段将外源基因导入宿主细胞，‌即大肠杆菌中，‌并进行筛选，‌以获得具有新性状、‌功能或能产生特定物质的工程菌。‌将菌液涂在添加有相应抗生素的固体培养基平板上37℃培养20小时。</w:t>
            </w:r>
            <w:r>
              <w:rPr>
                <w:rFonts w:hint="default" w:ascii="Times New Roman" w:hAnsi="Times New Roman" w:cs="Times New Roman" w:eastAsiaTheme="minorEastAsia"/>
                <w:color w:val="auto"/>
                <w:sz w:val="24"/>
                <w:szCs w:val="24"/>
                <w:lang w:val="en-US" w:eastAsia="zh-CN"/>
              </w:rPr>
              <w:t>配置氯化钙和固体培养基过程使用极少粉状原料，产生的投料粉尘只做定性分析。产生废气G1（培养废气），固废S1（废固体培养基）。</w:t>
            </w:r>
          </w:p>
          <w:p w14:paraId="7799C921">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4"/>
                <w:szCs w:val="24"/>
              </w:rPr>
              <w:t>工程菌的获得：</w:t>
            </w:r>
            <w:r>
              <w:rPr>
                <w:rFonts w:hint="default" w:ascii="Times New Roman" w:hAnsi="Times New Roman" w:cs="Times New Roman" w:eastAsiaTheme="minorEastAsia"/>
                <w:color w:val="auto"/>
                <w:sz w:val="24"/>
                <w:szCs w:val="24"/>
              </w:rPr>
              <w:t>‌通过上述步骤，‌最终获得能够表达所需蛋白质的基因工程菌。‌</w:t>
            </w:r>
          </w:p>
          <w:p w14:paraId="12DFE8AA">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z w:val="24"/>
                <w:szCs w:val="24"/>
              </w:rPr>
              <w:t>高产菌的验证：</w:t>
            </w:r>
            <w:r>
              <w:rPr>
                <w:rFonts w:hint="default" w:ascii="Times New Roman" w:hAnsi="Times New Roman" w:cs="Times New Roman" w:eastAsiaTheme="minorEastAsia"/>
                <w:color w:val="auto"/>
                <w:sz w:val="24"/>
                <w:szCs w:val="24"/>
              </w:rPr>
              <w:t>（1）配制验证所需要的培养液；</w:t>
            </w:r>
            <w:r>
              <w:rPr>
                <w:rFonts w:hint="default" w:ascii="Times New Roman" w:hAnsi="Times New Roman" w:cs="Times New Roman" w:eastAsiaTheme="minorEastAsia"/>
                <w:color w:val="auto"/>
                <w:sz w:val="24"/>
                <w:szCs w:val="24"/>
                <w:lang w:val="en-US" w:eastAsia="zh-CN"/>
              </w:rPr>
              <w:t>配置培养液过程使用极少的粉状原料，产生的投料粉尘只做定性分析；</w:t>
            </w:r>
            <w:r>
              <w:rPr>
                <w:rFonts w:hint="default" w:ascii="Times New Roman" w:hAnsi="Times New Roman" w:cs="Times New Roman" w:eastAsiaTheme="minorEastAsia"/>
                <w:color w:val="auto"/>
                <w:sz w:val="24"/>
                <w:szCs w:val="24"/>
              </w:rPr>
              <w:t>（2）将菌种接种到培养基中，在合适的温度及转速中进行发酵；（3）发酵到一定时间后测试发酵液的OD值；（4）当OD值合适时往发酵液中添加</w:t>
            </w:r>
            <w:r>
              <w:rPr>
                <w:rFonts w:hint="default" w:ascii="Times New Roman" w:hAnsi="Times New Roman" w:cs="Times New Roman" w:eastAsiaTheme="minorEastAsia"/>
                <w:color w:val="auto"/>
                <w:sz w:val="24"/>
                <w:szCs w:val="24"/>
                <w:lang w:val="en-US" w:eastAsia="zh-CN"/>
              </w:rPr>
              <w:t>葡萄糖</w:t>
            </w:r>
            <w:r>
              <w:rPr>
                <w:rFonts w:hint="default" w:ascii="Times New Roman" w:hAnsi="Times New Roman" w:cs="Times New Roman" w:eastAsiaTheme="minorEastAsia"/>
                <w:color w:val="auto"/>
                <w:sz w:val="24"/>
                <w:szCs w:val="24"/>
              </w:rPr>
              <w:t>继续发酵；（5）每隔一段时间检测发酵液的OD值直至发酵完成；（6）将发酵完成后的发酵液，离心取上清液，在HPLC中测定产物浓度。通过摇瓶培养，定时检测发酵液种产品的含量，选择高产量的菌株进行保藏，通过发酵罐试验进一步验证并开发高产工艺。</w:t>
            </w:r>
            <w:r>
              <w:rPr>
                <w:rFonts w:hint="default" w:ascii="Times New Roman" w:hAnsi="Times New Roman" w:cs="Times New Roman" w:eastAsiaTheme="minorEastAsia"/>
                <w:color w:val="auto"/>
                <w:sz w:val="24"/>
                <w:szCs w:val="24"/>
                <w:lang w:val="en-US" w:eastAsia="zh-CN"/>
              </w:rPr>
              <w:t>产生废液S2（离心后的浊液）,废气G2（发酵废气）。</w:t>
            </w:r>
          </w:p>
          <w:p w14:paraId="7D5830C5">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4"/>
                <w:szCs w:val="24"/>
              </w:rPr>
              <w:t>菌种保藏：</w:t>
            </w:r>
            <w:r>
              <w:rPr>
                <w:rFonts w:hint="default" w:ascii="Times New Roman" w:hAnsi="Times New Roman" w:cs="Times New Roman" w:eastAsiaTheme="minorEastAsia"/>
                <w:color w:val="auto"/>
                <w:sz w:val="24"/>
                <w:szCs w:val="24"/>
              </w:rPr>
              <w:t>（1）配制体积浓度为40%的甘油保存液；（2）验证表现产量高的菌株进行液体培养，吸取处于对数生长期的细胞至40%的甘油保存液中，使甘油浓度为20%；（3）将细胞放入-</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0℃的冰箱中保存。后续用于发酵工艺的优化。</w:t>
            </w:r>
          </w:p>
          <w:p w14:paraId="74FFD79E">
            <w:pPr>
              <w:pStyle w:val="83"/>
              <w:keepNext w:val="0"/>
              <w:keepLines w:val="0"/>
              <w:pageBreakBefore w:val="0"/>
              <w:widowControl w:val="0"/>
              <w:tabs>
                <w:tab w:val="left" w:pos="2121"/>
              </w:tabs>
              <w:kinsoku/>
              <w:wordWrap/>
              <w:overflowPunct/>
              <w:topLinePunct w:val="0"/>
              <w:bidi w:val="0"/>
              <w:snapToGrid/>
              <w:spacing w:line="480" w:lineRule="exact"/>
              <w:ind w:left="0" w:firstLine="480" w:firstLineChars="200"/>
              <w:textAlignment w:val="auto"/>
              <w:rPr>
                <w:rFonts w:hint="default" w:ascii="Times New Roman" w:hAnsi="Times New Roman" w:cs="Times New Roman"/>
                <w:bCs/>
                <w:color w:val="auto"/>
                <w:sz w:val="24"/>
                <w:lang w:val="en-US" w:eastAsia="zh-CN" w:bidi="ar-SA"/>
              </w:rPr>
            </w:pPr>
            <w:r>
              <w:rPr>
                <w:rFonts w:hint="default" w:ascii="Times New Roman" w:hAnsi="Times New Roman" w:cs="Times New Roman"/>
                <w:bCs/>
                <w:color w:val="auto"/>
                <w:sz w:val="24"/>
                <w:lang w:val="en-US" w:eastAsia="zh-CN" w:bidi="ar-SA"/>
              </w:rPr>
              <w:t>（2）发酵罐发酵工艺开发，工艺流程如下：</w:t>
            </w:r>
          </w:p>
          <w:p w14:paraId="057B4B7B">
            <w:pPr>
              <w:snapToGrid w:val="0"/>
              <w:jc w:val="both"/>
              <w:rPr>
                <w:rFonts w:hint="eastAsia" w:cs="Times New Roman"/>
                <w:b/>
                <w:bCs w:val="0"/>
                <w:color w:val="auto"/>
                <w:sz w:val="24"/>
                <w:lang w:val="en-US" w:eastAsia="zh-CN" w:bidi="ar-SA"/>
              </w:rPr>
            </w:pPr>
            <w:r>
              <w:rPr>
                <w:rFonts w:hint="eastAsia" w:cs="Times New Roman"/>
                <w:b/>
                <w:bCs w:val="0"/>
                <w:color w:val="auto"/>
                <w:sz w:val="24"/>
                <w:lang w:val="en-US" w:eastAsia="zh-CN" w:bidi="ar-SA"/>
              </w:rPr>
              <w:t xml:space="preserve"> </w:t>
            </w:r>
            <w:r>
              <w:rPr>
                <w:color w:val="auto"/>
                <w:sz w:val="24"/>
              </w:rPr>
              <mc:AlternateContent>
                <mc:Choice Requires="wpc">
                  <w:drawing>
                    <wp:inline distT="0" distB="0" distL="114300" distR="114300">
                      <wp:extent cx="5157470" cy="4782820"/>
                      <wp:effectExtent l="0" t="0" r="0" b="0"/>
                      <wp:docPr id="34" name="画布 34"/>
                      <wp:cNvGraphicFramePr/>
                      <a:graphic xmlns:a="http://schemas.openxmlformats.org/drawingml/2006/main">
                        <a:graphicData uri="http://schemas.microsoft.com/office/word/2010/wordprocessingCanvas">
                          <wpc:wpc>
                            <wpc:bg/>
                            <wpc:whole/>
                            <wps:wsp>
                              <wps:cNvPr id="147" name="文本框 297"/>
                              <wps:cNvSpPr txBox="1"/>
                              <wps:spPr>
                                <a:xfrm>
                                  <a:off x="255905" y="1066165"/>
                                  <a:ext cx="1560830" cy="849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8670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甘油、酵母粉、胰蛋白胨、磷酸氢二钾、磷酸二氢钾、硫酸镁、氯化钠、硫酸铵、消泡剂、葡萄糖、玉米浆粉、氢氧化钠、纯水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文本框 278"/>
                              <wps:cNvSpPr txBox="1"/>
                              <wps:spPr>
                                <a:xfrm>
                                  <a:off x="2182495" y="3846195"/>
                                  <a:ext cx="875665" cy="2622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DFE9D1">
                                    <w:pPr>
                                      <w:rPr>
                                        <w:rFonts w:hint="default" w:eastAsia="宋体"/>
                                        <w:lang w:val="en-US" w:eastAsia="zh-CN"/>
                                      </w:rPr>
                                    </w:pPr>
                                    <w:r>
                                      <w:rPr>
                                        <w:rFonts w:hint="eastAsia"/>
                                        <w:lang w:val="en-US" w:eastAsia="zh-CN"/>
                                      </w:rPr>
                                      <w:t>发酵罐培养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文本框 280"/>
                              <wps:cNvSpPr txBox="1"/>
                              <wps:spPr>
                                <a:xfrm>
                                  <a:off x="2189480" y="3236595"/>
                                  <a:ext cx="875665" cy="2622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52EAA2">
                                    <w:pPr>
                                      <w:rPr>
                                        <w:rFonts w:hint="default" w:eastAsia="宋体"/>
                                        <w:lang w:val="en-US" w:eastAsia="zh-CN"/>
                                      </w:rPr>
                                    </w:pPr>
                                    <w:r>
                                      <w:rPr>
                                        <w:rFonts w:hint="eastAsia"/>
                                        <w:lang w:val="en-US" w:eastAsia="zh-CN"/>
                                      </w:rPr>
                                      <w:t>发酵罐接种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直接箭头连接符 281"/>
                              <wps:cNvCnPr/>
                              <wps:spPr>
                                <a:xfrm flipH="1">
                                  <a:off x="2620010" y="2901315"/>
                                  <a:ext cx="0" cy="335280"/>
                                </a:xfrm>
                                <a:prstGeom prst="straightConnector1">
                                  <a:avLst/>
                                </a:prstGeom>
                                <a:ln w="317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84" name="文本框 282"/>
                              <wps:cNvSpPr txBox="1"/>
                              <wps:spPr>
                                <a:xfrm>
                                  <a:off x="2181860" y="2634615"/>
                                  <a:ext cx="883285" cy="2622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382AB3">
                                    <w:pPr>
                                      <w:rPr>
                                        <w:rFonts w:hint="default" w:eastAsia="宋体"/>
                                        <w:lang w:val="en-US" w:eastAsia="zh-CN"/>
                                      </w:rPr>
                                    </w:pPr>
                                    <w:r>
                                      <w:rPr>
                                        <w:rFonts w:hint="eastAsia"/>
                                        <w:lang w:val="en-US" w:eastAsia="zh-CN"/>
                                      </w:rPr>
                                      <w:t>发酵罐灭菌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直接箭头连接符 283"/>
                              <wps:cNvCnPr/>
                              <wps:spPr>
                                <a:xfrm flipH="1">
                                  <a:off x="2616200" y="2299335"/>
                                  <a:ext cx="0" cy="335280"/>
                                </a:xfrm>
                                <a:prstGeom prst="straightConnector1">
                                  <a:avLst/>
                                </a:prstGeom>
                                <a:ln w="317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87" name="文本框 284"/>
                              <wps:cNvSpPr txBox="1"/>
                              <wps:spPr>
                                <a:xfrm>
                                  <a:off x="2044700" y="2040255"/>
                                  <a:ext cx="1141095" cy="2622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619841">
                                    <w:pPr>
                                      <w:rPr>
                                        <w:rFonts w:hint="default" w:eastAsia="宋体"/>
                                        <w:lang w:val="en-US" w:eastAsia="zh-CN"/>
                                      </w:rPr>
                                    </w:pPr>
                                    <w:r>
                                      <w:rPr>
                                        <w:rFonts w:hint="eastAsia"/>
                                        <w:lang w:val="en-US" w:eastAsia="zh-CN"/>
                                      </w:rPr>
                                      <w:t>电极检测与标定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直接箭头连接符 285"/>
                              <wps:cNvCnPr/>
                              <wps:spPr>
                                <a:xfrm flipH="1">
                                  <a:off x="2607945" y="1682115"/>
                                  <a:ext cx="0" cy="335280"/>
                                </a:xfrm>
                                <a:prstGeom prst="straightConnector1">
                                  <a:avLst/>
                                </a:prstGeom>
                                <a:ln w="317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2" name="文本框 286"/>
                              <wps:cNvSpPr txBox="1"/>
                              <wps:spPr>
                                <a:xfrm>
                                  <a:off x="2136140" y="1415415"/>
                                  <a:ext cx="906145" cy="2622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9005FE">
                                    <w:pPr>
                                      <w:rPr>
                                        <w:rFonts w:hint="default" w:eastAsia="宋体"/>
                                        <w:lang w:val="en-US" w:eastAsia="zh-CN"/>
                                      </w:rPr>
                                    </w:pPr>
                                    <w:r>
                                      <w:rPr>
                                        <w:rFonts w:hint="eastAsia"/>
                                        <w:lang w:val="en-US" w:eastAsia="zh-CN"/>
                                      </w:rPr>
                                      <w:t>发酵罐配料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直接箭头连接符 287"/>
                              <wps:cNvCnPr/>
                              <wps:spPr>
                                <a:xfrm flipH="1">
                                  <a:off x="2597150" y="1064895"/>
                                  <a:ext cx="0" cy="335280"/>
                                </a:xfrm>
                                <a:prstGeom prst="straightConnector1">
                                  <a:avLst/>
                                </a:prstGeom>
                                <a:ln w="317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6" name="文本框 288"/>
                              <wps:cNvSpPr txBox="1"/>
                              <wps:spPr>
                                <a:xfrm>
                                  <a:off x="2212340" y="790575"/>
                                  <a:ext cx="730885" cy="2622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051DA0">
                                    <w:pPr>
                                      <w:rPr>
                                        <w:rFonts w:hint="default" w:eastAsia="宋体"/>
                                        <w:lang w:val="en-US" w:eastAsia="zh-CN"/>
                                      </w:rPr>
                                    </w:pPr>
                                    <w:r>
                                      <w:rPr>
                                        <w:rFonts w:hint="eastAsia"/>
                                        <w:lang w:val="en-US" w:eastAsia="zh-CN"/>
                                      </w:rPr>
                                      <w:t>种子培养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直接箭头连接符 289"/>
                              <wps:cNvCnPr/>
                              <wps:spPr>
                                <a:xfrm flipH="1">
                                  <a:off x="2585720" y="432435"/>
                                  <a:ext cx="0" cy="335280"/>
                                </a:xfrm>
                                <a:prstGeom prst="straightConnector1">
                                  <a:avLst/>
                                </a:prstGeom>
                                <a:ln w="317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200" name="直接箭头连接符 281"/>
                              <wps:cNvCnPr/>
                              <wps:spPr>
                                <a:xfrm flipH="1">
                                  <a:off x="2625725" y="3517265"/>
                                  <a:ext cx="0" cy="335280"/>
                                </a:xfrm>
                                <a:prstGeom prst="straightConnector1">
                                  <a:avLst/>
                                </a:prstGeom>
                                <a:ln w="317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201" name="直接箭头连接符 294"/>
                              <wps:cNvCnPr/>
                              <wps:spPr>
                                <a:xfrm>
                                  <a:off x="1856105" y="1528445"/>
                                  <a:ext cx="252095"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02" name="文本框 278"/>
                              <wps:cNvSpPr txBox="1"/>
                              <wps:spPr>
                                <a:xfrm>
                                  <a:off x="2338070" y="4455795"/>
                                  <a:ext cx="605790" cy="2622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2900A0">
                                    <w:pPr>
                                      <w:rPr>
                                        <w:rFonts w:hint="default" w:eastAsia="宋体"/>
                                        <w:lang w:val="en-US" w:eastAsia="zh-CN"/>
                                      </w:rPr>
                                    </w:pPr>
                                    <w:r>
                                      <w:rPr>
                                        <w:rFonts w:hint="eastAsia"/>
                                        <w:lang w:val="en-US" w:eastAsia="zh-CN"/>
                                      </w:rPr>
                                      <w:t>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 name="直接箭头连接符 281"/>
                              <wps:cNvCnPr/>
                              <wps:spPr>
                                <a:xfrm flipH="1">
                                  <a:off x="2634615" y="4126865"/>
                                  <a:ext cx="0" cy="335280"/>
                                </a:xfrm>
                                <a:prstGeom prst="straightConnector1">
                                  <a:avLst/>
                                </a:prstGeom>
                                <a:ln w="317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216" name="文本框 297"/>
                              <wps:cNvSpPr txBox="1"/>
                              <wps:spPr>
                                <a:xfrm>
                                  <a:off x="922020" y="697865"/>
                                  <a:ext cx="1019810" cy="392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196B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蛋白胨、酵母粉、氯化钠、纯水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直接箭头连接符 294"/>
                              <wps:cNvCnPr/>
                              <wps:spPr>
                                <a:xfrm>
                                  <a:off x="1947545" y="903605"/>
                                  <a:ext cx="252095"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18" name="直接箭头连接符 294"/>
                              <wps:cNvCnPr/>
                              <wps:spPr>
                                <a:xfrm>
                                  <a:off x="2968625" y="926465"/>
                                  <a:ext cx="215900"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19" name="文本框 299"/>
                              <wps:cNvSpPr txBox="1"/>
                              <wps:spPr>
                                <a:xfrm>
                                  <a:off x="3204845" y="789305"/>
                                  <a:ext cx="624205" cy="229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BB8C6">
                                    <w:pPr>
                                      <w:rPr>
                                        <w:rFonts w:hint="default"/>
                                        <w:lang w:val="en-US" w:eastAsia="zh-CN"/>
                                      </w:rPr>
                                    </w:pPr>
                                    <w:r>
                                      <w:rPr>
                                        <w:rFonts w:hint="eastAsia"/>
                                        <w:lang w:val="en-US" w:eastAsia="zh-CN"/>
                                      </w:rPr>
                                      <w:t>G3、S3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文本框 297"/>
                              <wps:cNvSpPr txBox="1"/>
                              <wps:spPr>
                                <a:xfrm>
                                  <a:off x="349885" y="2061845"/>
                                  <a:ext cx="142430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5A2D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磷酸氢二钾、磷酸二氢钾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直接箭头连接符 294"/>
                              <wps:cNvCnPr/>
                              <wps:spPr>
                                <a:xfrm>
                                  <a:off x="1805940" y="2188845"/>
                                  <a:ext cx="252095"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24" name="直接箭头连接符 294"/>
                              <wps:cNvCnPr/>
                              <wps:spPr>
                                <a:xfrm>
                                  <a:off x="3082925" y="3982085"/>
                                  <a:ext cx="215900"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25" name="文本框 299"/>
                              <wps:cNvSpPr txBox="1"/>
                              <wps:spPr>
                                <a:xfrm>
                                  <a:off x="3319145" y="3844925"/>
                                  <a:ext cx="57912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64541E">
                                    <w:pPr>
                                      <w:rPr>
                                        <w:rFonts w:hint="default"/>
                                        <w:lang w:val="en-US" w:eastAsia="zh-CN"/>
                                      </w:rPr>
                                    </w:pPr>
                                    <w:r>
                                      <w:rPr>
                                        <w:rFonts w:hint="eastAsia"/>
                                        <w:lang w:val="en-US" w:eastAsia="zh-CN"/>
                                      </w:rPr>
                                      <w:t>G4、S4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文本框 299"/>
                              <wps:cNvSpPr txBox="1"/>
                              <wps:spPr>
                                <a:xfrm>
                                  <a:off x="2145665" y="149225"/>
                                  <a:ext cx="86106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6C2C5">
                                    <w:pPr>
                                      <w:rPr>
                                        <w:rFonts w:hint="default"/>
                                        <w:lang w:val="en-US" w:eastAsia="zh-CN"/>
                                      </w:rPr>
                                    </w:pPr>
                                    <w:r>
                                      <w:rPr>
                                        <w:rFonts w:hint="eastAsia"/>
                                        <w:lang w:val="en-US" w:eastAsia="zh-CN"/>
                                      </w:rPr>
                                      <w:t>菌种保藏液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直接箭头连接符 294"/>
                              <wps:cNvCnPr/>
                              <wps:spPr>
                                <a:xfrm>
                                  <a:off x="2993390" y="4587240"/>
                                  <a:ext cx="215900"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 name="文本框 299"/>
                              <wps:cNvSpPr txBox="1"/>
                              <wps:spPr>
                                <a:xfrm>
                                  <a:off x="3198495" y="4476750"/>
                                  <a:ext cx="57912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A2E3E">
                                    <w:pPr>
                                      <w:rPr>
                                        <w:rFonts w:hint="default"/>
                                        <w:lang w:val="en-US" w:eastAsia="zh-CN"/>
                                      </w:rPr>
                                    </w:pPr>
                                    <w:r>
                                      <w:rPr>
                                        <w:rFonts w:hint="eastAsia"/>
                                        <w:lang w:val="en-US" w:eastAsia="zh-CN"/>
                                      </w:rPr>
                                      <w:t>S5</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76.6pt;width:406.1pt;" coordsize="5157470,4782820" editas="canvas" o:gfxdata="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">
                      <o:lock v:ext="edit" aspectratio="f"/>
                      <v:shape id="_x0000_s1026" o:spid="_x0000_s1026" style="position:absolute;left:0;top:0;height:4782820;width:5157470;" filled="f" stroked="f" coordsize="21600,21600" o:gfxdata="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DHFD6TXAAAABQEAAA8AAAAAAAAAAQAgAAAAIgAAAGRycy9kb3ducmV2&#10;LnhtbFBLAQIUABQAAAAIAIdO4kAOunL34wYAAEtEAAAOAAAAAAAAAAEAIAAAACYBAABkcnMvZTJv&#10;RG9jLnhtbFBLBQYAAAAABgAGAFkBAAB7CgAAAAA=&#10;">
                        <v:fill on="f" focussize="0,0"/>
                        <v:stroke on="f"/>
                        <v:imagedata o:title=""/>
                        <o:lock v:ext="edit" aspectratio="f"/>
                      </v:shape>
                      <v:shape id="文本框 297" o:spid="_x0000_s1026" o:spt="202" type="#_x0000_t202" style="position:absolute;left:255905;top:1066165;height:849630;width:1560830;" filled="f" stroked="f" coordsize="21600,21600" o:gfxdata="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mvKKtcAAAAFAQAADwAAAAAAAAAB&#10;ACAAAAAiAAAAZHJzL2Rvd25yZXYueG1sUEsBAhQAFAAAAAgAh07iQHKUmA1KAgAAdQQAAA4AAAAA&#10;AAAAAQAgAAAAJgEAAGRycy9lMm9Eb2MueG1sUEsFBgAAAAAGAAYAWQEAAOIFAAAAAA==&#10;">
                        <v:fill on="f" focussize="0,0"/>
                        <v:stroke on="f" weight="0.5pt"/>
                        <v:imagedata o:title=""/>
                        <o:lock v:ext="edit" aspectratio="f"/>
                        <v:textbox>
                          <w:txbxContent>
                            <w:p w14:paraId="7568670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甘油、酵母粉、胰蛋白胨、磷酸氢二钾、磷酸二氢钾、硫酸镁、氯化钠、硫酸铵、消泡剂、葡萄糖、玉米浆粉、氢氧化钠、纯水</w:t>
                              </w:r>
                            </w:p>
                          </w:txbxContent>
                        </v:textbox>
                      </v:shape>
                      <v:shape id="文本框 278" o:spid="_x0000_s1026" o:spt="202" type="#_x0000_t202" style="position:absolute;left:2182495;top:3846195;height:262255;width:875665;" filled="f" stroked="t" coordsize="21600,21600" o:gfxdata="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0xy5tcAAAAFAQAADwAAAAAAAAABACAAAAAiAAAAZHJzL2Rvd25yZXYueG1sUEsBAhQAFAAAAAgA&#10;h07iQJINuC5fAgAAnQQAAA4AAAAAAAAAAQAgAAAAJgEAAGRycy9lMm9Eb2MueG1sUEsFBgAAAAAG&#10;AAYAWQEAAPcFAAAAAA==&#10;">
                        <v:fill on="f" focussize="0,0"/>
                        <v:stroke weight="0.5pt" color="#000000 [3204]" joinstyle="round"/>
                        <v:imagedata o:title=""/>
                        <o:lock v:ext="edit" aspectratio="f"/>
                        <v:textbox>
                          <w:txbxContent>
                            <w:p w14:paraId="4DDFE9D1">
                              <w:pPr>
                                <w:rPr>
                                  <w:rFonts w:hint="default" w:eastAsia="宋体"/>
                                  <w:lang w:val="en-US" w:eastAsia="zh-CN"/>
                                </w:rPr>
                              </w:pPr>
                              <w:r>
                                <w:rPr>
                                  <w:rFonts w:hint="eastAsia"/>
                                  <w:lang w:val="en-US" w:eastAsia="zh-CN"/>
                                </w:rPr>
                                <w:t>发酵罐培养</w:t>
                              </w:r>
                            </w:p>
                          </w:txbxContent>
                        </v:textbox>
                      </v:shape>
                      <v:shape id="文本框 280" o:spid="_x0000_s1026" o:spt="202" type="#_x0000_t202" style="position:absolute;left:2189480;top:3236595;height:262255;width:875665;" filled="f" stroked="t" coordsize="21600,21600" o:gfxdata="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dMcubXAAAABQEAAA8AAAAAAAAAAQAgAAAAIgAAAGRycy9kb3ducmV2LnhtbFBLAQIUABQAAAAI&#10;AIdO4kC1kI82YAIAAJ0EAAAOAAAAAAAAAAEAIAAAACYBAABkcnMvZTJvRG9jLnhtbFBLBQYAAAAA&#10;BgAGAFkBAAD4BQAAAAA=&#10;">
                        <v:fill on="f" focussize="0,0"/>
                        <v:stroke weight="0.5pt" color="#000000 [3204]" joinstyle="round"/>
                        <v:imagedata o:title=""/>
                        <o:lock v:ext="edit" aspectratio="f"/>
                        <v:textbox>
                          <w:txbxContent>
                            <w:p w14:paraId="3352EAA2">
                              <w:pPr>
                                <w:rPr>
                                  <w:rFonts w:hint="default" w:eastAsia="宋体"/>
                                  <w:lang w:val="en-US" w:eastAsia="zh-CN"/>
                                </w:rPr>
                              </w:pPr>
                              <w:r>
                                <w:rPr>
                                  <w:rFonts w:hint="eastAsia"/>
                                  <w:lang w:val="en-US" w:eastAsia="zh-CN"/>
                                </w:rPr>
                                <w:t>发酵罐接种</w:t>
                              </w:r>
                            </w:p>
                          </w:txbxContent>
                        </v:textbox>
                      </v:shape>
                      <v:shape id="直接箭头连接符 281" o:spid="_x0000_s1026" o:spt="32" type="#_x0000_t32" style="position:absolute;left:2620010;top:2901315;flip:x;height:335280;width:0;" filled="f" stroked="t" coordsize="21600,21600" o:gfxdata="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v/&#10;6dYAAAAFAQAADwAAAAAAAAABACAAAAAiAAAAZHJzL2Rvd25yZXYueG1sUEsBAhQAFAAAAAgAh07i&#10;QNuuvdkkAgAAHwQAAA4AAAAAAAAAAQAgAAAAJQEAAGRycy9lMm9Eb2MueG1sUEsFBgAAAAAGAAYA&#10;WQEAALsFAAAAAA==&#10;">
                        <v:fill on="f" focussize="0,0"/>
                        <v:stroke weight="0.25pt" color="#000000 [3213]" joinstyle="round" endarrow="block"/>
                        <v:imagedata o:title=""/>
                        <o:lock v:ext="edit" aspectratio="f"/>
                      </v:shape>
                      <v:shape id="文本框 282" o:spid="_x0000_s1026" o:spt="202" type="#_x0000_t202" style="position:absolute;left:2181860;top:2634615;height:262255;width:883285;" filled="f" stroked="t" coordsize="21600,21600" o:gfxdata="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3&#10;THLm1wAAAAUBAAAPAAAAAAAAAAEAIAAAACIAAABkcnMvZG93bnJldi54bWxQSwECFAAUAAAACACH&#10;TuJAhO9y5V4CAACdBAAADgAAAAAAAAABACAAAAAmAQAAZHJzL2Uyb0RvYy54bWxQSwUGAAAAAAYA&#10;BgBZAQAA9gUAAAAA&#10;">
                        <v:fill on="f" focussize="0,0"/>
                        <v:stroke weight="0.5pt" color="#000000 [3204]" joinstyle="round"/>
                        <v:imagedata o:title=""/>
                        <o:lock v:ext="edit" aspectratio="f"/>
                        <v:textbox>
                          <w:txbxContent>
                            <w:p w14:paraId="30382AB3">
                              <w:pPr>
                                <w:rPr>
                                  <w:rFonts w:hint="default" w:eastAsia="宋体"/>
                                  <w:lang w:val="en-US" w:eastAsia="zh-CN"/>
                                </w:rPr>
                              </w:pPr>
                              <w:r>
                                <w:rPr>
                                  <w:rFonts w:hint="eastAsia"/>
                                  <w:lang w:val="en-US" w:eastAsia="zh-CN"/>
                                </w:rPr>
                                <w:t>发酵罐灭菌</w:t>
                              </w:r>
                            </w:p>
                          </w:txbxContent>
                        </v:textbox>
                      </v:shape>
                      <v:shape id="直接箭头连接符 283" o:spid="_x0000_s1026" o:spt="32" type="#_x0000_t32" style="position:absolute;left:2616200;top:2299335;flip:x;height:335280;width:0;" filled="f" stroked="t" coordsize="21600,21600" o:gfxdata="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tL&#10;/+nWAAAABQEAAA8AAAAAAAAAAQAgAAAAIgAAAGRycy9kb3ducmV2LnhtbFBLAQIUABQAAAAIAIdO&#10;4kBjhJe2JQIAAB8EAAAOAAAAAAAAAAEAIAAAACUBAABkcnMvZTJvRG9jLnhtbFBLBQYAAAAABgAG&#10;AFkBAAC8BQAAAAA=&#10;">
                        <v:fill on="f" focussize="0,0"/>
                        <v:stroke weight="0.25pt" color="#000000 [3213]" joinstyle="round" endarrow="block"/>
                        <v:imagedata o:title=""/>
                        <o:lock v:ext="edit" aspectratio="f"/>
                      </v:shape>
                      <v:shape id="文本框 284" o:spid="_x0000_s1026" o:spt="202" type="#_x0000_t202" style="position:absolute;left:2044700;top:2040255;height:262255;width:1141095;" filled="f" stroked="t" coordsize="21600,21600" o:gfxdata="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0xy&#10;5tcAAAAFAQAADwAAAAAAAAABACAAAAAiAAAAZHJzL2Rvd25yZXYueG1sUEsBAhQAFAAAAAgAh07i&#10;QMqqzyBcAgAAngQAAA4AAAAAAAAAAQAgAAAAJgEAAGRycy9lMm9Eb2MueG1sUEsFBgAAAAAGAAYA&#10;WQEAAPQFAAAAAA==&#10;">
                        <v:fill on="f" focussize="0,0"/>
                        <v:stroke weight="0.5pt" color="#000000 [3204]" joinstyle="round"/>
                        <v:imagedata o:title=""/>
                        <o:lock v:ext="edit" aspectratio="f"/>
                        <v:textbox>
                          <w:txbxContent>
                            <w:p w14:paraId="00619841">
                              <w:pPr>
                                <w:rPr>
                                  <w:rFonts w:hint="default" w:eastAsia="宋体"/>
                                  <w:lang w:val="en-US" w:eastAsia="zh-CN"/>
                                </w:rPr>
                              </w:pPr>
                              <w:r>
                                <w:rPr>
                                  <w:rFonts w:hint="eastAsia"/>
                                  <w:lang w:val="en-US" w:eastAsia="zh-CN"/>
                                </w:rPr>
                                <w:t>电极检测与标定</w:t>
                              </w:r>
                            </w:p>
                          </w:txbxContent>
                        </v:textbox>
                      </v:shape>
                      <v:shape id="直接箭头连接符 285" o:spid="_x0000_s1026" o:spt="32" type="#_x0000_t32" style="position:absolute;left:2607945;top:1682115;flip:x;height:335280;width:0;" filled="f" stroked="t" coordsize="21600,21600" o:gfxdata="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tL/+nWAAAABQEAAA8AAAAAAAAAAQAgAAAAIgAAAGRycy9kb3ducmV2LnhtbFBLAQIUABQAAAAI&#10;AIdO4kCLkv/dKAIAAB8EAAAOAAAAAAAAAAEAIAAAACUBAABkcnMvZTJvRG9jLnhtbFBLBQYAAAAA&#10;BgAGAFkBAAC/BQAAAAA=&#10;">
                        <v:fill on="f" focussize="0,0"/>
                        <v:stroke weight="0.25pt" color="#000000 [3213]" joinstyle="round" endarrow="block"/>
                        <v:imagedata o:title=""/>
                        <o:lock v:ext="edit" aspectratio="f"/>
                      </v:shape>
                      <v:shape id="文本框 286" o:spid="_x0000_s1026" o:spt="202" type="#_x0000_t202" style="position:absolute;left:2136140;top:1415415;height:262255;width:906145;" filled="f" stroked="t" coordsize="21600,21600" o:gfxdata="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dM&#10;cubXAAAABQEAAA8AAAAAAAAAAQAgAAAAIgAAAGRycy9kb3ducmV2LnhtbFBLAQIUABQAAAAIAIdO&#10;4kB0j4VFXQIAAJ0EAAAOAAAAAAAAAAEAIAAAACYBAABkcnMvZTJvRG9jLnhtbFBLBQYAAAAABgAG&#10;AFkBAAD1BQAAAAA=&#10;">
                        <v:fill on="f" focussize="0,0"/>
                        <v:stroke weight="0.5pt" color="#000000 [3204]" joinstyle="round"/>
                        <v:imagedata o:title=""/>
                        <o:lock v:ext="edit" aspectratio="f"/>
                        <v:textbox>
                          <w:txbxContent>
                            <w:p w14:paraId="499005FE">
                              <w:pPr>
                                <w:rPr>
                                  <w:rFonts w:hint="default" w:eastAsia="宋体"/>
                                  <w:lang w:val="en-US" w:eastAsia="zh-CN"/>
                                </w:rPr>
                              </w:pPr>
                              <w:r>
                                <w:rPr>
                                  <w:rFonts w:hint="eastAsia"/>
                                  <w:lang w:val="en-US" w:eastAsia="zh-CN"/>
                                </w:rPr>
                                <w:t>发酵罐配料</w:t>
                              </w:r>
                            </w:p>
                          </w:txbxContent>
                        </v:textbox>
                      </v:shape>
                      <v:shape id="直接箭头连接符 287" o:spid="_x0000_s1026" o:spt="32" type="#_x0000_t32" style="position:absolute;left:2597150;top:1064895;flip:x;height:335280;width:0;" filled="f" stroked="t" coordsize="21600,21600" o:gfxdata="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tL/+nWAAAABQEAAA8AAAAAAAAAAQAgAAAAIgAAAGRycy9kb3ducmV2LnhtbFBLAQIUABQAAAAI&#10;AIdO4kDgu0ZsKAIAAB8EAAAOAAAAAAAAAAEAIAAAACUBAABkcnMvZTJvRG9jLnhtbFBLBQYAAAAA&#10;BgAGAFkBAAC/BQAAAAA=&#10;">
                        <v:fill on="f" focussize="0,0"/>
                        <v:stroke weight="0.25pt" color="#000000 [3213]" joinstyle="round" endarrow="block"/>
                        <v:imagedata o:title=""/>
                        <o:lock v:ext="edit" aspectratio="f"/>
                      </v:shape>
                      <v:shape id="文本框 288" o:spid="_x0000_s1026" o:spt="202" type="#_x0000_t202" style="position:absolute;left:2212340;top:790575;height:262255;width:730885;" filled="f" stroked="t" coordsize="21600,21600" o:gfxdata="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0xy5tcAAAAFAQAADwAAAAAAAAABACAAAAAiAAAAZHJzL2Rvd25yZXYueG1sUEsBAhQAFAAAAAgA&#10;h07iQD1UqKBfAgAAnAQAAA4AAAAAAAAAAQAgAAAAJgEAAGRycy9lMm9Eb2MueG1sUEsFBgAAAAAG&#10;AAYAWQEAAPcFAAAAAA==&#10;">
                        <v:fill on="f" focussize="0,0"/>
                        <v:stroke weight="0.5pt" color="#000000 [3204]" joinstyle="round"/>
                        <v:imagedata o:title=""/>
                        <o:lock v:ext="edit" aspectratio="f"/>
                        <v:textbox>
                          <w:txbxContent>
                            <w:p w14:paraId="68051DA0">
                              <w:pPr>
                                <w:rPr>
                                  <w:rFonts w:hint="default" w:eastAsia="宋体"/>
                                  <w:lang w:val="en-US" w:eastAsia="zh-CN"/>
                                </w:rPr>
                              </w:pPr>
                              <w:r>
                                <w:rPr>
                                  <w:rFonts w:hint="eastAsia"/>
                                  <w:lang w:val="en-US" w:eastAsia="zh-CN"/>
                                </w:rPr>
                                <w:t>种子培养</w:t>
                              </w:r>
                            </w:p>
                          </w:txbxContent>
                        </v:textbox>
                      </v:shape>
                      <v:shape id="直接箭头连接符 289" o:spid="_x0000_s1026" o:spt="32" type="#_x0000_t32" style="position:absolute;left:2585720;top:432435;flip:x;height:335280;width:0;" filled="f" stroked="t" coordsize="21600,21600" o:gfxdata="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v/6dYAAAAFAQAADwAAAAAAAAABACAAAAAiAAAAZHJzL2Rvd25yZXYueG1sUEsBAhQAFAAAAAgA&#10;h07iQCxz5fknAgAAHgQAAA4AAAAAAAAAAQAgAAAAJQEAAGRycy9lMm9Eb2MueG1sUEsFBgAAAAAG&#10;AAYAWQEAAL4FAAAAAA==&#10;">
                        <v:fill on="f" focussize="0,0"/>
                        <v:stroke weight="0.25pt" color="#000000 [3213]" joinstyle="round" endarrow="block"/>
                        <v:imagedata o:title=""/>
                        <o:lock v:ext="edit" aspectratio="f"/>
                      </v:shape>
                      <v:shape id="直接箭头连接符 281" o:spid="_x0000_s1026" o:spt="32" type="#_x0000_t32" style="position:absolute;left:2625725;top:3517265;flip:x;height:335280;width:0;" filled="f" stroked="t" coordsize="21600,21600" o:gfxdata="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7&#10;S//p1gAAAAUBAAAPAAAAAAAAAAEAIAAAACIAAABkcnMvZG93bnJldi54bWxQSwECFAAUAAAACACH&#10;TuJAW1VNdyYCAAAfBAAADgAAAAAAAAABACAAAAAlAQAAZHJzL2Uyb0RvYy54bWxQSwUGAAAAAAYA&#10;BgBZAQAAvQUAAAAA&#10;">
                        <v:fill on="f" focussize="0,0"/>
                        <v:stroke weight="0.25pt" color="#000000 [3213]" joinstyle="round" endarrow="block"/>
                        <v:imagedata o:title=""/>
                        <o:lock v:ext="edit" aspectratio="f"/>
                      </v:shape>
                      <v:shape id="直接箭头连接符 294" o:spid="_x0000_s1026" o:spt="32" type="#_x0000_t32" style="position:absolute;left:1856105;top:1528445;height:0;width:252095;" filled="f" stroked="t" coordsize="21600,21600" o:gfxdata="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vfntDVAAAABQEA&#10;AA8AAAAAAAAAAQAgAAAAIgAAAGRycy9kb3ducmV2LnhtbFBLAQIUABQAAAAIAIdO4kD89Z0WHQIA&#10;AAMEAAAOAAAAAAAAAAEAIAAAACQBAABkcnMvZTJvRG9jLnhtbFBLBQYAAAAABgAGAFkBAACzBQAA&#10;AAA=&#10;">
                        <v:fill on="f" focussize="0,0"/>
                        <v:stroke weight="0.25pt" color="#000000 [3213]" joinstyle="round" endarrow="block"/>
                        <v:imagedata o:title=""/>
                        <o:lock v:ext="edit" aspectratio="f"/>
                      </v:shape>
                      <v:shape id="文本框 278" o:spid="_x0000_s1026" o:spt="202" type="#_x0000_t202" style="position:absolute;left:2338070;top:4455795;height:262255;width:605790;" filled="f" stroked="t" coordsize="21600,21600" o:gfxdata="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0xy5tcAAAAFAQAADwAAAAAAAAABACAAAAAiAAAAZHJzL2Rvd25yZXYueG1sUEsBAhQAFAAAAAgA&#10;h07iQK1FItpfAgAAnQQAAA4AAAAAAAAAAQAgAAAAJgEAAGRycy9lMm9Eb2MueG1sUEsFBgAAAAAG&#10;AAYAWQEAAPcFAAAAAA==&#10;">
                        <v:fill on="f" focussize="0,0"/>
                        <v:stroke weight="0.5pt" color="#000000 [3204]" joinstyle="round"/>
                        <v:imagedata o:title=""/>
                        <o:lock v:ext="edit" aspectratio="f"/>
                        <v:textbox>
                          <w:txbxContent>
                            <w:p w14:paraId="762900A0">
                              <w:pPr>
                                <w:rPr>
                                  <w:rFonts w:hint="default" w:eastAsia="宋体"/>
                                  <w:lang w:val="en-US" w:eastAsia="zh-CN"/>
                                </w:rPr>
                              </w:pPr>
                              <w:r>
                                <w:rPr>
                                  <w:rFonts w:hint="eastAsia"/>
                                  <w:lang w:val="en-US" w:eastAsia="zh-CN"/>
                                </w:rPr>
                                <w:t>合格品</w:t>
                              </w:r>
                            </w:p>
                          </w:txbxContent>
                        </v:textbox>
                      </v:shape>
                      <v:shape id="直接箭头连接符 281" o:spid="_x0000_s1026" o:spt="32" type="#_x0000_t32" style="position:absolute;left:2634615;top:4126865;flip:x;height:335280;width:0;" filled="f" stroked="t" coordsize="21600,21600" o:gfxdata="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7S//p1gAAAAUBAAAPAAAAAAAAAAEAIAAAACIAAABkcnMvZG93bnJldi54bWxQSwECFAAUAAAA&#10;CACHTuJAAzjjrykCAAAfBAAADgAAAAAAAAABACAAAAAlAQAAZHJzL2Uyb0RvYy54bWxQSwUGAAAA&#10;AAYABgBZAQAAwAUAAAAA&#10;">
                        <v:fill on="f" focussize="0,0"/>
                        <v:stroke weight="0.25pt" color="#000000 [3213]" joinstyle="round" endarrow="block"/>
                        <v:imagedata o:title=""/>
                        <o:lock v:ext="edit" aspectratio="f"/>
                      </v:shape>
                      <v:shape id="文本框 297" o:spid="_x0000_s1026" o:spt="202" type="#_x0000_t202" style="position:absolute;left:922020;top:697865;height:392430;width:1019810;" filled="f" stroked="f" coordsize="21600,21600" o:gfxdata="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mvKKtcAAAAFAQAADwAAAAAAAAAB&#10;ACAAAAAiAAAAZHJzL2Rvd25yZXYueG1sUEsBAhQAFAAAAAgAh07iQNqupupKAgAAdAQAAA4AAAAA&#10;AAAAAQAgAAAAJgEAAGRycy9lMm9Eb2MueG1sUEsFBgAAAAAGAAYAWQEAAOIFAAAAAA==&#10;">
                        <v:fill on="f" focussize="0,0"/>
                        <v:stroke on="f" weight="0.5pt"/>
                        <v:imagedata o:title=""/>
                        <o:lock v:ext="edit" aspectratio="f"/>
                        <v:textbox>
                          <w:txbxContent>
                            <w:p w14:paraId="3B9196B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蛋白胨、酵母粉、氯化钠、纯水</w:t>
                              </w:r>
                            </w:p>
                          </w:txbxContent>
                        </v:textbox>
                      </v:shape>
                      <v:shape id="直接箭头连接符 294" o:spid="_x0000_s1026" o:spt="32" type="#_x0000_t32" style="position:absolute;left:1947545;top:903605;height:0;width:252095;" filled="f" stroked="t" coordsize="21600,21600" o:gfxdata="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7357Q1QAAAAUB&#10;AAAPAAAAAAAAAAEAIAAAACIAAABkcnMvZG93bnJldi54bWxQSwECFAAUAAAACACHTuJAGL3y5B4C&#10;AAACBAAADgAAAAAAAAABACAAAAAkAQAAZHJzL2Uyb0RvYy54bWxQSwUGAAAAAAYABgBZAQAAtAUA&#10;AAAA&#10;">
                        <v:fill on="f" focussize="0,0"/>
                        <v:stroke weight="0.25pt" color="#000000 [3213]" joinstyle="round" endarrow="block"/>
                        <v:imagedata o:title=""/>
                        <o:lock v:ext="edit" aspectratio="f"/>
                      </v:shape>
                      <v:shape id="直接箭头连接符 294" o:spid="_x0000_s1026" o:spt="32" type="#_x0000_t32" style="position:absolute;left:2968625;top:926465;height:0;width:215900;" filled="f" stroked="t" coordsize="21600,21600" o:gfxdata="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vfntDVAAAABQEA&#10;AA8AAAAAAAAAAQAgAAAAIgAAAGRycy9kb3ducmV2LnhtbFBLAQIUABQAAAAIAIdO4kB1UHaTHQIA&#10;AAIEAAAOAAAAAAAAAAEAIAAAACQBAABkcnMvZTJvRG9jLnhtbFBLBQYAAAAABgAGAFkBAACzBQAA&#10;AAA=&#10;">
                        <v:fill on="f" focussize="0,0"/>
                        <v:stroke weight="0.25pt" color="#000000 [3213]" joinstyle="round" endarrow="block"/>
                        <v:imagedata o:title=""/>
                        <o:lock v:ext="edit" aspectratio="f"/>
                      </v:shape>
                      <v:shape id="文本框 299" o:spid="_x0000_s1026" o:spt="202" type="#_x0000_t202" style="position:absolute;left:3204845;top:789305;height:229235;width:624205;" filled="f" stroked="f" coordsize="21600,21600" o:gfxdata="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mvKKtcAAAAFAQAADwAAAAAAAAAB&#10;ACAAAAAiAAAAZHJzL2Rvd25yZXYueG1sUEsBAhQAFAAAAAgAh07iQN4ObrZKAgAAdAQAAA4AAAAA&#10;AAAAAQAgAAAAJgEAAGRycy9lMm9Eb2MueG1sUEsFBgAAAAAGAAYAWQEAAOIFAAAAAA==&#10;">
                        <v:fill on="f" focussize="0,0"/>
                        <v:stroke on="f" weight="0.5pt"/>
                        <v:imagedata o:title=""/>
                        <o:lock v:ext="edit" aspectratio="f"/>
                        <v:textbox>
                          <w:txbxContent>
                            <w:p w14:paraId="433BB8C6">
                              <w:pPr>
                                <w:rPr>
                                  <w:rFonts w:hint="default"/>
                                  <w:lang w:val="en-US" w:eastAsia="zh-CN"/>
                                </w:rPr>
                              </w:pPr>
                              <w:r>
                                <w:rPr>
                                  <w:rFonts w:hint="eastAsia"/>
                                  <w:lang w:val="en-US" w:eastAsia="zh-CN"/>
                                </w:rPr>
                                <w:t>G3、S3</w:t>
                              </w:r>
                            </w:p>
                          </w:txbxContent>
                        </v:textbox>
                      </v:shape>
                      <v:shape id="文本框 297" o:spid="_x0000_s1026" o:spt="202" type="#_x0000_t202" style="position:absolute;left:349885;top:2061845;height:285115;width:1424305;" filled="f" stroked="f" coordsize="21600,21600" o:gfxdata="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mvKKtcAAAAFAQAADwAAAAAAAAAB&#10;ACAAAAAiAAAAZHJzL2Rvd25yZXYueG1sUEsBAhQAFAAAAAgAh07iQLSTQ41KAgAAdQQAAA4AAAAA&#10;AAAAAQAgAAAAJgEAAGRycy9lMm9Eb2MueG1sUEsFBgAAAAAGAAYAWQEAAOIFAAAAAA==&#10;">
                        <v:fill on="f" focussize="0,0"/>
                        <v:stroke on="f" weight="0.5pt"/>
                        <v:imagedata o:title=""/>
                        <o:lock v:ext="edit" aspectratio="f"/>
                        <v:textbox>
                          <w:txbxContent>
                            <w:p w14:paraId="49D5A2D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磷酸氢二钾、磷酸二氢钾</w:t>
                              </w:r>
                            </w:p>
                          </w:txbxContent>
                        </v:textbox>
                      </v:shape>
                      <v:shape id="直接箭头连接符 294" o:spid="_x0000_s1026" o:spt="32" type="#_x0000_t32" style="position:absolute;left:1805940;top:2188845;height:0;width:252095;" filled="f" stroked="t" coordsize="21600,21600" o:gfxdata="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7357Q1QAAAAUB&#10;AAAPAAAAAAAAAAEAIAAAACIAAABkcnMvZG93bnJldi54bWxQSwECFAAUAAAACACHTuJAXcnMuB4C&#10;AAADBAAADgAAAAAAAAABACAAAAAkAQAAZHJzL2Uyb0RvYy54bWxQSwUGAAAAAAYABgBZAQAAtAUA&#10;AAAA&#10;">
                        <v:fill on="f" focussize="0,0"/>
                        <v:stroke weight="0.25pt" color="#000000 [3213]" joinstyle="round" endarrow="block"/>
                        <v:imagedata o:title=""/>
                        <o:lock v:ext="edit" aspectratio="f"/>
                      </v:shape>
                      <v:shape id="直接箭头连接符 294" o:spid="_x0000_s1026" o:spt="32" type="#_x0000_t32" style="position:absolute;left:3082925;top:3982085;height:0;width:215900;" filled="f" stroked="t" coordsize="21600,21600" o:gfxdata="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vfntDVAAAABQEA&#10;AA8AAAAAAAAAAQAgAAAAIgAAAGRycy9kb3ducmV2LnhtbFBLAQIUABQAAAAIAIdO4kDqQGSLHQIA&#10;AAMEAAAOAAAAAAAAAAEAIAAAACQBAABkcnMvZTJvRG9jLnhtbFBLBQYAAAAABgAGAFkBAACzBQAA&#10;AAA=&#10;">
                        <v:fill on="f" focussize="0,0"/>
                        <v:stroke weight="0.25pt" color="#000000 [3213]" joinstyle="round" endarrow="block"/>
                        <v:imagedata o:title=""/>
                        <o:lock v:ext="edit" aspectratio="f"/>
                      </v:shape>
                      <v:shape id="文本框 299" o:spid="_x0000_s1026" o:spt="202" type="#_x0000_t202" style="position:absolute;left:3319145;top:3844925;height:268605;width:579120;" filled="f" stroked="f" coordsize="21600,21600" o:gfxdata="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Wa8oq1wAAAAUBAAAPAAAAAAAAAAEA&#10;IAAAACIAAABkcnMvZG93bnJldi54bWxQSwECFAAUAAAACACHTuJAsxckr0kCAAB1BAAADgAAAAAA&#10;AAABACAAAAAmAQAAZHJzL2Uyb0RvYy54bWxQSwUGAAAAAAYABgBZAQAA4QUAAAAA&#10;">
                        <v:fill on="f" focussize="0,0"/>
                        <v:stroke on="f" weight="0.5pt"/>
                        <v:imagedata o:title=""/>
                        <o:lock v:ext="edit" aspectratio="f"/>
                        <v:textbox>
                          <w:txbxContent>
                            <w:p w14:paraId="2064541E">
                              <w:pPr>
                                <w:rPr>
                                  <w:rFonts w:hint="default"/>
                                  <w:lang w:val="en-US" w:eastAsia="zh-CN"/>
                                </w:rPr>
                              </w:pPr>
                              <w:r>
                                <w:rPr>
                                  <w:rFonts w:hint="eastAsia"/>
                                  <w:lang w:val="en-US" w:eastAsia="zh-CN"/>
                                </w:rPr>
                                <w:t>G4、S4</w:t>
                              </w:r>
                            </w:p>
                          </w:txbxContent>
                        </v:textbox>
                      </v:shape>
                      <v:shape id="文本框 299" o:spid="_x0000_s1026" o:spt="202" type="#_x0000_t202" style="position:absolute;left:2145665;top:149225;height:266700;width:861060;" filled="f" stroked="f" coordsize="21600,21600" o:gfxdata="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ZryirXAAAABQEAAA8AAAAAAAAA&#10;AQAgAAAAIgAAAGRycy9kb3ducmV2LnhtbFBLAQIUABQAAAAIAIdO4kA1cAqzSwIAAHQEAAAOAAAA&#10;AAAAAAEAIAAAACYBAABkcnMvZTJvRG9jLnhtbFBLBQYAAAAABgAGAFkBAADjBQAAAAA=&#10;">
                        <v:fill on="f" focussize="0,0"/>
                        <v:stroke on="f" weight="0.5pt"/>
                        <v:imagedata o:title=""/>
                        <o:lock v:ext="edit" aspectratio="f"/>
                        <v:textbox>
                          <w:txbxContent>
                            <w:p w14:paraId="76F6C2C5">
                              <w:pPr>
                                <w:rPr>
                                  <w:rFonts w:hint="default"/>
                                  <w:lang w:val="en-US" w:eastAsia="zh-CN"/>
                                </w:rPr>
                              </w:pPr>
                              <w:r>
                                <w:rPr>
                                  <w:rFonts w:hint="eastAsia"/>
                                  <w:lang w:val="en-US" w:eastAsia="zh-CN"/>
                                </w:rPr>
                                <w:t>菌种保藏液</w:t>
                              </w:r>
                            </w:p>
                          </w:txbxContent>
                        </v:textbox>
                      </v:shape>
                      <v:shape id="直接箭头连接符 294" o:spid="_x0000_s1026" o:spt="32" type="#_x0000_t32" style="position:absolute;left:2993390;top:4587240;height:0;width:215900;" filled="f" stroked="t" coordsize="21600,21600" o:gfxdata="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357Q1QAAAAUBAAAP&#10;AAAAAAAAAAEAIAAAACIAAABkcnMvZG93bnJldi54bWxQSwECFAAUAAAACACHTuJAR0oyExsCAAAB&#10;BAAADgAAAAAAAAABACAAAAAkAQAAZHJzL2Uyb0RvYy54bWxQSwUGAAAAAAYABgBZAQAAsQUAAAAA&#10;">
                        <v:fill on="f" focussize="0,0"/>
                        <v:stroke weight="0.25pt" color="#000000 [3213]" joinstyle="round" endarrow="block"/>
                        <v:imagedata o:title=""/>
                        <o:lock v:ext="edit" aspectratio="f"/>
                      </v:shape>
                      <v:shape id="文本框 299" o:spid="_x0000_s1026" o:spt="202" type="#_x0000_t202" style="position:absolute;left:3198495;top:4476750;height:268605;width:579120;" filled="f" stroked="f" coordsize="21600,21600" o:gfxdata="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ZryirXAAAABQEAAA8AAAAAAAAAAQAg&#10;AAAAIgAAAGRycy9kb3ducmV2LnhtbFBLAQIUABQAAAAIAIdO4kCpkzrRSAIAAHMEAAAOAAAAAAAA&#10;AAEAIAAAACYBAABkcnMvZTJvRG9jLnhtbFBLBQYAAAAABgAGAFkBAADgBQAAAAA=&#10;">
                        <v:fill on="f" focussize="0,0"/>
                        <v:stroke on="f" weight="0.5pt"/>
                        <v:imagedata o:title=""/>
                        <o:lock v:ext="edit" aspectratio="f"/>
                        <v:textbox>
                          <w:txbxContent>
                            <w:p w14:paraId="3DAA2E3E">
                              <w:pPr>
                                <w:rPr>
                                  <w:rFonts w:hint="default"/>
                                  <w:lang w:val="en-US" w:eastAsia="zh-CN"/>
                                </w:rPr>
                              </w:pPr>
                              <w:r>
                                <w:rPr>
                                  <w:rFonts w:hint="eastAsia"/>
                                  <w:lang w:val="en-US" w:eastAsia="zh-CN"/>
                                </w:rPr>
                                <w:t>S5</w:t>
                              </w:r>
                            </w:p>
                          </w:txbxContent>
                        </v:textbox>
                      </v:shape>
                      <w10:wrap type="none"/>
                      <w10:anchorlock/>
                    </v:group>
                  </w:pict>
                </mc:Fallback>
              </mc:AlternateContent>
            </w:r>
          </w:p>
          <w:p w14:paraId="53A27C7F">
            <w:pPr>
              <w:pStyle w:val="83"/>
              <w:tabs>
                <w:tab w:val="left" w:pos="2121"/>
              </w:tabs>
              <w:spacing w:line="360" w:lineRule="auto"/>
              <w:jc w:val="center"/>
              <w:rPr>
                <w:rFonts w:hint="default" w:cs="Times New Roman"/>
                <w:b/>
                <w:bCs w:val="0"/>
                <w:color w:val="auto"/>
                <w:sz w:val="24"/>
                <w:lang w:val="en-US" w:eastAsia="zh-CN" w:bidi="ar-SA"/>
              </w:rPr>
            </w:pPr>
            <w:r>
              <w:rPr>
                <w:rFonts w:hint="eastAsia" w:cs="Times New Roman"/>
                <w:b/>
                <w:bCs w:val="0"/>
                <w:color w:val="auto"/>
                <w:sz w:val="21"/>
                <w:szCs w:val="21"/>
                <w:lang w:val="en-US" w:eastAsia="zh-CN" w:bidi="ar-SA"/>
              </w:rPr>
              <w:t>图2-5 酵罐发酵工艺开发工艺流程图</w:t>
            </w:r>
          </w:p>
          <w:p w14:paraId="182574B7">
            <w:pPr>
              <w:keepNext w:val="0"/>
              <w:keepLines w:val="0"/>
              <w:pageBreakBefore w:val="0"/>
              <w:widowControl w:val="0"/>
              <w:kinsoku/>
              <w:wordWrap/>
              <w:overflowPunct/>
              <w:topLinePunct w:val="0"/>
              <w:bidi w:val="0"/>
              <w:snapToGrid w:val="0"/>
              <w:spacing w:line="480" w:lineRule="exact"/>
              <w:ind w:firstLine="482" w:firstLineChars="200"/>
              <w:jc w:val="both"/>
              <w:textAlignment w:val="auto"/>
              <w:rPr>
                <w:rFonts w:hint="eastAsia"/>
                <w:b/>
                <w:bCs w:val="0"/>
                <w:color w:val="auto"/>
                <w:sz w:val="24"/>
                <w:szCs w:val="24"/>
                <w:lang w:val="en-US" w:eastAsia="zh-CN"/>
              </w:rPr>
            </w:pPr>
            <w:r>
              <w:rPr>
                <w:rFonts w:hint="eastAsia"/>
                <w:b/>
                <w:bCs w:val="0"/>
                <w:color w:val="auto"/>
                <w:sz w:val="24"/>
                <w:szCs w:val="24"/>
                <w:lang w:val="en-US" w:eastAsia="zh-CN"/>
              </w:rPr>
              <w:t>酵罐发酵工艺开发工艺流程：</w:t>
            </w:r>
          </w:p>
          <w:p w14:paraId="336E3F95">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z w:val="24"/>
                <w:szCs w:val="24"/>
              </w:rPr>
              <w:t>种子培养</w:t>
            </w:r>
            <w:r>
              <w:rPr>
                <w:rFonts w:hint="default" w:ascii="Times New Roman" w:hAnsi="Times New Roman" w:cs="Times New Roman" w:eastAsiaTheme="minorEastAsia"/>
                <w:color w:val="auto"/>
                <w:sz w:val="24"/>
                <w:szCs w:val="24"/>
              </w:rPr>
              <w:t>：（1）配种子瓶培养基并灭菌</w:t>
            </w:r>
            <w:r>
              <w:rPr>
                <w:rFonts w:hint="eastAsia" w:ascii="Times New Roman" w:hAnsi="Times New Roman" w:cs="Times New Roman" w:eastAsiaTheme="minorEastAsia"/>
                <w:color w:val="auto"/>
                <w:sz w:val="24"/>
                <w:szCs w:val="24"/>
                <w:lang w:eastAsia="zh-CN"/>
              </w:rPr>
              <w:t>，</w:t>
            </w:r>
            <w:r>
              <w:rPr>
                <w:rFonts w:hint="eastAsia" w:cs="Times New Roman" w:eastAsiaTheme="minorEastAsia"/>
                <w:color w:val="auto"/>
                <w:sz w:val="24"/>
                <w:szCs w:val="24"/>
                <w:lang w:val="en-US" w:eastAsia="zh-CN"/>
              </w:rPr>
              <w:t>种子瓶培养基使用灭菌锅产生的高温进行灭菌，灭菌锅通过加热纯水产生高温蒸汽，以此对进行灭菌，灭菌过程产生过大量水蒸气，不产生其他污染物，</w:t>
            </w:r>
            <w:r>
              <w:rPr>
                <w:rFonts w:hint="eastAsia" w:ascii="Times New Roman" w:hAnsi="Times New Roman" w:cs="Times New Roman" w:eastAsiaTheme="minorEastAsia"/>
                <w:color w:val="auto"/>
                <w:sz w:val="24"/>
                <w:szCs w:val="24"/>
                <w:lang w:val="en-US" w:eastAsia="zh-CN"/>
              </w:rPr>
              <w:t>配置种子培养基过程使用极少粉状原料，</w:t>
            </w:r>
            <w:bookmarkStart w:id="55" w:name="OLE_LINK6"/>
            <w:r>
              <w:rPr>
                <w:rFonts w:hint="eastAsia" w:asciiTheme="minorEastAsia" w:hAnsiTheme="minorEastAsia" w:eastAsiaTheme="minorEastAsia" w:cstheme="minorEastAsia"/>
                <w:color w:val="auto"/>
                <w:sz w:val="24"/>
                <w:szCs w:val="24"/>
                <w:lang w:val="en-US" w:eastAsia="zh-CN"/>
              </w:rPr>
              <w:t>产生的投料粉尘只做定性分析</w:t>
            </w:r>
            <w:bookmarkEnd w:id="55"/>
            <w:r>
              <w:rPr>
                <w:rFonts w:hint="default" w:ascii="Times New Roman" w:hAnsi="Times New Roman" w:cs="Times New Roman" w:eastAsiaTheme="minorEastAsia"/>
                <w:color w:val="auto"/>
                <w:sz w:val="24"/>
                <w:szCs w:val="24"/>
              </w:rPr>
              <w:t>。（2）配制培养基并将菌种接入种子培养基。（3）37℃，200转/分培养，培养周期进行试验，制作菌浓生长曲线，参考发酵罐的最终产量确定最佳时长。约12-16小时。</w:t>
            </w:r>
            <w:r>
              <w:rPr>
                <w:rFonts w:hint="eastAsia" w:ascii="Times New Roman" w:hAnsi="Times New Roman" w:cs="Times New Roman" w:eastAsiaTheme="minorEastAsia"/>
                <w:color w:val="auto"/>
                <w:sz w:val="24"/>
                <w:szCs w:val="24"/>
                <w:lang w:val="en-US" w:eastAsia="zh-CN"/>
              </w:rPr>
              <w:t>产生废气G3（种子培养废气），废液S3（废种子培养液）。</w:t>
            </w:r>
          </w:p>
          <w:p w14:paraId="7F464440">
            <w:pPr>
              <w:pStyle w:val="83"/>
              <w:keepNext w:val="0"/>
              <w:keepLines w:val="0"/>
              <w:pageBreakBefore w:val="0"/>
              <w:widowControl w:val="0"/>
              <w:tabs>
                <w:tab w:val="left" w:pos="2121"/>
              </w:tabs>
              <w:kinsoku/>
              <w:wordWrap/>
              <w:overflowPunct/>
              <w:topLinePunct w:val="0"/>
              <w:bidi w:val="0"/>
              <w:spacing w:line="480" w:lineRule="exact"/>
              <w:ind w:left="0" w:firstLine="482" w:firstLineChars="200"/>
              <w:textAlignment w:val="auto"/>
              <w:rPr>
                <w:rFonts w:hint="default" w:eastAsia="宋体" w:cs="Times New Roman"/>
                <w:bCs/>
                <w:color w:val="auto"/>
                <w:sz w:val="24"/>
                <w:lang w:val="en-US" w:eastAsia="zh-CN" w:bidi="ar-SA"/>
              </w:rPr>
            </w:pPr>
            <w:r>
              <w:rPr>
                <w:rFonts w:hint="eastAsia" w:cs="Times New Roman"/>
                <w:b/>
                <w:bCs w:val="0"/>
                <w:color w:val="auto"/>
                <w:sz w:val="24"/>
                <w:lang w:val="en-US" w:eastAsia="zh-CN" w:bidi="ar-SA"/>
              </w:rPr>
              <w:t>发酵罐配料：</w:t>
            </w:r>
            <w:r>
              <w:rPr>
                <w:rFonts w:hint="eastAsia" w:cs="Times New Roman"/>
                <w:bCs/>
                <w:color w:val="auto"/>
                <w:sz w:val="24"/>
                <w:lang w:val="en-US" w:eastAsia="zh-CN" w:bidi="ar-SA"/>
              </w:rPr>
              <w:t>培养液</w:t>
            </w:r>
            <w:r>
              <w:rPr>
                <w:rFonts w:hint="default" w:cs="Times New Roman"/>
                <w:bCs/>
                <w:color w:val="auto"/>
                <w:sz w:val="24"/>
                <w:lang w:val="en-US" w:eastAsia="zh-CN" w:bidi="ar-SA"/>
              </w:rPr>
              <w:t>配备：甘油、酵母粉、胰蛋白胨、磷酸盐（磷酸氢二钾、磷酸二氢钾）、硫酸镁、氯化钠、硫酸铵、消泡剂、葡萄糖、玉米浆粉、氢氧化钠、纯水按比例</w:t>
            </w:r>
            <w:r>
              <w:rPr>
                <w:rFonts w:hint="eastAsia" w:cs="Times New Roman"/>
                <w:bCs/>
                <w:color w:val="auto"/>
                <w:sz w:val="24"/>
                <w:lang w:val="en-US" w:eastAsia="zh-CN" w:bidi="ar-SA"/>
              </w:rPr>
              <w:t>配置</w:t>
            </w:r>
            <w:r>
              <w:rPr>
                <w:rFonts w:hint="default" w:cs="Times New Roman"/>
                <w:bCs/>
                <w:color w:val="auto"/>
                <w:sz w:val="24"/>
                <w:lang w:val="en-US" w:eastAsia="zh-CN" w:bidi="ar-SA"/>
              </w:rPr>
              <w:t>。</w:t>
            </w:r>
            <w:r>
              <w:rPr>
                <w:rFonts w:hint="eastAsia" w:cs="Times New Roman"/>
                <w:bCs/>
                <w:color w:val="auto"/>
                <w:sz w:val="24"/>
                <w:lang w:val="en-US" w:eastAsia="zh-CN" w:bidi="ar-SA"/>
              </w:rPr>
              <w:t>培养液配置过程</w:t>
            </w:r>
            <w:r>
              <w:rPr>
                <w:rFonts w:hint="eastAsia" w:ascii="Times New Roman" w:hAnsi="Times New Roman" w:cs="Times New Roman" w:eastAsiaTheme="minorEastAsia"/>
                <w:color w:val="auto"/>
                <w:sz w:val="24"/>
                <w:szCs w:val="24"/>
                <w:lang w:val="en-US" w:eastAsia="zh-CN"/>
              </w:rPr>
              <w:t>使用极少粉状原料，</w:t>
            </w:r>
            <w:r>
              <w:rPr>
                <w:rFonts w:hint="eastAsia" w:asciiTheme="minorEastAsia" w:hAnsiTheme="minorEastAsia" w:eastAsiaTheme="minorEastAsia" w:cstheme="minorEastAsia"/>
                <w:color w:val="auto"/>
                <w:sz w:val="24"/>
                <w:szCs w:val="24"/>
                <w:lang w:val="en-US" w:eastAsia="zh-CN"/>
              </w:rPr>
              <w:t>产生的投料粉尘只做定性分析</w:t>
            </w:r>
            <w:r>
              <w:rPr>
                <w:rFonts w:hint="eastAsia"/>
                <w:color w:val="auto"/>
                <w:lang w:val="en-US" w:eastAsia="zh-CN"/>
              </w:rPr>
              <w:t>。</w:t>
            </w:r>
          </w:p>
          <w:p w14:paraId="53FD1527">
            <w:pPr>
              <w:pStyle w:val="83"/>
              <w:keepNext w:val="0"/>
              <w:keepLines w:val="0"/>
              <w:pageBreakBefore w:val="0"/>
              <w:widowControl w:val="0"/>
              <w:tabs>
                <w:tab w:val="left" w:pos="2121"/>
              </w:tabs>
              <w:kinsoku/>
              <w:wordWrap/>
              <w:overflowPunct/>
              <w:topLinePunct w:val="0"/>
              <w:bidi w:val="0"/>
              <w:spacing w:line="480" w:lineRule="exact"/>
              <w:ind w:left="0" w:firstLine="482" w:firstLineChars="200"/>
              <w:textAlignment w:val="auto"/>
              <w:rPr>
                <w:rFonts w:hint="default" w:cs="Times New Roman"/>
                <w:bCs/>
                <w:color w:val="auto"/>
                <w:sz w:val="24"/>
                <w:lang w:val="en-US" w:eastAsia="zh-CN" w:bidi="ar-SA"/>
              </w:rPr>
            </w:pPr>
            <w:r>
              <w:rPr>
                <w:rFonts w:hint="eastAsia" w:cs="Times New Roman"/>
                <w:b/>
                <w:bCs w:val="0"/>
                <w:color w:val="auto"/>
                <w:sz w:val="24"/>
                <w:lang w:val="en-US" w:eastAsia="zh-CN" w:bidi="ar-SA"/>
              </w:rPr>
              <w:t>电极检测与标定：</w:t>
            </w:r>
            <w:r>
              <w:rPr>
                <w:rFonts w:hint="eastAsia" w:cs="Times New Roman"/>
                <w:bCs/>
                <w:color w:val="auto"/>
                <w:sz w:val="24"/>
                <w:lang w:val="en-US" w:eastAsia="zh-CN" w:bidi="ar-SA"/>
              </w:rPr>
              <w:t>使用药剂磷酸二氢钾和磷酸氢二钠，使用电极检测方法来测定液体培养基浓度，保证液体培养基浓度在适宜范围内。</w:t>
            </w:r>
            <w:r>
              <w:rPr>
                <w:rFonts w:hint="eastAsia" w:asciiTheme="minorEastAsia" w:hAnsiTheme="minorEastAsia" w:eastAsiaTheme="minorEastAsia" w:cstheme="minorEastAsia"/>
                <w:color w:val="auto"/>
                <w:sz w:val="24"/>
                <w:szCs w:val="24"/>
                <w:lang w:val="en-US" w:eastAsia="zh-CN"/>
              </w:rPr>
              <w:t>产生的投料粉尘只做定性分析</w:t>
            </w:r>
          </w:p>
          <w:p w14:paraId="79787987">
            <w:pPr>
              <w:pStyle w:val="83"/>
              <w:keepNext w:val="0"/>
              <w:keepLines w:val="0"/>
              <w:pageBreakBefore w:val="0"/>
              <w:widowControl w:val="0"/>
              <w:tabs>
                <w:tab w:val="left" w:pos="2121"/>
              </w:tabs>
              <w:kinsoku/>
              <w:wordWrap/>
              <w:overflowPunct/>
              <w:topLinePunct w:val="0"/>
              <w:bidi w:val="0"/>
              <w:spacing w:line="480" w:lineRule="exact"/>
              <w:ind w:left="0" w:firstLine="482" w:firstLineChars="200"/>
              <w:textAlignment w:val="auto"/>
              <w:rPr>
                <w:rFonts w:hint="default" w:cs="Times New Roman"/>
                <w:bCs/>
                <w:color w:val="auto"/>
                <w:sz w:val="24"/>
                <w:lang w:val="en-US" w:eastAsia="zh-CN" w:bidi="ar-SA"/>
              </w:rPr>
            </w:pPr>
            <w:r>
              <w:rPr>
                <w:rFonts w:hint="eastAsia" w:cs="Times New Roman"/>
                <w:b/>
                <w:bCs w:val="0"/>
                <w:color w:val="auto"/>
                <w:sz w:val="24"/>
                <w:lang w:val="en-US" w:eastAsia="zh-CN" w:bidi="ar-SA"/>
              </w:rPr>
              <w:t>发酵罐灭菌：</w:t>
            </w:r>
            <w:r>
              <w:rPr>
                <w:rFonts w:hint="eastAsia" w:cs="Times New Roman"/>
                <w:bCs/>
                <w:color w:val="auto"/>
                <w:sz w:val="24"/>
                <w:lang w:val="en-US" w:eastAsia="zh-CN" w:bidi="ar-SA"/>
              </w:rPr>
              <w:t>使用灭菌锅产生的高温蒸汽对培养液进行灭菌</w:t>
            </w:r>
            <w:r>
              <w:rPr>
                <w:rFonts w:hint="default" w:cs="Times New Roman"/>
                <w:bCs/>
                <w:color w:val="auto"/>
                <w:sz w:val="24"/>
                <w:lang w:val="en-US" w:eastAsia="zh-CN" w:bidi="ar-SA"/>
              </w:rPr>
              <w:t>，</w:t>
            </w:r>
            <w:r>
              <w:rPr>
                <w:rFonts w:hint="eastAsia" w:cs="Times New Roman" w:eastAsiaTheme="minorEastAsia"/>
                <w:color w:val="auto"/>
                <w:sz w:val="24"/>
                <w:szCs w:val="24"/>
                <w:lang w:val="en-US" w:eastAsia="zh-CN"/>
              </w:rPr>
              <w:t>灭菌过程不产生废气，</w:t>
            </w:r>
            <w:r>
              <w:rPr>
                <w:rFonts w:hint="eastAsia" w:cs="Times New Roman"/>
                <w:bCs/>
                <w:color w:val="auto"/>
                <w:sz w:val="24"/>
                <w:lang w:val="en-US" w:eastAsia="zh-CN" w:bidi="ar-SA"/>
              </w:rPr>
              <w:t>培养液</w:t>
            </w:r>
            <w:r>
              <w:rPr>
                <w:rFonts w:hint="default" w:cs="Times New Roman"/>
                <w:bCs/>
                <w:color w:val="auto"/>
                <w:sz w:val="24"/>
                <w:lang w:val="en-US" w:eastAsia="zh-CN" w:bidi="ar-SA"/>
              </w:rPr>
              <w:t>经120~140°C高温蒸汽加热（保持80°C）灭菌20~30min，</w:t>
            </w:r>
            <w:r>
              <w:rPr>
                <w:rFonts w:hint="eastAsia" w:cs="Times New Roman" w:eastAsiaTheme="minorEastAsia"/>
                <w:color w:val="auto"/>
                <w:sz w:val="24"/>
                <w:szCs w:val="24"/>
                <w:lang w:val="en-US" w:eastAsia="zh-CN"/>
              </w:rPr>
              <w:t>灭菌锅通过加热纯水产生高温蒸汽，以此对进行灭菌，灭菌过程产生过大量水蒸气，不产生其他污染物</w:t>
            </w:r>
            <w:r>
              <w:rPr>
                <w:rFonts w:hint="default" w:cs="Times New Roman"/>
                <w:bCs/>
                <w:color w:val="auto"/>
                <w:sz w:val="24"/>
                <w:lang w:val="en-US" w:eastAsia="zh-CN" w:bidi="ar-SA"/>
              </w:rPr>
              <w:t>。</w:t>
            </w:r>
          </w:p>
          <w:p w14:paraId="5EA33D3C">
            <w:pPr>
              <w:pStyle w:val="83"/>
              <w:keepNext w:val="0"/>
              <w:keepLines w:val="0"/>
              <w:pageBreakBefore w:val="0"/>
              <w:widowControl w:val="0"/>
              <w:tabs>
                <w:tab w:val="left" w:pos="2121"/>
              </w:tabs>
              <w:kinsoku/>
              <w:wordWrap/>
              <w:overflowPunct/>
              <w:topLinePunct w:val="0"/>
              <w:bidi w:val="0"/>
              <w:spacing w:line="480" w:lineRule="exact"/>
              <w:ind w:left="0" w:firstLine="482" w:firstLineChars="200"/>
              <w:textAlignment w:val="auto"/>
              <w:rPr>
                <w:rFonts w:hint="eastAsia" w:cs="Times New Roman"/>
                <w:bCs/>
                <w:color w:val="auto"/>
                <w:sz w:val="24"/>
                <w:lang w:val="en-US" w:eastAsia="zh-CN" w:bidi="ar-SA"/>
              </w:rPr>
            </w:pPr>
            <w:r>
              <w:rPr>
                <w:rFonts w:hint="eastAsia" w:cs="Times New Roman"/>
                <w:b/>
                <w:bCs w:val="0"/>
                <w:color w:val="auto"/>
                <w:sz w:val="24"/>
                <w:lang w:val="en-US" w:eastAsia="zh-CN" w:bidi="ar-SA"/>
              </w:rPr>
              <w:t>发酵罐接种：</w:t>
            </w:r>
            <w:r>
              <w:rPr>
                <w:rFonts w:hint="default" w:cs="Times New Roman"/>
                <w:bCs/>
                <w:color w:val="auto"/>
                <w:sz w:val="24"/>
                <w:lang w:val="en-US" w:eastAsia="zh-CN" w:bidi="ar-SA"/>
              </w:rPr>
              <w:t>灭菌过后的</w:t>
            </w:r>
            <w:r>
              <w:rPr>
                <w:rFonts w:hint="eastAsia" w:cs="Times New Roman"/>
                <w:bCs/>
                <w:color w:val="auto"/>
                <w:sz w:val="24"/>
                <w:lang w:val="en-US" w:eastAsia="zh-CN" w:bidi="ar-SA"/>
              </w:rPr>
              <w:t>培养液</w:t>
            </w:r>
            <w:r>
              <w:rPr>
                <w:rFonts w:hint="default" w:cs="Times New Roman"/>
                <w:bCs/>
                <w:color w:val="auto"/>
                <w:sz w:val="24"/>
                <w:lang w:val="en-US" w:eastAsia="zh-CN" w:bidi="ar-SA"/>
              </w:rPr>
              <w:t>冷却后，接入菌种（大肠杆菌）</w:t>
            </w:r>
            <w:r>
              <w:rPr>
                <w:rFonts w:hint="eastAsia" w:cs="Times New Roman"/>
                <w:bCs/>
                <w:color w:val="auto"/>
                <w:sz w:val="24"/>
                <w:lang w:val="en-US" w:eastAsia="zh-CN" w:bidi="ar-SA"/>
              </w:rPr>
              <w:t>。</w:t>
            </w:r>
          </w:p>
          <w:p w14:paraId="10C30C19">
            <w:pPr>
              <w:pStyle w:val="83"/>
              <w:keepNext w:val="0"/>
              <w:keepLines w:val="0"/>
              <w:pageBreakBefore w:val="0"/>
              <w:widowControl w:val="0"/>
              <w:tabs>
                <w:tab w:val="left" w:pos="2121"/>
              </w:tabs>
              <w:kinsoku/>
              <w:wordWrap/>
              <w:overflowPunct/>
              <w:topLinePunct w:val="0"/>
              <w:bidi w:val="0"/>
              <w:spacing w:line="480" w:lineRule="exact"/>
              <w:ind w:left="0" w:firstLine="482" w:firstLineChars="200"/>
              <w:textAlignment w:val="auto"/>
              <w:rPr>
                <w:rFonts w:hint="eastAsia" w:cs="Times New Roman"/>
                <w:bCs/>
                <w:color w:val="auto"/>
                <w:sz w:val="24"/>
                <w:lang w:val="en-US" w:eastAsia="zh-CN" w:bidi="ar-SA"/>
              </w:rPr>
            </w:pPr>
            <w:r>
              <w:rPr>
                <w:rFonts w:hint="eastAsia" w:cs="Times New Roman"/>
                <w:b/>
                <w:bCs w:val="0"/>
                <w:color w:val="auto"/>
                <w:sz w:val="24"/>
                <w:lang w:val="en-US" w:eastAsia="zh-CN" w:bidi="ar-SA"/>
              </w:rPr>
              <w:t>发酵罐培养：</w:t>
            </w:r>
            <w:r>
              <w:rPr>
                <w:rFonts w:hint="default" w:cs="Times New Roman"/>
                <w:bCs/>
                <w:color w:val="auto"/>
                <w:sz w:val="24"/>
                <w:lang w:val="en-US" w:eastAsia="zh-CN" w:bidi="ar-SA"/>
              </w:rPr>
              <w:t>接入菌种</w:t>
            </w:r>
            <w:r>
              <w:rPr>
                <w:rFonts w:hint="eastAsia" w:cs="Times New Roman"/>
                <w:bCs/>
                <w:color w:val="auto"/>
                <w:sz w:val="24"/>
                <w:lang w:val="en-US" w:eastAsia="zh-CN" w:bidi="ar-SA"/>
              </w:rPr>
              <w:t>后</w:t>
            </w:r>
            <w:r>
              <w:rPr>
                <w:rFonts w:hint="default" w:cs="Times New Roman"/>
                <w:bCs/>
                <w:color w:val="auto"/>
                <w:sz w:val="24"/>
                <w:lang w:val="en-US" w:eastAsia="zh-CN" w:bidi="ar-SA"/>
              </w:rPr>
              <w:t>进行发酵培养</w:t>
            </w:r>
            <w:r>
              <w:rPr>
                <w:rFonts w:hint="eastAsia" w:cs="Times New Roman"/>
                <w:bCs/>
                <w:color w:val="auto"/>
                <w:sz w:val="24"/>
                <w:lang w:val="en-US" w:eastAsia="zh-CN" w:bidi="ar-SA"/>
              </w:rPr>
              <w:t>，</w:t>
            </w:r>
            <w:r>
              <w:rPr>
                <w:rFonts w:hint="default" w:cs="Times New Roman"/>
                <w:bCs/>
                <w:color w:val="auto"/>
                <w:sz w:val="24"/>
                <w:lang w:val="en-US" w:eastAsia="zh-CN" w:bidi="ar-SA"/>
              </w:rPr>
              <w:t>通过给予大肠杆菌充足养分</w:t>
            </w:r>
            <w:r>
              <w:rPr>
                <w:rFonts w:hint="eastAsia" w:cs="Times New Roman"/>
                <w:bCs/>
                <w:color w:val="auto"/>
                <w:sz w:val="24"/>
                <w:lang w:val="en-US" w:eastAsia="zh-CN" w:bidi="ar-SA"/>
              </w:rPr>
              <w:t>葡萄糖</w:t>
            </w:r>
            <w:r>
              <w:rPr>
                <w:rFonts w:hint="default" w:cs="Times New Roman"/>
                <w:bCs/>
                <w:color w:val="auto"/>
                <w:sz w:val="24"/>
                <w:lang w:val="en-US" w:eastAsia="zh-CN" w:bidi="ar-SA"/>
              </w:rPr>
              <w:t>，使细菌在合适条件下生长至目标生物量，达到预期发酵目的，周期48-120小时，OD、产量基本不增长即可放罐；放罐前降低转速，罐压控制0.04Mpa左右，培养过程循环冷却水控制温度10~25℃。此工序通过给予大肠杆菌充足养分（包括碳源、氮源、蛋白胨等），使细菌在合适条件下生长至目标生物量，达到预期发酵目的。中间取样检测生长情况。发酵罐开始运行后每4小时取10毫升样，测pH和OD值，检测菌体生长的环境pH和菌体的增长速度，观察指标是否在工艺要求范围内，确定产物表达的最佳工艺条件。</w:t>
            </w:r>
            <w:r>
              <w:rPr>
                <w:rFonts w:hint="eastAsia" w:cs="Times New Roman"/>
                <w:bCs/>
                <w:color w:val="auto"/>
                <w:sz w:val="24"/>
                <w:lang w:val="en-US" w:eastAsia="zh-CN" w:bidi="ar-SA"/>
              </w:rPr>
              <w:t>不合格菌种经灭菌后倒入洗手池内，收集至储罐中。此过程产生废气G4（发酵废气）、S4（检测废液、不合格菌种）。</w:t>
            </w:r>
          </w:p>
          <w:p w14:paraId="60ED26B6">
            <w:pPr>
              <w:pStyle w:val="83"/>
              <w:keepNext w:val="0"/>
              <w:keepLines w:val="0"/>
              <w:pageBreakBefore w:val="0"/>
              <w:widowControl w:val="0"/>
              <w:tabs>
                <w:tab w:val="left" w:pos="2121"/>
              </w:tabs>
              <w:kinsoku/>
              <w:wordWrap/>
              <w:overflowPunct/>
              <w:topLinePunct w:val="0"/>
              <w:bidi w:val="0"/>
              <w:spacing w:line="480" w:lineRule="exact"/>
              <w:ind w:left="0" w:firstLine="482" w:firstLineChars="200"/>
              <w:textAlignment w:val="auto"/>
              <w:rPr>
                <w:rFonts w:hint="default" w:cs="Times New Roman"/>
                <w:bCs/>
                <w:color w:val="000000" w:themeColor="text1"/>
                <w:sz w:val="24"/>
                <w:lang w:val="en-US" w:eastAsia="zh-CN" w:bidi="ar-SA"/>
                <w14:textFill>
                  <w14:solidFill>
                    <w14:schemeClr w14:val="tx1"/>
                  </w14:solidFill>
                </w14:textFill>
              </w:rPr>
            </w:pPr>
            <w:r>
              <w:rPr>
                <w:rFonts w:hint="eastAsia" w:cs="Times New Roman"/>
                <w:b/>
                <w:bCs w:val="0"/>
                <w:color w:val="000000" w:themeColor="text1"/>
                <w:sz w:val="24"/>
                <w:lang w:val="en-US" w:eastAsia="zh-CN" w:bidi="ar-SA"/>
                <w14:textFill>
                  <w14:solidFill>
                    <w14:schemeClr w14:val="tx1"/>
                  </w14:solidFill>
                </w14:textFill>
              </w:rPr>
              <w:t>合格品：</w:t>
            </w:r>
            <w:r>
              <w:rPr>
                <w:rFonts w:hint="eastAsia" w:cs="Times New Roman"/>
                <w:b w:val="0"/>
                <w:bCs/>
                <w:color w:val="000000" w:themeColor="text1"/>
                <w:sz w:val="24"/>
                <w:lang w:val="en-US" w:eastAsia="zh-CN" w:bidi="ar-SA"/>
                <w14:textFill>
                  <w14:solidFill>
                    <w14:schemeClr w14:val="tx1"/>
                  </w14:solidFill>
                </w14:textFill>
              </w:rPr>
              <w:t>实验完成后，将实验数据传到北京研发中心，进行复现使用获得高产菌株，合格的菌液作为废液（S5）委托有资质单位处置</w:t>
            </w:r>
            <w:r>
              <w:rPr>
                <w:rFonts w:hint="eastAsia" w:cs="Times New Roman"/>
                <w:bCs/>
                <w:color w:val="000000" w:themeColor="text1"/>
                <w:sz w:val="24"/>
                <w:lang w:val="en-US" w:eastAsia="zh-CN" w:bidi="ar-SA"/>
                <w14:textFill>
                  <w14:solidFill>
                    <w14:schemeClr w14:val="tx1"/>
                  </w14:solidFill>
                </w14:textFill>
              </w:rPr>
              <w:t>。</w:t>
            </w:r>
          </w:p>
          <w:p w14:paraId="5865800B">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default" w:ascii="Times New Roman" w:hAnsi="Times New Roman" w:eastAsia="宋体" w:cs="Times New Roman"/>
                <w:b/>
                <w:bCs w:val="0"/>
                <w:color w:val="auto"/>
                <w:kern w:val="0"/>
                <w:sz w:val="24"/>
                <w:szCs w:val="24"/>
                <w:lang w:val="en-US" w:eastAsia="zh-CN" w:bidi="ar-SA"/>
              </w:rPr>
            </w:pPr>
            <w:r>
              <w:rPr>
                <w:rFonts w:hint="eastAsia" w:ascii="Times New Roman" w:hAnsi="Times New Roman" w:eastAsia="宋体" w:cs="Times New Roman"/>
                <w:b/>
                <w:bCs w:val="0"/>
                <w:color w:val="auto"/>
                <w:kern w:val="0"/>
                <w:sz w:val="24"/>
                <w:szCs w:val="24"/>
                <w:lang w:val="en-US" w:eastAsia="zh-CN" w:bidi="ar-SA"/>
              </w:rPr>
              <w:t>其他污染工序：</w:t>
            </w:r>
          </w:p>
          <w:p w14:paraId="360C906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b/>
                <w:color w:val="auto"/>
                <w:sz w:val="21"/>
                <w:szCs w:val="21"/>
              </w:rPr>
            </w:pPr>
            <w:r>
              <w:rPr>
                <w:rFonts w:hint="eastAsia"/>
                <w:b w:val="0"/>
                <w:bCs/>
                <w:color w:val="auto"/>
                <w:sz w:val="24"/>
                <w:szCs w:val="24"/>
                <w:lang w:val="en-US" w:eastAsia="zh-CN"/>
              </w:rPr>
              <w:t>职工生活产生的生活垃圾，实验室设备表面、手部使用乙醇消毒产生的消毒废气，包装拆解产生的试剂废包装纸箱、纯水废瓶、试剂废瓶、设备清洗产生的废液。</w:t>
            </w:r>
          </w:p>
          <w:p w14:paraId="5FDE4574">
            <w:pPr>
              <w:snapToGrid w:val="0"/>
              <w:jc w:val="center"/>
              <w:rPr>
                <w:b/>
                <w:color w:val="auto"/>
                <w:sz w:val="21"/>
                <w:szCs w:val="21"/>
              </w:rPr>
            </w:pPr>
          </w:p>
          <w:p w14:paraId="16F77D42">
            <w:pPr>
              <w:snapToGrid w:val="0"/>
              <w:jc w:val="center"/>
              <w:rPr>
                <w:bCs/>
                <w:color w:val="auto"/>
                <w:sz w:val="21"/>
                <w:szCs w:val="21"/>
              </w:rPr>
            </w:pPr>
            <w:r>
              <w:rPr>
                <w:b/>
                <w:color w:val="auto"/>
                <w:sz w:val="21"/>
                <w:szCs w:val="21"/>
              </w:rPr>
              <w:t>表2-</w:t>
            </w:r>
            <w:r>
              <w:rPr>
                <w:rFonts w:hint="eastAsia"/>
                <w:b/>
                <w:color w:val="auto"/>
                <w:sz w:val="21"/>
                <w:szCs w:val="21"/>
                <w:lang w:val="en-US" w:eastAsia="zh-CN"/>
              </w:rPr>
              <w:t>16</w:t>
            </w:r>
            <w:r>
              <w:rPr>
                <w:b/>
                <w:color w:val="auto"/>
                <w:sz w:val="21"/>
                <w:szCs w:val="21"/>
              </w:rPr>
              <w:t xml:space="preserve">  主要污染工序</w:t>
            </w:r>
          </w:p>
          <w:tbl>
            <w:tblPr>
              <w:tblStyle w:val="22"/>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2421"/>
              <w:gridCol w:w="2694"/>
              <w:gridCol w:w="2038"/>
            </w:tblGrid>
            <w:tr w14:paraId="511F0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noWrap w:val="0"/>
                  <w:vAlign w:val="center"/>
                </w:tcPr>
                <w:p w14:paraId="26344347">
                  <w:pPr>
                    <w:jc w:val="center"/>
                    <w:rPr>
                      <w:b/>
                      <w:bCs/>
                      <w:color w:val="auto"/>
                      <w:sz w:val="21"/>
                      <w:szCs w:val="21"/>
                    </w:rPr>
                  </w:pPr>
                  <w:r>
                    <w:rPr>
                      <w:b/>
                      <w:bCs/>
                      <w:color w:val="auto"/>
                      <w:sz w:val="21"/>
                      <w:szCs w:val="21"/>
                    </w:rPr>
                    <w:t>类别</w:t>
                  </w:r>
                </w:p>
              </w:tc>
              <w:tc>
                <w:tcPr>
                  <w:tcW w:w="1469" w:type="pct"/>
                  <w:noWrap w:val="0"/>
                  <w:vAlign w:val="center"/>
                </w:tcPr>
                <w:p w14:paraId="28FD78C9">
                  <w:pPr>
                    <w:jc w:val="center"/>
                    <w:rPr>
                      <w:b/>
                      <w:bCs/>
                      <w:color w:val="auto"/>
                      <w:sz w:val="21"/>
                      <w:szCs w:val="21"/>
                    </w:rPr>
                  </w:pPr>
                  <w:r>
                    <w:rPr>
                      <w:b/>
                      <w:bCs/>
                      <w:color w:val="auto"/>
                      <w:sz w:val="21"/>
                      <w:szCs w:val="21"/>
                    </w:rPr>
                    <w:t>污染工序</w:t>
                  </w:r>
                </w:p>
              </w:tc>
              <w:tc>
                <w:tcPr>
                  <w:tcW w:w="1635" w:type="pct"/>
                  <w:noWrap w:val="0"/>
                  <w:vAlign w:val="center"/>
                </w:tcPr>
                <w:p w14:paraId="12FF0CBF">
                  <w:pPr>
                    <w:jc w:val="center"/>
                    <w:rPr>
                      <w:b/>
                      <w:bCs/>
                      <w:color w:val="auto"/>
                      <w:sz w:val="21"/>
                      <w:szCs w:val="21"/>
                    </w:rPr>
                  </w:pPr>
                  <w:r>
                    <w:rPr>
                      <w:b/>
                      <w:bCs/>
                      <w:color w:val="auto"/>
                      <w:sz w:val="21"/>
                      <w:szCs w:val="21"/>
                    </w:rPr>
                    <w:t>污染类型</w:t>
                  </w:r>
                </w:p>
              </w:tc>
              <w:tc>
                <w:tcPr>
                  <w:tcW w:w="1237" w:type="pct"/>
                  <w:noWrap w:val="0"/>
                  <w:vAlign w:val="center"/>
                </w:tcPr>
                <w:p w14:paraId="3DC67481">
                  <w:pPr>
                    <w:jc w:val="center"/>
                    <w:rPr>
                      <w:b/>
                      <w:bCs/>
                      <w:color w:val="auto"/>
                      <w:sz w:val="21"/>
                      <w:szCs w:val="21"/>
                    </w:rPr>
                  </w:pPr>
                  <w:r>
                    <w:rPr>
                      <w:b/>
                      <w:bCs/>
                      <w:color w:val="auto"/>
                      <w:sz w:val="21"/>
                      <w:szCs w:val="21"/>
                    </w:rPr>
                    <w:t>污染因子</w:t>
                  </w:r>
                </w:p>
              </w:tc>
            </w:tr>
            <w:tr w14:paraId="70031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noWrap w:val="0"/>
                  <w:vAlign w:val="center"/>
                </w:tcPr>
                <w:p w14:paraId="743D254B">
                  <w:pPr>
                    <w:jc w:val="center"/>
                    <w:rPr>
                      <w:color w:val="auto"/>
                      <w:sz w:val="21"/>
                      <w:szCs w:val="21"/>
                    </w:rPr>
                  </w:pPr>
                  <w:r>
                    <w:rPr>
                      <w:color w:val="auto"/>
                      <w:sz w:val="21"/>
                      <w:szCs w:val="21"/>
                    </w:rPr>
                    <w:t>废水</w:t>
                  </w:r>
                </w:p>
              </w:tc>
              <w:tc>
                <w:tcPr>
                  <w:tcW w:w="1469" w:type="pct"/>
                  <w:noWrap w:val="0"/>
                  <w:vAlign w:val="center"/>
                </w:tcPr>
                <w:p w14:paraId="667B44E3">
                  <w:pPr>
                    <w:widowControl/>
                    <w:jc w:val="center"/>
                    <w:rPr>
                      <w:color w:val="auto"/>
                      <w:kern w:val="0"/>
                      <w:sz w:val="21"/>
                      <w:szCs w:val="21"/>
                    </w:rPr>
                  </w:pPr>
                  <w:r>
                    <w:rPr>
                      <w:color w:val="auto"/>
                      <w:kern w:val="0"/>
                      <w:sz w:val="21"/>
                      <w:szCs w:val="21"/>
                    </w:rPr>
                    <w:t>职工生活</w:t>
                  </w:r>
                </w:p>
              </w:tc>
              <w:tc>
                <w:tcPr>
                  <w:tcW w:w="1635" w:type="pct"/>
                  <w:noWrap w:val="0"/>
                  <w:vAlign w:val="center"/>
                </w:tcPr>
                <w:p w14:paraId="5C0B3D64">
                  <w:pPr>
                    <w:jc w:val="center"/>
                    <w:rPr>
                      <w:color w:val="auto"/>
                      <w:sz w:val="21"/>
                      <w:szCs w:val="21"/>
                    </w:rPr>
                  </w:pPr>
                  <w:r>
                    <w:rPr>
                      <w:color w:val="auto"/>
                      <w:sz w:val="21"/>
                      <w:szCs w:val="21"/>
                    </w:rPr>
                    <w:t>生活污水</w:t>
                  </w:r>
                </w:p>
              </w:tc>
              <w:tc>
                <w:tcPr>
                  <w:tcW w:w="1237" w:type="pct"/>
                  <w:noWrap w:val="0"/>
                  <w:vAlign w:val="center"/>
                </w:tcPr>
                <w:p w14:paraId="1A023730">
                  <w:pPr>
                    <w:jc w:val="center"/>
                    <w:rPr>
                      <w:color w:val="auto"/>
                      <w:sz w:val="21"/>
                      <w:szCs w:val="21"/>
                    </w:rPr>
                  </w:pPr>
                  <w:r>
                    <w:rPr>
                      <w:color w:val="auto"/>
                      <w:sz w:val="21"/>
                      <w:szCs w:val="21"/>
                    </w:rPr>
                    <w:t>COD、</w:t>
                  </w:r>
                  <w:r>
                    <w:rPr>
                      <w:rFonts w:hint="eastAsia"/>
                      <w:color w:val="auto"/>
                      <w:sz w:val="21"/>
                      <w:szCs w:val="21"/>
                    </w:rPr>
                    <w:t>SS、</w:t>
                  </w:r>
                  <w:r>
                    <w:rPr>
                      <w:color w:val="auto"/>
                      <w:sz w:val="21"/>
                      <w:szCs w:val="21"/>
                    </w:rPr>
                    <w:t>NH</w:t>
                  </w:r>
                  <w:r>
                    <w:rPr>
                      <w:color w:val="auto"/>
                      <w:sz w:val="21"/>
                      <w:szCs w:val="21"/>
                      <w:vertAlign w:val="subscript"/>
                    </w:rPr>
                    <w:t>3</w:t>
                  </w:r>
                  <w:r>
                    <w:rPr>
                      <w:color w:val="auto"/>
                      <w:sz w:val="21"/>
                      <w:szCs w:val="21"/>
                    </w:rPr>
                    <w:t>-N</w:t>
                  </w:r>
                  <w:r>
                    <w:rPr>
                      <w:rFonts w:hint="eastAsia"/>
                      <w:color w:val="auto"/>
                      <w:sz w:val="21"/>
                      <w:szCs w:val="21"/>
                    </w:rPr>
                    <w:t>、TP、TN</w:t>
                  </w:r>
                </w:p>
              </w:tc>
            </w:tr>
            <w:tr w14:paraId="16302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7" w:type="pct"/>
                  <w:vMerge w:val="restart"/>
                  <w:noWrap w:val="0"/>
                  <w:vAlign w:val="center"/>
                </w:tcPr>
                <w:p w14:paraId="096A2D14">
                  <w:pPr>
                    <w:jc w:val="center"/>
                    <w:rPr>
                      <w:color w:val="auto"/>
                      <w:sz w:val="21"/>
                      <w:szCs w:val="21"/>
                    </w:rPr>
                  </w:pPr>
                  <w:r>
                    <w:rPr>
                      <w:color w:val="auto"/>
                      <w:sz w:val="21"/>
                      <w:szCs w:val="21"/>
                    </w:rPr>
                    <w:t>废气</w:t>
                  </w:r>
                </w:p>
              </w:tc>
              <w:tc>
                <w:tcPr>
                  <w:tcW w:w="1469" w:type="pct"/>
                  <w:noWrap w:val="0"/>
                  <w:vAlign w:val="center"/>
                </w:tcPr>
                <w:p w14:paraId="6A8F3FB5">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发酵、培养</w:t>
                  </w:r>
                </w:p>
              </w:tc>
              <w:tc>
                <w:tcPr>
                  <w:tcW w:w="1635" w:type="pct"/>
                  <w:noWrap w:val="0"/>
                  <w:vAlign w:val="center"/>
                </w:tcPr>
                <w:p w14:paraId="7AF3AC90">
                  <w:pPr>
                    <w:jc w:val="center"/>
                    <w:rPr>
                      <w:rFonts w:hint="eastAsia" w:eastAsia="宋体"/>
                      <w:color w:val="auto"/>
                      <w:kern w:val="0"/>
                      <w:sz w:val="21"/>
                      <w:szCs w:val="21"/>
                      <w:lang w:val="en-US" w:eastAsia="zh-CN"/>
                    </w:rPr>
                  </w:pPr>
                  <w:r>
                    <w:rPr>
                      <w:rFonts w:hint="eastAsia"/>
                      <w:color w:val="auto"/>
                      <w:kern w:val="0"/>
                      <w:sz w:val="21"/>
                      <w:szCs w:val="21"/>
                      <w:lang w:val="en-US" w:eastAsia="zh-CN"/>
                    </w:rPr>
                    <w:t>发酵、培养</w:t>
                  </w:r>
                  <w:r>
                    <w:rPr>
                      <w:color w:val="auto"/>
                      <w:kern w:val="0"/>
                      <w:sz w:val="21"/>
                      <w:szCs w:val="21"/>
                    </w:rPr>
                    <w:t>废气</w:t>
                  </w:r>
                  <w:r>
                    <w:rPr>
                      <w:rFonts w:hint="eastAsia"/>
                      <w:color w:val="auto"/>
                      <w:kern w:val="0"/>
                      <w:sz w:val="21"/>
                      <w:szCs w:val="21"/>
                      <w:lang w:val="en-US" w:eastAsia="zh-CN"/>
                    </w:rPr>
                    <w:t>（G1、G2、G3、G4）</w:t>
                  </w:r>
                </w:p>
              </w:tc>
              <w:tc>
                <w:tcPr>
                  <w:tcW w:w="1237" w:type="pct"/>
                  <w:noWrap w:val="0"/>
                  <w:vAlign w:val="center"/>
                </w:tcPr>
                <w:p w14:paraId="0E69078B">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二氧化碳、</w:t>
                  </w:r>
                  <w:r>
                    <w:rPr>
                      <w:rFonts w:hint="eastAsia"/>
                      <w:color w:val="000000" w:themeColor="text1"/>
                      <w:sz w:val="21"/>
                      <w:szCs w:val="21"/>
                      <w:lang w:val="en-US" w:eastAsia="zh-CN"/>
                      <w14:textFill>
                        <w14:solidFill>
                          <w14:schemeClr w14:val="tx1"/>
                        </w14:solidFill>
                      </w14:textFill>
                    </w:rPr>
                    <w:t>氨、臭气浓度</w:t>
                  </w:r>
                </w:p>
              </w:tc>
            </w:tr>
            <w:tr w14:paraId="50EC3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290F79C7">
                  <w:pPr>
                    <w:jc w:val="center"/>
                    <w:rPr>
                      <w:color w:val="auto"/>
                      <w:sz w:val="21"/>
                      <w:szCs w:val="21"/>
                    </w:rPr>
                  </w:pPr>
                </w:p>
              </w:tc>
              <w:tc>
                <w:tcPr>
                  <w:tcW w:w="1469" w:type="pct"/>
                  <w:noWrap w:val="0"/>
                  <w:vAlign w:val="center"/>
                </w:tcPr>
                <w:p w14:paraId="330E3977">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实验设备表面、手部消毒</w:t>
                  </w:r>
                </w:p>
              </w:tc>
              <w:tc>
                <w:tcPr>
                  <w:tcW w:w="1635" w:type="pct"/>
                  <w:noWrap w:val="0"/>
                  <w:vAlign w:val="center"/>
                </w:tcPr>
                <w:p w14:paraId="6DCCA7F2">
                  <w:pPr>
                    <w:jc w:val="center"/>
                    <w:rPr>
                      <w:rFonts w:hint="default" w:eastAsia="宋体"/>
                      <w:color w:val="auto"/>
                      <w:kern w:val="0"/>
                      <w:sz w:val="21"/>
                      <w:szCs w:val="21"/>
                      <w:lang w:val="en-US" w:eastAsia="zh-CN"/>
                    </w:rPr>
                  </w:pPr>
                  <w:r>
                    <w:rPr>
                      <w:rFonts w:hint="eastAsia"/>
                      <w:color w:val="auto"/>
                      <w:kern w:val="0"/>
                      <w:sz w:val="21"/>
                      <w:szCs w:val="21"/>
                      <w:lang w:val="en-US" w:eastAsia="zh-CN"/>
                    </w:rPr>
                    <w:t>消毒废气</w:t>
                  </w:r>
                </w:p>
              </w:tc>
              <w:tc>
                <w:tcPr>
                  <w:tcW w:w="1237" w:type="pct"/>
                  <w:noWrap w:val="0"/>
                  <w:vAlign w:val="center"/>
                </w:tcPr>
                <w:p w14:paraId="47B3D5B7">
                  <w:pPr>
                    <w:jc w:val="center"/>
                    <w:rPr>
                      <w:rFonts w:hint="default" w:eastAsia="宋体"/>
                      <w:bCs/>
                      <w:color w:val="auto"/>
                      <w:sz w:val="21"/>
                      <w:szCs w:val="21"/>
                      <w:lang w:val="en-US" w:eastAsia="zh-CN"/>
                    </w:rPr>
                  </w:pPr>
                  <w:r>
                    <w:rPr>
                      <w:rFonts w:hint="eastAsia"/>
                      <w:bCs/>
                      <w:color w:val="auto"/>
                      <w:sz w:val="21"/>
                      <w:szCs w:val="21"/>
                      <w:lang w:val="en-US" w:eastAsia="zh-CN"/>
                    </w:rPr>
                    <w:t>非甲烷总烃</w:t>
                  </w:r>
                </w:p>
              </w:tc>
            </w:tr>
            <w:tr w14:paraId="6AF5C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noWrap w:val="0"/>
                  <w:vAlign w:val="center"/>
                </w:tcPr>
                <w:p w14:paraId="04E8D5D0">
                  <w:pPr>
                    <w:jc w:val="center"/>
                    <w:rPr>
                      <w:color w:val="auto"/>
                      <w:sz w:val="21"/>
                      <w:szCs w:val="21"/>
                    </w:rPr>
                  </w:pPr>
                  <w:r>
                    <w:rPr>
                      <w:color w:val="auto"/>
                      <w:sz w:val="21"/>
                      <w:szCs w:val="21"/>
                    </w:rPr>
                    <w:t>噪声</w:t>
                  </w:r>
                </w:p>
              </w:tc>
              <w:tc>
                <w:tcPr>
                  <w:tcW w:w="1469" w:type="pct"/>
                  <w:noWrap w:val="0"/>
                  <w:vAlign w:val="center"/>
                </w:tcPr>
                <w:p w14:paraId="7275576A">
                  <w:pPr>
                    <w:widowControl/>
                    <w:jc w:val="center"/>
                    <w:rPr>
                      <w:color w:val="auto"/>
                      <w:kern w:val="0"/>
                      <w:sz w:val="21"/>
                      <w:szCs w:val="21"/>
                    </w:rPr>
                  </w:pPr>
                  <w:r>
                    <w:rPr>
                      <w:color w:val="auto"/>
                      <w:kern w:val="0"/>
                      <w:sz w:val="21"/>
                      <w:szCs w:val="21"/>
                    </w:rPr>
                    <w:t>生产设备</w:t>
                  </w:r>
                </w:p>
              </w:tc>
              <w:tc>
                <w:tcPr>
                  <w:tcW w:w="1635" w:type="pct"/>
                  <w:noWrap w:val="0"/>
                  <w:vAlign w:val="center"/>
                </w:tcPr>
                <w:p w14:paraId="2383CAE5">
                  <w:pPr>
                    <w:jc w:val="center"/>
                    <w:rPr>
                      <w:color w:val="auto"/>
                      <w:kern w:val="0"/>
                      <w:sz w:val="21"/>
                      <w:szCs w:val="21"/>
                    </w:rPr>
                  </w:pPr>
                  <w:r>
                    <w:rPr>
                      <w:color w:val="auto"/>
                      <w:kern w:val="0"/>
                      <w:sz w:val="21"/>
                      <w:szCs w:val="21"/>
                    </w:rPr>
                    <w:t>设备噪声</w:t>
                  </w:r>
                </w:p>
              </w:tc>
              <w:tc>
                <w:tcPr>
                  <w:tcW w:w="1237" w:type="pct"/>
                  <w:noWrap w:val="0"/>
                  <w:vAlign w:val="center"/>
                </w:tcPr>
                <w:p w14:paraId="6200C2D5">
                  <w:pPr>
                    <w:jc w:val="center"/>
                    <w:rPr>
                      <w:color w:val="auto"/>
                      <w:sz w:val="21"/>
                      <w:szCs w:val="21"/>
                    </w:rPr>
                  </w:pPr>
                  <w:r>
                    <w:rPr>
                      <w:color w:val="auto"/>
                      <w:sz w:val="21"/>
                      <w:szCs w:val="21"/>
                    </w:rPr>
                    <w:t>LAeq</w:t>
                  </w:r>
                </w:p>
              </w:tc>
            </w:tr>
            <w:tr w14:paraId="57CBC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restart"/>
                  <w:noWrap w:val="0"/>
                  <w:vAlign w:val="center"/>
                </w:tcPr>
                <w:p w14:paraId="19D0C0D3">
                  <w:pPr>
                    <w:jc w:val="center"/>
                    <w:rPr>
                      <w:rFonts w:hint="eastAsia" w:eastAsia="宋体"/>
                      <w:color w:val="auto"/>
                      <w:sz w:val="21"/>
                      <w:szCs w:val="21"/>
                      <w:lang w:val="en-US" w:eastAsia="zh-CN"/>
                    </w:rPr>
                  </w:pPr>
                  <w:r>
                    <w:rPr>
                      <w:rFonts w:hint="eastAsia"/>
                      <w:color w:val="auto"/>
                      <w:sz w:val="21"/>
                      <w:szCs w:val="21"/>
                      <w:lang w:val="en-US" w:eastAsia="zh-CN"/>
                    </w:rPr>
                    <w:t>固废</w:t>
                  </w:r>
                </w:p>
              </w:tc>
              <w:tc>
                <w:tcPr>
                  <w:tcW w:w="1469" w:type="pct"/>
                  <w:noWrap w:val="0"/>
                  <w:vAlign w:val="center"/>
                </w:tcPr>
                <w:p w14:paraId="30540CBF">
                  <w:pPr>
                    <w:widowControl/>
                    <w:jc w:val="center"/>
                    <w:rPr>
                      <w:color w:val="auto"/>
                      <w:kern w:val="0"/>
                      <w:sz w:val="21"/>
                      <w:szCs w:val="21"/>
                    </w:rPr>
                  </w:pPr>
                  <w:r>
                    <w:rPr>
                      <w:rFonts w:hint="eastAsia"/>
                      <w:color w:val="auto"/>
                      <w:kern w:val="0"/>
                      <w:sz w:val="21"/>
                      <w:szCs w:val="21"/>
                      <w:lang w:val="en-US" w:eastAsia="zh-CN"/>
                    </w:rPr>
                    <w:t>包装拆解</w:t>
                  </w:r>
                </w:p>
              </w:tc>
              <w:tc>
                <w:tcPr>
                  <w:tcW w:w="1635" w:type="pct"/>
                  <w:noWrap w:val="0"/>
                  <w:vAlign w:val="center"/>
                </w:tcPr>
                <w:p w14:paraId="1A541CE8">
                  <w:pPr>
                    <w:jc w:val="center"/>
                    <w:rPr>
                      <w:rFonts w:hint="default" w:eastAsia="宋体"/>
                      <w:color w:val="auto"/>
                      <w:sz w:val="21"/>
                      <w:szCs w:val="21"/>
                      <w:lang w:val="en-US" w:eastAsia="zh-CN"/>
                    </w:rPr>
                  </w:pPr>
                  <w:r>
                    <w:rPr>
                      <w:rFonts w:hint="eastAsia"/>
                      <w:color w:val="auto"/>
                      <w:sz w:val="21"/>
                      <w:szCs w:val="21"/>
                      <w:lang w:val="en-US" w:eastAsia="zh-CN"/>
                    </w:rPr>
                    <w:t>试剂废包装纸箱</w:t>
                  </w:r>
                </w:p>
              </w:tc>
              <w:tc>
                <w:tcPr>
                  <w:tcW w:w="1237" w:type="pct"/>
                  <w:noWrap w:val="0"/>
                  <w:vAlign w:val="center"/>
                </w:tcPr>
                <w:p w14:paraId="7A1D2BDF">
                  <w:pPr>
                    <w:jc w:val="center"/>
                    <w:rPr>
                      <w:color w:val="auto"/>
                      <w:sz w:val="21"/>
                      <w:szCs w:val="21"/>
                    </w:rPr>
                  </w:pPr>
                  <w:r>
                    <w:rPr>
                      <w:rFonts w:hint="eastAsia"/>
                      <w:color w:val="auto"/>
                      <w:sz w:val="21"/>
                      <w:szCs w:val="21"/>
                    </w:rPr>
                    <w:t>一般固废</w:t>
                  </w:r>
                </w:p>
              </w:tc>
            </w:tr>
            <w:tr w14:paraId="39BAD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2C2B4173">
                  <w:pPr>
                    <w:jc w:val="center"/>
                    <w:rPr>
                      <w:color w:val="auto"/>
                      <w:sz w:val="21"/>
                      <w:szCs w:val="21"/>
                    </w:rPr>
                  </w:pPr>
                </w:p>
              </w:tc>
              <w:tc>
                <w:tcPr>
                  <w:tcW w:w="1469" w:type="pct"/>
                  <w:noWrap w:val="0"/>
                  <w:vAlign w:val="center"/>
                </w:tcPr>
                <w:p w14:paraId="6119C6B5">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包装拆解</w:t>
                  </w:r>
                </w:p>
              </w:tc>
              <w:tc>
                <w:tcPr>
                  <w:tcW w:w="1635" w:type="pct"/>
                  <w:noWrap w:val="0"/>
                  <w:vAlign w:val="center"/>
                </w:tcPr>
                <w:p w14:paraId="1D0F695E">
                  <w:pPr>
                    <w:jc w:val="center"/>
                    <w:rPr>
                      <w:rFonts w:hint="default"/>
                      <w:color w:val="auto"/>
                      <w:sz w:val="21"/>
                      <w:szCs w:val="21"/>
                      <w:lang w:val="en-US" w:eastAsia="zh-CN"/>
                    </w:rPr>
                  </w:pPr>
                  <w:r>
                    <w:rPr>
                      <w:rFonts w:hint="eastAsia"/>
                      <w:color w:val="auto"/>
                      <w:sz w:val="21"/>
                      <w:szCs w:val="21"/>
                      <w:lang w:val="en-US" w:eastAsia="zh-CN"/>
                    </w:rPr>
                    <w:t>纯水废瓶</w:t>
                  </w:r>
                </w:p>
              </w:tc>
              <w:tc>
                <w:tcPr>
                  <w:tcW w:w="1237" w:type="pct"/>
                  <w:noWrap w:val="0"/>
                  <w:vAlign w:val="center"/>
                </w:tcPr>
                <w:p w14:paraId="66207402">
                  <w:pPr>
                    <w:jc w:val="center"/>
                    <w:rPr>
                      <w:rFonts w:hint="eastAsia"/>
                      <w:color w:val="auto"/>
                      <w:sz w:val="21"/>
                      <w:szCs w:val="21"/>
                    </w:rPr>
                  </w:pPr>
                  <w:r>
                    <w:rPr>
                      <w:rFonts w:hint="eastAsia"/>
                      <w:color w:val="auto"/>
                      <w:sz w:val="21"/>
                      <w:szCs w:val="21"/>
                    </w:rPr>
                    <w:t>一般固废</w:t>
                  </w:r>
                </w:p>
              </w:tc>
            </w:tr>
            <w:tr w14:paraId="70092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50348213">
                  <w:pPr>
                    <w:jc w:val="center"/>
                    <w:rPr>
                      <w:color w:val="auto"/>
                      <w:sz w:val="21"/>
                      <w:szCs w:val="21"/>
                    </w:rPr>
                  </w:pPr>
                </w:p>
              </w:tc>
              <w:tc>
                <w:tcPr>
                  <w:tcW w:w="1469" w:type="pct"/>
                  <w:noWrap w:val="0"/>
                  <w:vAlign w:val="center"/>
                </w:tcPr>
                <w:p w14:paraId="2F397564">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包装拆解</w:t>
                  </w:r>
                </w:p>
              </w:tc>
              <w:tc>
                <w:tcPr>
                  <w:tcW w:w="1635" w:type="pct"/>
                  <w:noWrap w:val="0"/>
                  <w:vAlign w:val="center"/>
                </w:tcPr>
                <w:p w14:paraId="1A696FD5">
                  <w:pPr>
                    <w:jc w:val="center"/>
                    <w:rPr>
                      <w:rFonts w:hint="default" w:eastAsia="宋体"/>
                      <w:color w:val="auto"/>
                      <w:sz w:val="21"/>
                      <w:szCs w:val="21"/>
                      <w:lang w:val="en-US" w:eastAsia="zh-CN"/>
                    </w:rPr>
                  </w:pPr>
                  <w:r>
                    <w:rPr>
                      <w:rFonts w:hint="default" w:eastAsia="宋体"/>
                      <w:color w:val="auto"/>
                      <w:sz w:val="21"/>
                      <w:szCs w:val="21"/>
                      <w:lang w:val="en-US" w:eastAsia="zh-CN"/>
                    </w:rPr>
                    <w:t>试剂</w:t>
                  </w:r>
                  <w:r>
                    <w:rPr>
                      <w:rFonts w:hint="eastAsia"/>
                      <w:color w:val="auto"/>
                      <w:sz w:val="21"/>
                      <w:szCs w:val="21"/>
                      <w:lang w:val="en-US" w:eastAsia="zh-CN"/>
                    </w:rPr>
                    <w:t>废瓶</w:t>
                  </w:r>
                </w:p>
              </w:tc>
              <w:tc>
                <w:tcPr>
                  <w:tcW w:w="1237" w:type="pct"/>
                  <w:noWrap w:val="0"/>
                  <w:vAlign w:val="center"/>
                </w:tcPr>
                <w:p w14:paraId="0287B14A">
                  <w:pPr>
                    <w:jc w:val="center"/>
                    <w:rPr>
                      <w:rFonts w:hint="eastAsia"/>
                      <w:color w:val="auto"/>
                      <w:sz w:val="21"/>
                      <w:szCs w:val="21"/>
                    </w:rPr>
                  </w:pPr>
                  <w:r>
                    <w:rPr>
                      <w:rFonts w:hint="eastAsia"/>
                      <w:color w:val="auto"/>
                      <w:sz w:val="21"/>
                      <w:szCs w:val="21"/>
                    </w:rPr>
                    <w:t>危险废物</w:t>
                  </w:r>
                </w:p>
              </w:tc>
            </w:tr>
            <w:tr w14:paraId="38C56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0858D77C">
                  <w:pPr>
                    <w:jc w:val="center"/>
                    <w:rPr>
                      <w:color w:val="auto"/>
                      <w:sz w:val="21"/>
                      <w:szCs w:val="21"/>
                    </w:rPr>
                  </w:pPr>
                </w:p>
              </w:tc>
              <w:tc>
                <w:tcPr>
                  <w:tcW w:w="1469" w:type="pct"/>
                  <w:noWrap w:val="0"/>
                  <w:vAlign w:val="center"/>
                </w:tcPr>
                <w:p w14:paraId="178E4D67">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地面清洗</w:t>
                  </w:r>
                </w:p>
              </w:tc>
              <w:tc>
                <w:tcPr>
                  <w:tcW w:w="1635" w:type="pct"/>
                  <w:noWrap w:val="0"/>
                  <w:vAlign w:val="center"/>
                </w:tcPr>
                <w:p w14:paraId="26DA11CE">
                  <w:pPr>
                    <w:jc w:val="center"/>
                    <w:rPr>
                      <w:rFonts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地面清洗废水废液</w:t>
                  </w:r>
                </w:p>
              </w:tc>
              <w:tc>
                <w:tcPr>
                  <w:tcW w:w="1237" w:type="pct"/>
                  <w:noWrap w:val="0"/>
                  <w:vAlign w:val="center"/>
                </w:tcPr>
                <w:p w14:paraId="3A623933">
                  <w:pPr>
                    <w:jc w:val="center"/>
                    <w:rPr>
                      <w:rFonts w:hint="eastAsia"/>
                      <w:color w:val="auto"/>
                      <w:sz w:val="21"/>
                      <w:szCs w:val="21"/>
                    </w:rPr>
                  </w:pPr>
                  <w:r>
                    <w:rPr>
                      <w:rFonts w:hint="eastAsia"/>
                      <w:color w:val="auto"/>
                      <w:sz w:val="21"/>
                      <w:szCs w:val="21"/>
                    </w:rPr>
                    <w:t>危险废物</w:t>
                  </w:r>
                </w:p>
              </w:tc>
            </w:tr>
            <w:tr w14:paraId="1E552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2C4B24AA">
                  <w:pPr>
                    <w:jc w:val="center"/>
                    <w:rPr>
                      <w:color w:val="auto"/>
                      <w:sz w:val="21"/>
                      <w:szCs w:val="21"/>
                    </w:rPr>
                  </w:pPr>
                </w:p>
              </w:tc>
              <w:tc>
                <w:tcPr>
                  <w:tcW w:w="1469" w:type="pct"/>
                  <w:noWrap w:val="0"/>
                  <w:vAlign w:val="center"/>
                </w:tcPr>
                <w:p w14:paraId="5EB2C5F0">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筛选</w:t>
                  </w:r>
                </w:p>
              </w:tc>
              <w:tc>
                <w:tcPr>
                  <w:tcW w:w="1635" w:type="pct"/>
                  <w:noWrap w:val="0"/>
                  <w:vAlign w:val="center"/>
                </w:tcPr>
                <w:p w14:paraId="675B5317">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废渣（S1）</w:t>
                  </w:r>
                </w:p>
              </w:tc>
              <w:tc>
                <w:tcPr>
                  <w:tcW w:w="1237" w:type="pct"/>
                  <w:noWrap w:val="0"/>
                  <w:vAlign w:val="center"/>
                </w:tcPr>
                <w:p w14:paraId="12AA7502">
                  <w:pPr>
                    <w:jc w:val="center"/>
                    <w:rPr>
                      <w:rFonts w:hint="eastAsia"/>
                      <w:color w:val="auto"/>
                      <w:sz w:val="21"/>
                      <w:szCs w:val="21"/>
                    </w:rPr>
                  </w:pPr>
                  <w:r>
                    <w:rPr>
                      <w:rFonts w:hint="eastAsia"/>
                      <w:color w:val="auto"/>
                      <w:sz w:val="21"/>
                      <w:szCs w:val="21"/>
                    </w:rPr>
                    <w:t>危险废物</w:t>
                  </w:r>
                </w:p>
              </w:tc>
            </w:tr>
            <w:tr w14:paraId="6E0CD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0FD68D0D">
                  <w:pPr>
                    <w:jc w:val="center"/>
                    <w:rPr>
                      <w:color w:val="auto"/>
                      <w:sz w:val="21"/>
                      <w:szCs w:val="21"/>
                    </w:rPr>
                  </w:pPr>
                </w:p>
              </w:tc>
              <w:tc>
                <w:tcPr>
                  <w:tcW w:w="1469" w:type="pct"/>
                  <w:noWrap w:val="0"/>
                  <w:vAlign w:val="center"/>
                </w:tcPr>
                <w:p w14:paraId="4632478D">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离心</w:t>
                  </w:r>
                </w:p>
              </w:tc>
              <w:tc>
                <w:tcPr>
                  <w:tcW w:w="1635" w:type="pct"/>
                  <w:noWrap w:val="0"/>
                  <w:vAlign w:val="center"/>
                </w:tcPr>
                <w:p w14:paraId="72C36A4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离心浊液（S2）</w:t>
                  </w:r>
                </w:p>
              </w:tc>
              <w:tc>
                <w:tcPr>
                  <w:tcW w:w="1237" w:type="pct"/>
                  <w:noWrap w:val="0"/>
                  <w:vAlign w:val="center"/>
                </w:tcPr>
                <w:p w14:paraId="1E3F0DB2">
                  <w:pPr>
                    <w:jc w:val="center"/>
                    <w:rPr>
                      <w:color w:val="auto"/>
                      <w:sz w:val="21"/>
                      <w:szCs w:val="21"/>
                    </w:rPr>
                  </w:pPr>
                  <w:bookmarkStart w:id="56" w:name="OLE_LINK8"/>
                  <w:r>
                    <w:rPr>
                      <w:rFonts w:hint="eastAsia"/>
                      <w:color w:val="auto"/>
                      <w:sz w:val="21"/>
                      <w:szCs w:val="21"/>
                    </w:rPr>
                    <w:t>危险废物</w:t>
                  </w:r>
                  <w:bookmarkEnd w:id="56"/>
                </w:p>
              </w:tc>
            </w:tr>
            <w:tr w14:paraId="42C0C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127EC8DE">
                  <w:pPr>
                    <w:jc w:val="center"/>
                    <w:rPr>
                      <w:color w:val="auto"/>
                      <w:sz w:val="21"/>
                      <w:szCs w:val="21"/>
                    </w:rPr>
                  </w:pPr>
                </w:p>
              </w:tc>
              <w:tc>
                <w:tcPr>
                  <w:tcW w:w="1469" w:type="pct"/>
                  <w:noWrap w:val="0"/>
                  <w:vAlign w:val="center"/>
                </w:tcPr>
                <w:p w14:paraId="25D8F840">
                  <w:pPr>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种子培养</w:t>
                  </w:r>
                </w:p>
              </w:tc>
              <w:tc>
                <w:tcPr>
                  <w:tcW w:w="1635" w:type="pct"/>
                  <w:noWrap w:val="0"/>
                  <w:vAlign w:val="center"/>
                </w:tcPr>
                <w:p w14:paraId="570B7A33">
                  <w:pPr>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种子培养废液（S3）</w:t>
                  </w:r>
                </w:p>
              </w:tc>
              <w:tc>
                <w:tcPr>
                  <w:tcW w:w="1237" w:type="pct"/>
                  <w:noWrap w:val="0"/>
                  <w:vAlign w:val="center"/>
                </w:tcPr>
                <w:p w14:paraId="50FC1467">
                  <w:pPr>
                    <w:jc w:val="center"/>
                    <w:rPr>
                      <w:rFonts w:hint="eastAsia"/>
                      <w:color w:val="auto"/>
                      <w:sz w:val="21"/>
                      <w:szCs w:val="21"/>
                    </w:rPr>
                  </w:pPr>
                  <w:bookmarkStart w:id="57" w:name="OLE_LINK12"/>
                  <w:r>
                    <w:rPr>
                      <w:rFonts w:hint="eastAsia"/>
                      <w:color w:val="auto"/>
                      <w:sz w:val="21"/>
                      <w:szCs w:val="21"/>
                    </w:rPr>
                    <w:t>危险废物</w:t>
                  </w:r>
                  <w:bookmarkEnd w:id="57"/>
                </w:p>
              </w:tc>
            </w:tr>
            <w:tr w14:paraId="51A27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6860B8F6">
                  <w:pPr>
                    <w:jc w:val="center"/>
                    <w:rPr>
                      <w:color w:val="auto"/>
                      <w:sz w:val="21"/>
                      <w:szCs w:val="21"/>
                    </w:rPr>
                  </w:pPr>
                </w:p>
              </w:tc>
              <w:tc>
                <w:tcPr>
                  <w:tcW w:w="1469" w:type="pct"/>
                  <w:noWrap w:val="0"/>
                  <w:vAlign w:val="center"/>
                </w:tcPr>
                <w:p w14:paraId="28A46B5B">
                  <w:pPr>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测pH和OD值、不合格菌种、合格菌种</w:t>
                  </w:r>
                </w:p>
              </w:tc>
              <w:tc>
                <w:tcPr>
                  <w:tcW w:w="1635" w:type="pct"/>
                  <w:noWrap w:val="0"/>
                  <w:vAlign w:val="center"/>
                </w:tcPr>
                <w:p w14:paraId="6CA6AE76">
                  <w:pPr>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废液（S4、S5）</w:t>
                  </w:r>
                </w:p>
              </w:tc>
              <w:tc>
                <w:tcPr>
                  <w:tcW w:w="1237" w:type="pct"/>
                  <w:noWrap w:val="0"/>
                  <w:vAlign w:val="center"/>
                </w:tcPr>
                <w:p w14:paraId="04C6D8AB">
                  <w:pPr>
                    <w:jc w:val="center"/>
                    <w:rPr>
                      <w:rFonts w:hint="eastAsia"/>
                      <w:color w:val="auto"/>
                      <w:sz w:val="21"/>
                      <w:szCs w:val="21"/>
                    </w:rPr>
                  </w:pPr>
                  <w:r>
                    <w:rPr>
                      <w:rFonts w:hint="eastAsia"/>
                      <w:color w:val="auto"/>
                      <w:sz w:val="21"/>
                      <w:szCs w:val="21"/>
                    </w:rPr>
                    <w:t>危险废物</w:t>
                  </w:r>
                </w:p>
              </w:tc>
            </w:tr>
            <w:tr w14:paraId="3700B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58538646">
                  <w:pPr>
                    <w:jc w:val="center"/>
                    <w:rPr>
                      <w:color w:val="auto"/>
                      <w:sz w:val="21"/>
                      <w:szCs w:val="21"/>
                    </w:rPr>
                  </w:pPr>
                </w:p>
              </w:tc>
              <w:tc>
                <w:tcPr>
                  <w:tcW w:w="1469" w:type="pct"/>
                  <w:noWrap w:val="0"/>
                  <w:vAlign w:val="center"/>
                </w:tcPr>
                <w:p w14:paraId="1DAD6DC9">
                  <w:pPr>
                    <w:widowControl/>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设备清洗</w:t>
                  </w:r>
                </w:p>
              </w:tc>
              <w:tc>
                <w:tcPr>
                  <w:tcW w:w="1635" w:type="pct"/>
                  <w:noWrap w:val="0"/>
                  <w:vAlign w:val="center"/>
                </w:tcPr>
                <w:p w14:paraId="19E56D2A">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设备容器清洗废液</w:t>
                  </w:r>
                </w:p>
              </w:tc>
              <w:tc>
                <w:tcPr>
                  <w:tcW w:w="1237" w:type="pct"/>
                  <w:noWrap w:val="0"/>
                  <w:vAlign w:val="center"/>
                </w:tcPr>
                <w:p w14:paraId="3D3A1F8C">
                  <w:pPr>
                    <w:jc w:val="center"/>
                    <w:rPr>
                      <w:color w:val="auto"/>
                      <w:sz w:val="21"/>
                      <w:szCs w:val="21"/>
                    </w:rPr>
                  </w:pPr>
                  <w:r>
                    <w:rPr>
                      <w:rFonts w:hint="eastAsia"/>
                      <w:color w:val="auto"/>
                      <w:sz w:val="21"/>
                      <w:szCs w:val="21"/>
                    </w:rPr>
                    <w:t>危险废物</w:t>
                  </w:r>
                </w:p>
              </w:tc>
            </w:tr>
            <w:tr w14:paraId="34B54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noWrap w:val="0"/>
                  <w:vAlign w:val="center"/>
                </w:tcPr>
                <w:p w14:paraId="30C37305">
                  <w:pPr>
                    <w:jc w:val="center"/>
                    <w:rPr>
                      <w:color w:val="auto"/>
                      <w:sz w:val="21"/>
                      <w:szCs w:val="21"/>
                    </w:rPr>
                  </w:pPr>
                </w:p>
              </w:tc>
              <w:tc>
                <w:tcPr>
                  <w:tcW w:w="1469" w:type="pct"/>
                  <w:noWrap w:val="0"/>
                  <w:vAlign w:val="center"/>
                </w:tcPr>
                <w:p w14:paraId="6E2CF8F6">
                  <w:pPr>
                    <w:widowControl/>
                    <w:jc w:val="center"/>
                    <w:rPr>
                      <w:color w:val="auto"/>
                      <w:kern w:val="0"/>
                      <w:sz w:val="21"/>
                      <w:szCs w:val="21"/>
                    </w:rPr>
                  </w:pPr>
                  <w:r>
                    <w:rPr>
                      <w:color w:val="auto"/>
                      <w:kern w:val="0"/>
                      <w:sz w:val="21"/>
                      <w:szCs w:val="21"/>
                    </w:rPr>
                    <w:t>员工生活</w:t>
                  </w:r>
                </w:p>
              </w:tc>
              <w:tc>
                <w:tcPr>
                  <w:tcW w:w="1635" w:type="pct"/>
                  <w:noWrap w:val="0"/>
                  <w:vAlign w:val="center"/>
                </w:tcPr>
                <w:p w14:paraId="65D64B60">
                  <w:pPr>
                    <w:jc w:val="center"/>
                    <w:rPr>
                      <w:color w:val="auto"/>
                      <w:sz w:val="21"/>
                      <w:szCs w:val="21"/>
                    </w:rPr>
                  </w:pPr>
                  <w:r>
                    <w:rPr>
                      <w:color w:val="auto"/>
                      <w:sz w:val="21"/>
                      <w:szCs w:val="21"/>
                    </w:rPr>
                    <w:t>生活垃圾</w:t>
                  </w:r>
                </w:p>
              </w:tc>
              <w:tc>
                <w:tcPr>
                  <w:tcW w:w="1237" w:type="pct"/>
                  <w:noWrap w:val="0"/>
                  <w:vAlign w:val="center"/>
                </w:tcPr>
                <w:p w14:paraId="5FA77DFF">
                  <w:pPr>
                    <w:jc w:val="center"/>
                    <w:rPr>
                      <w:rFonts w:hint="eastAsia"/>
                      <w:color w:val="auto"/>
                      <w:sz w:val="21"/>
                      <w:szCs w:val="21"/>
                    </w:rPr>
                  </w:pPr>
                  <w:r>
                    <w:rPr>
                      <w:rFonts w:hint="eastAsia"/>
                      <w:color w:val="auto"/>
                      <w:sz w:val="21"/>
                      <w:szCs w:val="21"/>
                    </w:rPr>
                    <w:t>/</w:t>
                  </w:r>
                </w:p>
              </w:tc>
            </w:tr>
          </w:tbl>
          <w:p w14:paraId="0A2138C3">
            <w:pPr>
              <w:pStyle w:val="83"/>
              <w:tabs>
                <w:tab w:val="left" w:pos="2121"/>
              </w:tabs>
              <w:spacing w:line="360" w:lineRule="auto"/>
              <w:rPr>
                <w:rFonts w:hint="default" w:cs="Times New Roman"/>
                <w:bCs/>
                <w:color w:val="auto"/>
                <w:sz w:val="24"/>
                <w:lang w:val="en-US" w:eastAsia="zh-CN" w:bidi="ar-SA"/>
              </w:rPr>
            </w:pPr>
          </w:p>
        </w:tc>
      </w:tr>
      <w:tr w14:paraId="5ABBF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2" w:hRule="atLeast"/>
          <w:jc w:val="center"/>
        </w:trPr>
        <w:tc>
          <w:tcPr>
            <w:tcW w:w="605" w:type="dxa"/>
            <w:noWrap w:val="0"/>
            <w:vAlign w:val="center"/>
          </w:tcPr>
          <w:p w14:paraId="5B60324E">
            <w:pPr>
              <w:jc w:val="center"/>
              <w:rPr>
                <w:rFonts w:ascii="Times New Roman" w:hAnsi="Times New Roman"/>
                <w:color w:val="auto"/>
                <w:sz w:val="21"/>
                <w:szCs w:val="21"/>
                <w:lang w:val="en-US" w:eastAsia="zh-CN"/>
              </w:rPr>
            </w:pPr>
            <w:r>
              <w:rPr>
                <w:rFonts w:hint="default" w:ascii="Times New Roman" w:hAnsi="Times New Roman" w:eastAsia="宋体" w:cs="Times New Roman"/>
                <w:b w:val="0"/>
                <w:bCs/>
                <w:color w:val="auto"/>
                <w:sz w:val="24"/>
              </w:rPr>
              <w:t>与项目有关的原有环境污染问题</w:t>
            </w:r>
          </w:p>
        </w:tc>
        <w:tc>
          <w:tcPr>
            <w:tcW w:w="8455" w:type="dxa"/>
            <w:noWrap w:val="0"/>
            <w:vAlign w:val="top"/>
          </w:tcPr>
          <w:p w14:paraId="39AFE82B">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一、本项目有关的原有污染情况及主要环境问题</w:t>
            </w:r>
          </w:p>
          <w:p w14:paraId="3BBF598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博帝生物技术（常州）</w:t>
            </w:r>
            <w:r>
              <w:rPr>
                <w:rFonts w:hint="eastAsia" w:ascii="Times New Roman" w:hAnsi="Times New Roman" w:eastAsia="宋体" w:cs="Times New Roman"/>
                <w:color w:val="auto"/>
                <w:sz w:val="24"/>
                <w:lang w:eastAsia="zh-CN"/>
              </w:rPr>
              <w:t>有限公司</w:t>
            </w:r>
            <w:r>
              <w:rPr>
                <w:rFonts w:hint="default" w:ascii="Times New Roman" w:hAnsi="Times New Roman" w:eastAsia="宋体" w:cs="Times New Roman"/>
                <w:color w:val="auto"/>
                <w:sz w:val="24"/>
              </w:rPr>
              <w:t>于202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4月</w:t>
            </w:r>
            <w:r>
              <w:rPr>
                <w:rFonts w:hint="default" w:ascii="Times New Roman" w:hAnsi="Times New Roman" w:eastAsia="宋体" w:cs="Times New Roman"/>
                <w:color w:val="auto"/>
                <w:sz w:val="24"/>
                <w:lang w:eastAsia="zh-CN"/>
              </w:rPr>
              <w:t>租用位于蓝色彩虹(常州)孵化器有限公司</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蓝色彩虹(常州)孵化器有限公司</w:t>
            </w:r>
            <w:r>
              <w:rPr>
                <w:rFonts w:hint="eastAsia" w:ascii="Times New Roman" w:hAnsi="Times New Roman" w:eastAsia="宋体" w:cs="Times New Roman"/>
                <w:color w:val="auto"/>
                <w:sz w:val="24"/>
                <w:lang w:val="en-US" w:eastAsia="zh-CN"/>
              </w:rPr>
              <w:t>租用江苏金坛经济开发区管理委员会厂房</w:t>
            </w:r>
            <w:r>
              <w:rPr>
                <w:rFonts w:hint="default" w:ascii="Times New Roman" w:hAnsi="Times New Roman" w:eastAsia="宋体" w:cs="Times New Roman"/>
                <w:color w:val="auto"/>
                <w:sz w:val="24"/>
              </w:rPr>
              <w:t>，因此不存在原有污染源和遗留环境问题</w:t>
            </w:r>
            <w:r>
              <w:rPr>
                <w:rFonts w:hint="default" w:ascii="Times New Roman" w:hAnsi="Times New Roman" w:eastAsia="宋体" w:cs="Times New Roman"/>
                <w:color w:val="auto"/>
                <w:sz w:val="24"/>
                <w:lang w:val="en-US" w:eastAsia="zh-CN"/>
              </w:rPr>
              <w:t>。</w:t>
            </w:r>
          </w:p>
          <w:p w14:paraId="04926A61">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二、本项目与</w:t>
            </w:r>
            <w:r>
              <w:rPr>
                <w:rFonts w:hint="default" w:ascii="Times New Roman" w:hAnsi="Times New Roman" w:eastAsia="宋体" w:cs="Times New Roman"/>
                <w:b/>
                <w:color w:val="auto"/>
                <w:sz w:val="24"/>
                <w:lang w:eastAsia="zh-CN"/>
              </w:rPr>
              <w:t>蓝色彩虹(常州)孵化器有限公司</w:t>
            </w:r>
            <w:r>
              <w:rPr>
                <w:rFonts w:hint="default" w:ascii="Times New Roman" w:hAnsi="Times New Roman" w:eastAsia="宋体" w:cs="Times New Roman"/>
                <w:b/>
                <w:color w:val="auto"/>
                <w:sz w:val="24"/>
              </w:rPr>
              <w:t>依托关系：</w:t>
            </w:r>
          </w:p>
          <w:p w14:paraId="73A2DF0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color w:val="000000" w:themeColor="text1"/>
                <w:sz w:val="24"/>
                <w:lang w:eastAsia="zh-CN"/>
                <w14:textFill>
                  <w14:solidFill>
                    <w14:schemeClr w14:val="tx1"/>
                  </w14:solidFill>
                </w14:textFill>
              </w:rPr>
              <w:t>本项目租用位于蓝色彩虹(常州)孵化器有限公司</w:t>
            </w:r>
            <w:r>
              <w:rPr>
                <w:rFonts w:hint="eastAsia" w:cs="Times New Roman"/>
                <w:color w:val="000000" w:themeColor="text1"/>
                <w:sz w:val="24"/>
                <w:lang w:val="en-US" w:eastAsia="zh-CN"/>
                <w14:textFill>
                  <w14:solidFill>
                    <w14:schemeClr w14:val="tx1"/>
                  </w14:solidFill>
                </w14:textFill>
              </w:rPr>
              <w:t>的空余厂房156</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可满足本项目生产所需</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蓝色彩虹(常州)孵化器有限公司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租用江苏金坛经济开发区管理委员会厂房</w:t>
            </w:r>
            <w:r>
              <w:rPr>
                <w:rFonts w:hint="eastAsia" w:cs="Times New Roman"/>
                <w:color w:val="000000" w:themeColor="text1"/>
                <w:sz w:val="24"/>
                <w:lang w:val="en-US" w:eastAsia="zh-CN"/>
                <w14:textFill>
                  <w14:solidFill>
                    <w14:schemeClr w14:val="tx1"/>
                  </w14:solidFill>
                </w14:textFill>
              </w:rPr>
              <w:t>9号楼（一层184</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，二层1413</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，一层被租用给常州新一产生命科技有限公司，其他区域为闲置厂房）</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目前房屋产权证正在办理中，</w:t>
            </w:r>
            <w:r>
              <w:rPr>
                <w:rFonts w:hint="default" w:ascii="Times New Roman" w:hAnsi="Times New Roman" w:eastAsia="宋体" w:cs="Times New Roman"/>
                <w:b w:val="0"/>
                <w:bCs/>
                <w:color w:val="auto"/>
                <w:sz w:val="24"/>
              </w:rPr>
              <w:t>厂区已按照“雨污分流”的原则进行建设。经与建设单位核实，本项目与其依托关系如下：</w:t>
            </w:r>
          </w:p>
          <w:p w14:paraId="63F275B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1、本项目废水依托厂区内现有污水管网和排污口接入区域污水管网，进</w:t>
            </w:r>
            <w:r>
              <w:rPr>
                <w:rFonts w:hint="eastAsia" w:cs="Times New Roman"/>
                <w:b w:val="0"/>
                <w:bCs/>
                <w:color w:val="000000" w:themeColor="text1"/>
                <w:sz w:val="24"/>
                <w:lang w:val="en-US" w:eastAsia="zh-CN"/>
                <w14:textFill>
                  <w14:solidFill>
                    <w14:schemeClr w14:val="tx1"/>
                  </w14:solidFill>
                </w14:textFill>
              </w:rPr>
              <w:t>入</w:t>
            </w:r>
            <w:r>
              <w:rPr>
                <w:rFonts w:hint="default" w:ascii="Times New Roman" w:hAnsi="Times New Roman" w:eastAsia="宋体" w:cs="Times New Roman"/>
                <w:b w:val="0"/>
                <w:bCs/>
                <w:color w:val="000000" w:themeColor="text1"/>
                <w:sz w:val="24"/>
                <w14:textFill>
                  <w14:solidFill>
                    <w14:schemeClr w14:val="tx1"/>
                  </w14:solidFill>
                </w14:textFill>
              </w:rPr>
              <w:t>常州金坛区第二污水处理有限公司处理。</w:t>
            </w:r>
          </w:p>
          <w:p w14:paraId="598F65B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博帝生物技术（常州）</w:t>
            </w:r>
            <w:r>
              <w:rPr>
                <w:rFonts w:hint="eastAsia" w:ascii="Times New Roman" w:hAnsi="Times New Roman" w:eastAsia="宋体" w:cs="Times New Roman"/>
                <w:color w:val="000000" w:themeColor="text1"/>
                <w:sz w:val="24"/>
                <w:lang w:eastAsia="zh-CN"/>
                <w14:textFill>
                  <w14:solidFill>
                    <w14:schemeClr w14:val="tx1"/>
                  </w14:solidFill>
                </w14:textFill>
              </w:rPr>
              <w:t>有限公司</w:t>
            </w:r>
            <w:r>
              <w:rPr>
                <w:rFonts w:hint="default" w:ascii="Times New Roman" w:hAnsi="Times New Roman" w:eastAsia="宋体" w:cs="Times New Roman"/>
                <w:b w:val="0"/>
                <w:bCs/>
                <w:color w:val="000000" w:themeColor="text1"/>
                <w:sz w:val="24"/>
                <w14:textFill>
                  <w14:solidFill>
                    <w14:schemeClr w14:val="tx1"/>
                  </w14:solidFill>
                </w14:textFill>
              </w:rPr>
              <w:t>应确保本项目仅排放员工的生活污水，严禁向排污口倾倒其他废水、废液等。</w:t>
            </w:r>
          </w:p>
          <w:p w14:paraId="517AE4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eastAsia" w:cs="Times New Roman"/>
                <w:b w:val="0"/>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14:textFill>
                  <w14:solidFill>
                    <w14:schemeClr w14:val="tx1"/>
                  </w14:solidFill>
                </w14:textFill>
              </w:rPr>
              <w:t>、本项目</w:t>
            </w:r>
            <w:r>
              <w:rPr>
                <w:rFonts w:hint="eastAsia" w:cs="Times New Roman"/>
                <w:b w:val="0"/>
                <w:bCs/>
                <w:color w:val="000000" w:themeColor="text1"/>
                <w:sz w:val="24"/>
                <w:lang w:val="en-US" w:eastAsia="zh-CN"/>
                <w14:textFill>
                  <w14:solidFill>
                    <w14:schemeClr w14:val="tx1"/>
                  </w14:solidFill>
                </w14:textFill>
              </w:rPr>
              <w:t>污水管、污水排口，</w:t>
            </w:r>
            <w:r>
              <w:rPr>
                <w:rFonts w:hint="default" w:ascii="Times New Roman" w:hAnsi="Times New Roman" w:eastAsia="宋体" w:cs="Times New Roman"/>
                <w:b w:val="0"/>
                <w:bCs/>
                <w:color w:val="000000" w:themeColor="text1"/>
                <w:sz w:val="24"/>
                <w14:textFill>
                  <w14:solidFill>
                    <w14:schemeClr w14:val="tx1"/>
                  </w14:solidFill>
                </w14:textFill>
              </w:rPr>
              <w:t>供水管网、供电管网、雨水管网及雨水排口等基础设施均依</w:t>
            </w:r>
            <w:r>
              <w:rPr>
                <w:rFonts w:hint="eastAsia" w:cs="Times New Roman"/>
                <w:b w:val="0"/>
                <w:bCs/>
                <w:color w:val="000000" w:themeColor="text1"/>
                <w:sz w:val="24"/>
                <w:lang w:val="en-US" w:eastAsia="zh-CN"/>
                <w14:textFill>
                  <w14:solidFill>
                    <w14:schemeClr w14:val="tx1"/>
                  </w14:solidFill>
                </w14:textFill>
              </w:rPr>
              <w:t>托江苏金坛经济开发区管理委员会进行管理</w:t>
            </w:r>
            <w:r>
              <w:rPr>
                <w:rFonts w:hint="default" w:ascii="Times New Roman" w:hAnsi="Times New Roman" w:eastAsia="宋体" w:cs="Times New Roman"/>
                <w:b w:val="0"/>
                <w:bCs/>
                <w:color w:val="000000" w:themeColor="text1"/>
                <w:sz w:val="24"/>
                <w14:textFill>
                  <w14:solidFill>
                    <w14:schemeClr w14:val="tx1"/>
                  </w14:solidFill>
                </w14:textFill>
              </w:rPr>
              <w:t>。</w:t>
            </w:r>
          </w:p>
          <w:p w14:paraId="43AFB082">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三</w:t>
            </w:r>
            <w:r>
              <w:rPr>
                <w:rFonts w:hint="default" w:ascii="Times New Roman" w:hAnsi="Times New Roman" w:eastAsia="宋体" w:cs="Times New Roman"/>
                <w:b/>
                <w:color w:val="auto"/>
                <w:sz w:val="24"/>
              </w:rPr>
              <w:t>、责任主体</w:t>
            </w:r>
          </w:p>
          <w:p w14:paraId="1C66745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蓝色彩虹(常州)孵化器有限公司</w:t>
            </w:r>
            <w:r>
              <w:rPr>
                <w:rFonts w:hint="default" w:ascii="Times New Roman" w:hAnsi="Times New Roman" w:eastAsia="宋体" w:cs="Times New Roman"/>
                <w:b w:val="0"/>
                <w:bCs/>
                <w:color w:val="000000" w:themeColor="text1"/>
                <w:sz w:val="24"/>
                <w14:textFill>
                  <w14:solidFill>
                    <w14:schemeClr w14:val="tx1"/>
                  </w14:solidFill>
                </w14:textFill>
              </w:rPr>
              <w:t>应加强管理，确保厂区内</w:t>
            </w:r>
            <w:r>
              <w:rPr>
                <w:rFonts w:hint="eastAsia" w:cs="Times New Roman"/>
                <w:b w:val="0"/>
                <w:bCs/>
                <w:color w:val="000000" w:themeColor="text1"/>
                <w:sz w:val="24"/>
                <w:lang w:val="en-US" w:eastAsia="zh-CN"/>
                <w14:textFill>
                  <w14:solidFill>
                    <w14:schemeClr w14:val="tx1"/>
                  </w14:solidFill>
                </w14:textFill>
              </w:rPr>
              <w:t>生活污水</w:t>
            </w:r>
            <w:r>
              <w:rPr>
                <w:rFonts w:hint="default" w:ascii="Times New Roman" w:hAnsi="Times New Roman" w:eastAsia="宋体" w:cs="Times New Roman"/>
                <w:b w:val="0"/>
                <w:bCs/>
                <w:color w:val="000000" w:themeColor="text1"/>
                <w:sz w:val="24"/>
                <w14:textFill>
                  <w14:solidFill>
                    <w14:schemeClr w14:val="tx1"/>
                  </w14:solidFill>
                </w14:textFill>
              </w:rPr>
              <w:t>总排污口各因子可达常州金坛区第二污水处理有限公司接管标准要求。若厂区接管口的采样井出现超标排放，由</w:t>
            </w:r>
            <w:r>
              <w:rPr>
                <w:rFonts w:hint="eastAsia" w:cs="Times New Roman"/>
                <w:b w:val="0"/>
                <w:bCs/>
                <w:color w:val="000000" w:themeColor="text1"/>
                <w:sz w:val="24"/>
                <w:lang w:val="en-US" w:eastAsia="zh-CN"/>
                <w14:textFill>
                  <w14:solidFill>
                    <w14:schemeClr w14:val="tx1"/>
                  </w14:solidFill>
                </w14:textFill>
              </w:rPr>
              <w:t>江苏金坛经济开发区管理委员会</w:t>
            </w:r>
            <w:r>
              <w:rPr>
                <w:rFonts w:hint="default" w:ascii="Times New Roman" w:hAnsi="Times New Roman" w:eastAsia="宋体" w:cs="Times New Roman"/>
                <w:b w:val="0"/>
                <w:bCs/>
                <w:color w:val="000000" w:themeColor="text1"/>
                <w:sz w:val="24"/>
                <w14:textFill>
                  <w14:solidFill>
                    <w14:schemeClr w14:val="tx1"/>
                  </w14:solidFill>
                </w14:textFill>
              </w:rPr>
              <w:t>承担相关责任。若</w:t>
            </w:r>
            <w:r>
              <w:rPr>
                <w:rFonts w:hint="eastAsia" w:ascii="Times New Roman" w:hAnsi="Times New Roman" w:eastAsia="宋体" w:cs="Times New Roman"/>
                <w:color w:val="000000" w:themeColor="text1"/>
                <w:sz w:val="24"/>
                <w:lang w:val="en-US" w:eastAsia="zh-CN"/>
                <w14:textFill>
                  <w14:solidFill>
                    <w14:schemeClr w14:val="tx1"/>
                  </w14:solidFill>
                </w14:textFill>
              </w:rPr>
              <w:t>博帝生物技术（常州）</w:t>
            </w:r>
            <w:r>
              <w:rPr>
                <w:rFonts w:hint="eastAsia" w:ascii="Times New Roman" w:hAnsi="Times New Roman" w:eastAsia="宋体" w:cs="Times New Roman"/>
                <w:color w:val="000000" w:themeColor="text1"/>
                <w:sz w:val="24"/>
                <w:lang w:eastAsia="zh-CN"/>
                <w14:textFill>
                  <w14:solidFill>
                    <w14:schemeClr w14:val="tx1"/>
                  </w14:solidFill>
                </w14:textFill>
              </w:rPr>
              <w:t>有限公司</w:t>
            </w:r>
            <w:r>
              <w:rPr>
                <w:rFonts w:hint="eastAsia" w:cs="Times New Roman"/>
                <w:color w:val="000000" w:themeColor="text1"/>
                <w:sz w:val="24"/>
                <w:lang w:val="en-US" w:eastAsia="zh-CN"/>
                <w14:textFill>
                  <w14:solidFill>
                    <w14:schemeClr w14:val="tx1"/>
                  </w14:solidFill>
                </w14:textFill>
              </w:rPr>
              <w:t>产生的</w:t>
            </w:r>
            <w:r>
              <w:rPr>
                <w:rFonts w:hint="default" w:ascii="Times New Roman" w:hAnsi="Times New Roman" w:eastAsia="宋体" w:cs="Times New Roman"/>
                <w:b w:val="0"/>
                <w:bCs/>
                <w:color w:val="000000" w:themeColor="text1"/>
                <w:sz w:val="24"/>
                <w14:textFill>
                  <w14:solidFill>
                    <w14:schemeClr w14:val="tx1"/>
                  </w14:solidFill>
                </w14:textFill>
              </w:rPr>
              <w:t>固废未按要求收集及处理</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等</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由</w:t>
            </w:r>
            <w:r>
              <w:rPr>
                <w:rFonts w:hint="eastAsia" w:ascii="Times New Roman" w:hAnsi="Times New Roman" w:eastAsia="宋体" w:cs="Times New Roman"/>
                <w:color w:val="000000" w:themeColor="text1"/>
                <w:sz w:val="24"/>
                <w:lang w:val="en-US" w:eastAsia="zh-CN"/>
                <w14:textFill>
                  <w14:solidFill>
                    <w14:schemeClr w14:val="tx1"/>
                  </w14:solidFill>
                </w14:textFill>
              </w:rPr>
              <w:t>博帝生物技术（常州）</w:t>
            </w:r>
            <w:r>
              <w:rPr>
                <w:rFonts w:hint="eastAsia" w:ascii="Times New Roman" w:hAnsi="Times New Roman" w:eastAsia="宋体" w:cs="Times New Roman"/>
                <w:color w:val="000000" w:themeColor="text1"/>
                <w:sz w:val="24"/>
                <w:lang w:eastAsia="zh-CN"/>
                <w14:textFill>
                  <w14:solidFill>
                    <w14:schemeClr w14:val="tx1"/>
                  </w14:solidFill>
                </w14:textFill>
              </w:rPr>
              <w:t>有限公司</w:t>
            </w:r>
            <w:r>
              <w:rPr>
                <w:rFonts w:hint="default" w:ascii="Times New Roman" w:hAnsi="Times New Roman" w:eastAsia="宋体" w:cs="Times New Roman"/>
                <w:b w:val="0"/>
                <w:bCs/>
                <w:color w:val="000000" w:themeColor="text1"/>
                <w:sz w:val="24"/>
                <w14:textFill>
                  <w14:solidFill>
                    <w14:schemeClr w14:val="tx1"/>
                  </w14:solidFill>
                </w14:textFill>
              </w:rPr>
              <w:t>承担相关责任。厂界噪声出现超标排放</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时，相关监管部门关停厂区其他厂并进行厂界噪声监测，若检测数据超标，由</w:t>
            </w:r>
            <w:r>
              <w:rPr>
                <w:rFonts w:hint="eastAsia" w:ascii="Times New Roman" w:hAnsi="Times New Roman" w:eastAsia="宋体" w:cs="Times New Roman"/>
                <w:color w:val="000000" w:themeColor="text1"/>
                <w:sz w:val="24"/>
                <w:lang w:val="en-US" w:eastAsia="zh-CN"/>
                <w14:textFill>
                  <w14:solidFill>
                    <w14:schemeClr w14:val="tx1"/>
                  </w14:solidFill>
                </w14:textFill>
              </w:rPr>
              <w:t>博帝生物技术（常州）</w:t>
            </w:r>
            <w:r>
              <w:rPr>
                <w:rFonts w:hint="eastAsia" w:ascii="Times New Roman" w:hAnsi="Times New Roman" w:eastAsia="宋体" w:cs="Times New Roman"/>
                <w:color w:val="000000" w:themeColor="text1"/>
                <w:sz w:val="24"/>
                <w:lang w:eastAsia="zh-CN"/>
                <w14:textFill>
                  <w14:solidFill>
                    <w14:schemeClr w14:val="tx1"/>
                  </w14:solidFill>
                </w14:textFill>
              </w:rPr>
              <w:t>有限公司</w:t>
            </w:r>
            <w:r>
              <w:rPr>
                <w:rFonts w:hint="default" w:ascii="Times New Roman" w:hAnsi="Times New Roman" w:eastAsia="宋体" w:cs="Times New Roman"/>
                <w:b w:val="0"/>
                <w:bCs/>
                <w:color w:val="000000" w:themeColor="text1"/>
                <w:sz w:val="24"/>
                <w14:textFill>
                  <w14:solidFill>
                    <w14:schemeClr w14:val="tx1"/>
                  </w14:solidFill>
                </w14:textFill>
              </w:rPr>
              <w:t>承担相关责任</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p w14:paraId="30B5EA90">
            <w:pPr>
              <w:spacing w:line="360" w:lineRule="auto"/>
              <w:ind w:firstLine="482" w:firstLineChars="200"/>
              <w:rPr>
                <w:rFonts w:hint="default" w:ascii="Times New Roman" w:hAnsi="Times New Roman" w:eastAsia="宋体" w:cs="Times New Roman"/>
                <w:b/>
                <w:color w:val="auto"/>
                <w:sz w:val="24"/>
              </w:rPr>
            </w:pPr>
          </w:p>
          <w:p w14:paraId="589B1CAB">
            <w:pPr>
              <w:spacing w:line="360" w:lineRule="auto"/>
              <w:ind w:firstLine="482" w:firstLineChars="200"/>
              <w:rPr>
                <w:rFonts w:hint="default" w:ascii="Times New Roman" w:hAnsi="Times New Roman" w:eastAsia="宋体" w:cs="Times New Roman"/>
                <w:b/>
                <w:color w:val="auto"/>
                <w:sz w:val="24"/>
              </w:rPr>
            </w:pPr>
          </w:p>
          <w:p w14:paraId="16DA6CAB">
            <w:pPr>
              <w:spacing w:line="360" w:lineRule="auto"/>
              <w:ind w:firstLine="482" w:firstLineChars="200"/>
              <w:rPr>
                <w:rFonts w:hint="default" w:ascii="Times New Roman" w:hAnsi="Times New Roman" w:eastAsia="宋体" w:cs="Times New Roman"/>
                <w:b/>
                <w:color w:val="auto"/>
                <w:sz w:val="24"/>
              </w:rPr>
            </w:pPr>
          </w:p>
          <w:p w14:paraId="6EE62960">
            <w:pPr>
              <w:spacing w:line="360" w:lineRule="auto"/>
              <w:ind w:firstLine="482" w:firstLineChars="200"/>
              <w:rPr>
                <w:rFonts w:hint="default" w:ascii="Times New Roman" w:hAnsi="Times New Roman" w:eastAsia="宋体" w:cs="Times New Roman"/>
                <w:b/>
                <w:color w:val="auto"/>
                <w:sz w:val="24"/>
              </w:rPr>
            </w:pPr>
          </w:p>
          <w:p w14:paraId="0539326E">
            <w:pPr>
              <w:spacing w:line="360" w:lineRule="auto"/>
              <w:ind w:firstLine="480" w:firstLineChars="200"/>
              <w:rPr>
                <w:rFonts w:hint="default" w:ascii="Times New Roman" w:hAnsi="Times New Roman" w:eastAsia="宋体" w:cs="Times New Roman"/>
                <w:color w:val="auto"/>
                <w:sz w:val="24"/>
              </w:rPr>
            </w:pPr>
          </w:p>
          <w:p w14:paraId="72F8A878">
            <w:pPr>
              <w:spacing w:line="360" w:lineRule="auto"/>
              <w:ind w:firstLine="480" w:firstLineChars="200"/>
              <w:rPr>
                <w:rFonts w:hint="default" w:ascii="Times New Roman" w:hAnsi="Times New Roman" w:eastAsia="宋体" w:cs="Times New Roman"/>
                <w:color w:val="auto"/>
                <w:sz w:val="24"/>
              </w:rPr>
            </w:pPr>
          </w:p>
          <w:p w14:paraId="524B586F">
            <w:pPr>
              <w:spacing w:line="360" w:lineRule="auto"/>
              <w:ind w:firstLine="480" w:firstLineChars="200"/>
              <w:rPr>
                <w:rFonts w:hint="default" w:ascii="Times New Roman" w:hAnsi="Times New Roman" w:eastAsia="宋体" w:cs="Times New Roman"/>
                <w:color w:val="auto"/>
                <w:sz w:val="24"/>
              </w:rPr>
            </w:pPr>
          </w:p>
          <w:p w14:paraId="789A0DDA">
            <w:pPr>
              <w:spacing w:line="360" w:lineRule="auto"/>
              <w:ind w:firstLine="480" w:firstLineChars="200"/>
              <w:rPr>
                <w:rFonts w:hint="default" w:ascii="Times New Roman" w:hAnsi="Times New Roman" w:eastAsia="宋体" w:cs="Times New Roman"/>
                <w:color w:val="auto"/>
                <w:sz w:val="24"/>
              </w:rPr>
            </w:pPr>
          </w:p>
          <w:p w14:paraId="4BE434EC">
            <w:pPr>
              <w:spacing w:line="360" w:lineRule="auto"/>
              <w:ind w:firstLine="480" w:firstLineChars="200"/>
              <w:rPr>
                <w:rFonts w:hint="default" w:ascii="Times New Roman" w:hAnsi="Times New Roman" w:eastAsia="宋体" w:cs="Times New Roman"/>
                <w:color w:val="auto"/>
                <w:sz w:val="24"/>
              </w:rPr>
            </w:pPr>
          </w:p>
          <w:p w14:paraId="61952DBB">
            <w:pPr>
              <w:spacing w:line="360" w:lineRule="auto"/>
              <w:rPr>
                <w:rFonts w:hint="default" w:cs="Times New Roman"/>
                <w:bCs/>
                <w:color w:val="auto"/>
                <w:sz w:val="24"/>
                <w:lang w:val="en-US" w:eastAsia="zh-CN" w:bidi="ar-SA"/>
              </w:rPr>
            </w:pPr>
          </w:p>
        </w:tc>
      </w:tr>
    </w:tbl>
    <w:p w14:paraId="4EC5382A">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D49CB88">
      <w:pPr>
        <w:pStyle w:val="18"/>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2"/>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3"/>
        <w:gridCol w:w="8478"/>
      </w:tblGrid>
      <w:tr w14:paraId="52B13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3" w:type="dxa"/>
            <w:tcBorders>
              <w:top w:val="single" w:color="auto" w:sz="4" w:space="0"/>
              <w:left w:val="single" w:color="auto" w:sz="4" w:space="0"/>
            </w:tcBorders>
            <w:noWrap w:val="0"/>
            <w:vAlign w:val="center"/>
          </w:tcPr>
          <w:p w14:paraId="21F63A38">
            <w:pPr>
              <w:adjustRightInd w:val="0"/>
              <w:snapToGrid w:val="0"/>
              <w:jc w:val="center"/>
              <w:rPr>
                <w:color w:val="auto"/>
                <w:kern w:val="0"/>
                <w:sz w:val="24"/>
                <w:szCs w:val="24"/>
              </w:rPr>
            </w:pPr>
            <w:r>
              <w:rPr>
                <w:color w:val="auto"/>
                <w:kern w:val="0"/>
                <w:sz w:val="24"/>
                <w:szCs w:val="24"/>
              </w:rPr>
              <w:t>区域</w:t>
            </w:r>
          </w:p>
          <w:p w14:paraId="448EDCC0">
            <w:pPr>
              <w:adjustRightInd w:val="0"/>
              <w:snapToGrid w:val="0"/>
              <w:jc w:val="center"/>
              <w:rPr>
                <w:color w:val="auto"/>
                <w:kern w:val="0"/>
                <w:sz w:val="24"/>
                <w:szCs w:val="24"/>
              </w:rPr>
            </w:pPr>
            <w:r>
              <w:rPr>
                <w:color w:val="auto"/>
                <w:kern w:val="0"/>
                <w:sz w:val="24"/>
                <w:szCs w:val="24"/>
              </w:rPr>
              <w:t>环境</w:t>
            </w:r>
          </w:p>
          <w:p w14:paraId="08F4D604">
            <w:pPr>
              <w:adjustRightInd w:val="0"/>
              <w:snapToGrid w:val="0"/>
              <w:jc w:val="center"/>
              <w:rPr>
                <w:color w:val="auto"/>
                <w:kern w:val="0"/>
                <w:sz w:val="24"/>
                <w:szCs w:val="24"/>
              </w:rPr>
            </w:pPr>
            <w:r>
              <w:rPr>
                <w:color w:val="auto"/>
                <w:kern w:val="0"/>
                <w:sz w:val="24"/>
                <w:szCs w:val="24"/>
              </w:rPr>
              <w:t>质量</w:t>
            </w:r>
          </w:p>
          <w:p w14:paraId="5F50A642">
            <w:pPr>
              <w:adjustRightInd w:val="0"/>
              <w:snapToGrid w:val="0"/>
              <w:jc w:val="center"/>
              <w:rPr>
                <w:color w:val="auto"/>
                <w:kern w:val="0"/>
                <w:sz w:val="24"/>
                <w:szCs w:val="24"/>
              </w:rPr>
            </w:pPr>
            <w:r>
              <w:rPr>
                <w:color w:val="auto"/>
                <w:kern w:val="0"/>
                <w:sz w:val="24"/>
                <w:szCs w:val="24"/>
              </w:rPr>
              <w:t>现状</w:t>
            </w:r>
          </w:p>
        </w:tc>
        <w:tc>
          <w:tcPr>
            <w:tcW w:w="8478" w:type="dxa"/>
            <w:tcBorders>
              <w:top w:val="single" w:color="auto" w:sz="4" w:space="0"/>
              <w:right w:val="single" w:color="auto" w:sz="4" w:space="0"/>
            </w:tcBorders>
            <w:noWrap w:val="0"/>
            <w:vAlign w:val="center"/>
          </w:tcPr>
          <w:p w14:paraId="49DA3604">
            <w:pPr>
              <w:keepNext w:val="0"/>
              <w:keepLines w:val="0"/>
              <w:pageBreakBefore w:val="0"/>
              <w:widowControl w:val="0"/>
              <w:kinsoku/>
              <w:wordWrap/>
              <w:overflowPunct/>
              <w:topLinePunct w:val="0"/>
              <w:autoSpaceDE/>
              <w:autoSpaceDN/>
              <w:bidi w:val="0"/>
              <w:adjustRightInd w:val="0"/>
              <w:snapToGrid w:val="0"/>
              <w:spacing w:line="480" w:lineRule="exact"/>
              <w:textAlignment w:val="auto"/>
              <w:rPr>
                <w:color w:val="auto"/>
                <w:kern w:val="0"/>
                <w:sz w:val="24"/>
                <w:szCs w:val="24"/>
              </w:rPr>
            </w:pPr>
            <w:r>
              <w:rPr>
                <w:color w:val="auto"/>
                <w:kern w:val="0"/>
                <w:sz w:val="24"/>
                <w:szCs w:val="24"/>
              </w:rPr>
              <w:t>1、大气环境</w:t>
            </w:r>
          </w:p>
          <w:p w14:paraId="2DB2F71E">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color w:val="auto"/>
                <w:sz w:val="24"/>
                <w:szCs w:val="24"/>
              </w:rPr>
              <w:t>（1）区域达标判定</w:t>
            </w:r>
          </w:p>
          <w:p w14:paraId="4DC293A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color w:val="auto"/>
                <w:sz w:val="24"/>
                <w:szCs w:val="24"/>
              </w:rPr>
            </w:pPr>
            <w:r>
              <w:rPr>
                <w:rFonts w:hint="eastAsia"/>
                <w:color w:val="auto"/>
                <w:sz w:val="24"/>
                <w:szCs w:val="24"/>
              </w:rPr>
              <w:t>根据《环境影响评价技术导则大气环境》（HJ2.2-2018），项目所在区域达标情况判定优先采用国家或地方生态环境主管部门公开发布的环境质量报告或环境质量报告书中的数据或结论。</w:t>
            </w:r>
          </w:p>
          <w:p w14:paraId="4C1F576F">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color w:val="auto"/>
                <w:sz w:val="24"/>
                <w:szCs w:val="24"/>
              </w:rPr>
              <w:t>本次评价选取202</w:t>
            </w:r>
            <w:r>
              <w:rPr>
                <w:rFonts w:hint="eastAsia"/>
                <w:color w:val="auto"/>
                <w:sz w:val="24"/>
                <w:szCs w:val="24"/>
                <w:lang w:val="en-US" w:eastAsia="zh-CN"/>
              </w:rPr>
              <w:t>4</w:t>
            </w:r>
            <w:r>
              <w:rPr>
                <w:color w:val="auto"/>
                <w:sz w:val="24"/>
                <w:szCs w:val="24"/>
              </w:rPr>
              <w:t>年作为评价基准年，</w:t>
            </w:r>
            <w:r>
              <w:rPr>
                <w:rFonts w:hint="eastAsia"/>
                <w:color w:val="auto"/>
                <w:sz w:val="24"/>
                <w:szCs w:val="24"/>
              </w:rPr>
              <w:t>根据《202</w:t>
            </w:r>
            <w:r>
              <w:rPr>
                <w:rFonts w:hint="eastAsia"/>
                <w:color w:val="auto"/>
                <w:sz w:val="24"/>
                <w:szCs w:val="24"/>
                <w:lang w:val="en-US" w:eastAsia="zh-CN"/>
              </w:rPr>
              <w:t>4</w:t>
            </w:r>
            <w:r>
              <w:rPr>
                <w:rFonts w:hint="eastAsia"/>
                <w:color w:val="auto"/>
                <w:sz w:val="24"/>
                <w:szCs w:val="24"/>
              </w:rPr>
              <w:t>年常州市生态环境状况公报》，</w:t>
            </w:r>
            <w:r>
              <w:rPr>
                <w:color w:val="auto"/>
                <w:sz w:val="24"/>
                <w:szCs w:val="24"/>
              </w:rPr>
              <w:t>常州市区</w:t>
            </w:r>
            <w:r>
              <w:rPr>
                <w:rFonts w:hint="eastAsia"/>
                <w:color w:val="auto"/>
                <w:sz w:val="24"/>
                <w:szCs w:val="24"/>
              </w:rPr>
              <w:t>大气基本污染物环境质量现状</w:t>
            </w:r>
            <w:r>
              <w:rPr>
                <w:color w:val="auto"/>
                <w:sz w:val="24"/>
                <w:szCs w:val="24"/>
              </w:rPr>
              <w:t>见表3-</w:t>
            </w:r>
            <w:r>
              <w:rPr>
                <w:rFonts w:hint="eastAsia"/>
                <w:color w:val="auto"/>
                <w:sz w:val="24"/>
                <w:szCs w:val="24"/>
              </w:rPr>
              <w:t>1</w:t>
            </w:r>
            <w:r>
              <w:rPr>
                <w:color w:val="auto"/>
                <w:sz w:val="24"/>
                <w:szCs w:val="24"/>
              </w:rPr>
              <w:t>。</w:t>
            </w:r>
          </w:p>
          <w:p w14:paraId="5B2F9D84">
            <w:pPr>
              <w:spacing w:line="360" w:lineRule="exact"/>
              <w:jc w:val="center"/>
              <w:rPr>
                <w:b/>
                <w:color w:val="auto"/>
                <w:sz w:val="21"/>
                <w:szCs w:val="21"/>
              </w:rPr>
            </w:pPr>
            <w:r>
              <w:rPr>
                <w:b/>
                <w:color w:val="auto"/>
                <w:sz w:val="21"/>
                <w:szCs w:val="21"/>
              </w:rPr>
              <w:t>表3-</w:t>
            </w:r>
            <w:r>
              <w:rPr>
                <w:rFonts w:hint="eastAsia"/>
                <w:b/>
                <w:color w:val="auto"/>
                <w:sz w:val="21"/>
                <w:szCs w:val="21"/>
              </w:rPr>
              <w:t>1</w:t>
            </w:r>
            <w:r>
              <w:rPr>
                <w:b/>
                <w:color w:val="auto"/>
                <w:sz w:val="21"/>
                <w:szCs w:val="21"/>
              </w:rPr>
              <w:t xml:space="preserve"> 常州市区</w:t>
            </w:r>
            <w:r>
              <w:rPr>
                <w:rFonts w:hint="eastAsia"/>
                <w:b/>
                <w:color w:val="auto"/>
                <w:sz w:val="21"/>
                <w:szCs w:val="21"/>
              </w:rPr>
              <w:t>大气</w:t>
            </w:r>
            <w:r>
              <w:rPr>
                <w:b/>
                <w:color w:val="auto"/>
                <w:sz w:val="21"/>
                <w:szCs w:val="21"/>
              </w:rPr>
              <w:t>基本污染物环境质量现状</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551"/>
              <w:gridCol w:w="1985"/>
              <w:gridCol w:w="992"/>
              <w:gridCol w:w="851"/>
              <w:gridCol w:w="1033"/>
            </w:tblGrid>
            <w:tr w14:paraId="7D59A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noWrap/>
                  <w:vAlign w:val="center"/>
                </w:tcPr>
                <w:p w14:paraId="72073804">
                  <w:pPr>
                    <w:spacing w:line="320" w:lineRule="exact"/>
                    <w:jc w:val="center"/>
                    <w:rPr>
                      <w:b/>
                      <w:bCs/>
                      <w:color w:val="auto"/>
                      <w:sz w:val="21"/>
                      <w:szCs w:val="21"/>
                    </w:rPr>
                  </w:pPr>
                  <w:r>
                    <w:rPr>
                      <w:rFonts w:hint="eastAsia"/>
                      <w:b/>
                      <w:bCs/>
                      <w:color w:val="auto"/>
                      <w:sz w:val="21"/>
                      <w:szCs w:val="21"/>
                    </w:rPr>
                    <w:t>污染物</w:t>
                  </w:r>
                </w:p>
              </w:tc>
              <w:tc>
                <w:tcPr>
                  <w:tcW w:w="2551" w:type="dxa"/>
                  <w:noWrap/>
                  <w:vAlign w:val="center"/>
                </w:tcPr>
                <w:p w14:paraId="793A5C02">
                  <w:pPr>
                    <w:spacing w:line="320" w:lineRule="exact"/>
                    <w:jc w:val="center"/>
                    <w:rPr>
                      <w:b/>
                      <w:bCs/>
                      <w:color w:val="auto"/>
                      <w:sz w:val="21"/>
                      <w:szCs w:val="21"/>
                    </w:rPr>
                  </w:pPr>
                  <w:r>
                    <w:rPr>
                      <w:rFonts w:hint="eastAsia"/>
                      <w:b/>
                      <w:bCs/>
                      <w:color w:val="auto"/>
                      <w:sz w:val="21"/>
                      <w:szCs w:val="21"/>
                    </w:rPr>
                    <w:t>评价指标</w:t>
                  </w:r>
                </w:p>
              </w:tc>
              <w:tc>
                <w:tcPr>
                  <w:tcW w:w="1985" w:type="dxa"/>
                  <w:noWrap/>
                  <w:vAlign w:val="center"/>
                </w:tcPr>
                <w:p w14:paraId="4142E3A1">
                  <w:pPr>
                    <w:spacing w:line="320" w:lineRule="exact"/>
                    <w:jc w:val="center"/>
                    <w:rPr>
                      <w:b/>
                      <w:bCs/>
                      <w:color w:val="auto"/>
                      <w:sz w:val="21"/>
                      <w:szCs w:val="21"/>
                    </w:rPr>
                  </w:pPr>
                  <w:r>
                    <w:rPr>
                      <w:rFonts w:hint="eastAsia"/>
                      <w:b/>
                      <w:bCs/>
                      <w:color w:val="auto"/>
                      <w:sz w:val="21"/>
                      <w:szCs w:val="21"/>
                    </w:rPr>
                    <w:t>现状浓度</w:t>
                  </w:r>
                  <w:r>
                    <w:rPr>
                      <w:b/>
                      <w:bCs/>
                      <w:color w:val="auto"/>
                      <w:sz w:val="21"/>
                      <w:szCs w:val="21"/>
                    </w:rPr>
                    <w:t>/μg/m</w:t>
                  </w:r>
                  <w:r>
                    <w:rPr>
                      <w:b/>
                      <w:bCs/>
                      <w:color w:val="auto"/>
                      <w:sz w:val="21"/>
                      <w:szCs w:val="21"/>
                      <w:vertAlign w:val="superscript"/>
                    </w:rPr>
                    <w:t>3</w:t>
                  </w:r>
                </w:p>
              </w:tc>
              <w:tc>
                <w:tcPr>
                  <w:tcW w:w="992" w:type="dxa"/>
                  <w:noWrap/>
                  <w:vAlign w:val="center"/>
                </w:tcPr>
                <w:p w14:paraId="2FC7A5D9">
                  <w:pPr>
                    <w:spacing w:line="320" w:lineRule="exact"/>
                    <w:jc w:val="center"/>
                    <w:rPr>
                      <w:b/>
                      <w:bCs/>
                      <w:color w:val="auto"/>
                      <w:sz w:val="21"/>
                      <w:szCs w:val="21"/>
                    </w:rPr>
                  </w:pPr>
                  <w:r>
                    <w:rPr>
                      <w:rFonts w:hint="eastAsia"/>
                      <w:b/>
                      <w:bCs/>
                      <w:color w:val="auto"/>
                      <w:sz w:val="21"/>
                      <w:szCs w:val="21"/>
                    </w:rPr>
                    <w:t>标准值</w:t>
                  </w:r>
                  <w:r>
                    <w:rPr>
                      <w:b/>
                      <w:bCs/>
                      <w:color w:val="auto"/>
                      <w:sz w:val="21"/>
                      <w:szCs w:val="21"/>
                    </w:rPr>
                    <w:t>/μg/m</w:t>
                  </w:r>
                  <w:r>
                    <w:rPr>
                      <w:b/>
                      <w:bCs/>
                      <w:color w:val="auto"/>
                      <w:sz w:val="21"/>
                      <w:szCs w:val="21"/>
                      <w:vertAlign w:val="superscript"/>
                    </w:rPr>
                    <w:t>3</w:t>
                  </w:r>
                </w:p>
              </w:tc>
              <w:tc>
                <w:tcPr>
                  <w:tcW w:w="851" w:type="dxa"/>
                  <w:noWrap/>
                  <w:vAlign w:val="center"/>
                </w:tcPr>
                <w:p w14:paraId="24ECEEA5">
                  <w:pPr>
                    <w:spacing w:line="320" w:lineRule="exact"/>
                    <w:jc w:val="center"/>
                    <w:rPr>
                      <w:b/>
                      <w:bCs/>
                      <w:color w:val="auto"/>
                      <w:sz w:val="21"/>
                      <w:szCs w:val="21"/>
                    </w:rPr>
                  </w:pPr>
                  <w:r>
                    <w:rPr>
                      <w:rFonts w:hint="eastAsia"/>
                      <w:b/>
                      <w:bCs/>
                      <w:color w:val="auto"/>
                      <w:sz w:val="21"/>
                      <w:szCs w:val="21"/>
                    </w:rPr>
                    <w:t>达标率</w:t>
                  </w:r>
                </w:p>
                <w:p w14:paraId="32AD8D6A">
                  <w:pPr>
                    <w:spacing w:line="320" w:lineRule="exact"/>
                    <w:jc w:val="center"/>
                    <w:rPr>
                      <w:b/>
                      <w:bCs/>
                      <w:color w:val="auto"/>
                      <w:sz w:val="21"/>
                      <w:szCs w:val="21"/>
                    </w:rPr>
                  </w:pPr>
                  <w:r>
                    <w:rPr>
                      <w:rFonts w:hint="eastAsia"/>
                      <w:b/>
                      <w:bCs/>
                      <w:color w:val="auto"/>
                      <w:sz w:val="21"/>
                      <w:szCs w:val="21"/>
                    </w:rPr>
                    <w:t>%</w:t>
                  </w:r>
                </w:p>
              </w:tc>
              <w:tc>
                <w:tcPr>
                  <w:tcW w:w="1033" w:type="dxa"/>
                  <w:noWrap/>
                  <w:vAlign w:val="center"/>
                </w:tcPr>
                <w:p w14:paraId="08ED2EAC">
                  <w:pPr>
                    <w:spacing w:line="320" w:lineRule="exact"/>
                    <w:jc w:val="center"/>
                    <w:rPr>
                      <w:b/>
                      <w:bCs/>
                      <w:color w:val="auto"/>
                      <w:sz w:val="21"/>
                      <w:szCs w:val="21"/>
                    </w:rPr>
                  </w:pPr>
                  <w:r>
                    <w:rPr>
                      <w:rFonts w:hint="eastAsia"/>
                      <w:b/>
                      <w:bCs/>
                      <w:color w:val="auto"/>
                      <w:sz w:val="21"/>
                      <w:szCs w:val="21"/>
                    </w:rPr>
                    <w:t>达标</w:t>
                  </w:r>
                </w:p>
                <w:p w14:paraId="3EDAD265">
                  <w:pPr>
                    <w:spacing w:line="320" w:lineRule="exact"/>
                    <w:jc w:val="center"/>
                    <w:rPr>
                      <w:b/>
                      <w:bCs/>
                      <w:color w:val="auto"/>
                      <w:sz w:val="21"/>
                      <w:szCs w:val="21"/>
                    </w:rPr>
                  </w:pPr>
                  <w:r>
                    <w:rPr>
                      <w:rFonts w:hint="eastAsia"/>
                      <w:b/>
                      <w:bCs/>
                      <w:color w:val="auto"/>
                      <w:sz w:val="21"/>
                      <w:szCs w:val="21"/>
                    </w:rPr>
                    <w:t>情况</w:t>
                  </w:r>
                </w:p>
              </w:tc>
            </w:tr>
            <w:tr w14:paraId="38351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ign w:val="center"/>
                </w:tcPr>
                <w:p w14:paraId="50674350">
                  <w:pPr>
                    <w:spacing w:line="320" w:lineRule="exact"/>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2551" w:type="dxa"/>
                  <w:noWrap/>
                  <w:vAlign w:val="center"/>
                </w:tcPr>
                <w:p w14:paraId="10904E7D">
                  <w:pPr>
                    <w:spacing w:line="320" w:lineRule="exact"/>
                    <w:jc w:val="center"/>
                    <w:rPr>
                      <w:color w:val="auto"/>
                      <w:sz w:val="21"/>
                      <w:szCs w:val="21"/>
                    </w:rPr>
                  </w:pPr>
                  <w:r>
                    <w:rPr>
                      <w:rFonts w:hint="eastAsia"/>
                      <w:color w:val="auto"/>
                      <w:sz w:val="21"/>
                      <w:szCs w:val="21"/>
                    </w:rPr>
                    <w:t>年平均质量浓度</w:t>
                  </w:r>
                </w:p>
              </w:tc>
              <w:tc>
                <w:tcPr>
                  <w:tcW w:w="1985" w:type="dxa"/>
                  <w:noWrap/>
                  <w:vAlign w:val="center"/>
                </w:tcPr>
                <w:p w14:paraId="6D133692">
                  <w:pPr>
                    <w:spacing w:line="320" w:lineRule="exact"/>
                    <w:jc w:val="center"/>
                    <w:rPr>
                      <w:rFonts w:hint="eastAsia"/>
                      <w:color w:val="auto"/>
                      <w:sz w:val="21"/>
                      <w:szCs w:val="21"/>
                    </w:rPr>
                  </w:pPr>
                  <w:r>
                    <w:rPr>
                      <w:rFonts w:hint="eastAsia"/>
                      <w:color w:val="auto"/>
                      <w:sz w:val="21"/>
                      <w:szCs w:val="21"/>
                    </w:rPr>
                    <w:t>8</w:t>
                  </w:r>
                </w:p>
              </w:tc>
              <w:tc>
                <w:tcPr>
                  <w:tcW w:w="992" w:type="dxa"/>
                  <w:noWrap/>
                  <w:vAlign w:val="center"/>
                </w:tcPr>
                <w:p w14:paraId="6E2F41ED">
                  <w:pPr>
                    <w:spacing w:line="320" w:lineRule="exact"/>
                    <w:jc w:val="center"/>
                    <w:rPr>
                      <w:color w:val="auto"/>
                      <w:sz w:val="21"/>
                      <w:szCs w:val="21"/>
                    </w:rPr>
                  </w:pPr>
                  <w:r>
                    <w:rPr>
                      <w:rFonts w:hint="eastAsia"/>
                      <w:color w:val="auto"/>
                      <w:sz w:val="21"/>
                      <w:szCs w:val="21"/>
                    </w:rPr>
                    <w:t>60</w:t>
                  </w:r>
                </w:p>
              </w:tc>
              <w:tc>
                <w:tcPr>
                  <w:tcW w:w="851" w:type="dxa"/>
                  <w:noWrap/>
                  <w:vAlign w:val="center"/>
                </w:tcPr>
                <w:p w14:paraId="55C8EC80">
                  <w:pPr>
                    <w:spacing w:line="320" w:lineRule="exact"/>
                    <w:jc w:val="center"/>
                    <w:rPr>
                      <w:color w:val="auto"/>
                      <w:sz w:val="21"/>
                      <w:szCs w:val="21"/>
                    </w:rPr>
                  </w:pPr>
                  <w:r>
                    <w:rPr>
                      <w:rFonts w:hint="eastAsia"/>
                      <w:color w:val="auto"/>
                      <w:sz w:val="21"/>
                      <w:szCs w:val="21"/>
                    </w:rPr>
                    <w:t>100</w:t>
                  </w:r>
                </w:p>
              </w:tc>
              <w:tc>
                <w:tcPr>
                  <w:tcW w:w="1033" w:type="dxa"/>
                  <w:vMerge w:val="restart"/>
                  <w:noWrap/>
                  <w:vAlign w:val="center"/>
                </w:tcPr>
                <w:p w14:paraId="72CEA570">
                  <w:pPr>
                    <w:spacing w:line="320" w:lineRule="exact"/>
                    <w:jc w:val="center"/>
                    <w:rPr>
                      <w:color w:val="auto"/>
                      <w:sz w:val="21"/>
                      <w:szCs w:val="21"/>
                    </w:rPr>
                  </w:pPr>
                  <w:r>
                    <w:rPr>
                      <w:rFonts w:hint="eastAsia"/>
                      <w:color w:val="auto"/>
                      <w:sz w:val="21"/>
                      <w:szCs w:val="21"/>
                    </w:rPr>
                    <w:t>达标</w:t>
                  </w:r>
                </w:p>
              </w:tc>
            </w:tr>
            <w:tr w14:paraId="3CB53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ign w:val="center"/>
                </w:tcPr>
                <w:p w14:paraId="392F391B">
                  <w:pPr>
                    <w:spacing w:line="320" w:lineRule="exact"/>
                    <w:jc w:val="center"/>
                    <w:rPr>
                      <w:color w:val="auto"/>
                      <w:sz w:val="21"/>
                      <w:szCs w:val="21"/>
                    </w:rPr>
                  </w:pPr>
                </w:p>
              </w:tc>
              <w:tc>
                <w:tcPr>
                  <w:tcW w:w="2551" w:type="dxa"/>
                  <w:noWrap/>
                  <w:vAlign w:val="center"/>
                </w:tcPr>
                <w:p w14:paraId="797CEC42">
                  <w:pPr>
                    <w:spacing w:line="320" w:lineRule="exact"/>
                    <w:jc w:val="center"/>
                    <w:rPr>
                      <w:color w:val="auto"/>
                      <w:sz w:val="21"/>
                      <w:szCs w:val="21"/>
                    </w:rPr>
                  </w:pPr>
                  <w:r>
                    <w:rPr>
                      <w:rFonts w:hint="eastAsia"/>
                      <w:color w:val="auto"/>
                      <w:sz w:val="21"/>
                      <w:szCs w:val="21"/>
                    </w:rPr>
                    <w:t>日平均质量浓度</w:t>
                  </w:r>
                </w:p>
              </w:tc>
              <w:tc>
                <w:tcPr>
                  <w:tcW w:w="1985" w:type="dxa"/>
                  <w:noWrap/>
                  <w:vAlign w:val="center"/>
                </w:tcPr>
                <w:p w14:paraId="628608F9">
                  <w:pPr>
                    <w:spacing w:line="320" w:lineRule="exact"/>
                    <w:jc w:val="center"/>
                    <w:rPr>
                      <w:rFonts w:hint="default" w:eastAsia="宋体"/>
                      <w:color w:val="auto"/>
                      <w:sz w:val="21"/>
                      <w:szCs w:val="21"/>
                      <w:lang w:val="en-US" w:eastAsia="zh-CN"/>
                    </w:rPr>
                  </w:pPr>
                  <w:r>
                    <w:rPr>
                      <w:rFonts w:hint="eastAsia"/>
                      <w:color w:val="auto"/>
                      <w:sz w:val="21"/>
                      <w:szCs w:val="21"/>
                    </w:rPr>
                    <w:t>4~1</w:t>
                  </w:r>
                  <w:r>
                    <w:rPr>
                      <w:rFonts w:hint="eastAsia"/>
                      <w:color w:val="auto"/>
                      <w:sz w:val="21"/>
                      <w:szCs w:val="21"/>
                      <w:lang w:val="en-US" w:eastAsia="zh-CN"/>
                    </w:rPr>
                    <w:t>15</w:t>
                  </w:r>
                </w:p>
              </w:tc>
              <w:tc>
                <w:tcPr>
                  <w:tcW w:w="992" w:type="dxa"/>
                  <w:noWrap/>
                  <w:vAlign w:val="center"/>
                </w:tcPr>
                <w:p w14:paraId="68218508">
                  <w:pPr>
                    <w:spacing w:line="320" w:lineRule="exact"/>
                    <w:jc w:val="center"/>
                    <w:rPr>
                      <w:color w:val="auto"/>
                      <w:sz w:val="21"/>
                      <w:szCs w:val="21"/>
                    </w:rPr>
                  </w:pPr>
                  <w:r>
                    <w:rPr>
                      <w:rFonts w:hint="eastAsia"/>
                      <w:color w:val="auto"/>
                      <w:sz w:val="21"/>
                      <w:szCs w:val="21"/>
                    </w:rPr>
                    <w:t>150</w:t>
                  </w:r>
                </w:p>
              </w:tc>
              <w:tc>
                <w:tcPr>
                  <w:tcW w:w="851" w:type="dxa"/>
                  <w:noWrap/>
                  <w:vAlign w:val="center"/>
                </w:tcPr>
                <w:p w14:paraId="161D27D3">
                  <w:pPr>
                    <w:spacing w:line="320" w:lineRule="exact"/>
                    <w:jc w:val="center"/>
                    <w:rPr>
                      <w:color w:val="auto"/>
                      <w:sz w:val="21"/>
                      <w:szCs w:val="21"/>
                    </w:rPr>
                  </w:pPr>
                  <w:r>
                    <w:rPr>
                      <w:rFonts w:hint="eastAsia"/>
                      <w:color w:val="auto"/>
                      <w:sz w:val="21"/>
                      <w:szCs w:val="21"/>
                    </w:rPr>
                    <w:t>100</w:t>
                  </w:r>
                </w:p>
              </w:tc>
              <w:tc>
                <w:tcPr>
                  <w:tcW w:w="1033" w:type="dxa"/>
                  <w:vMerge w:val="continue"/>
                  <w:noWrap/>
                  <w:vAlign w:val="center"/>
                </w:tcPr>
                <w:p w14:paraId="336A437A">
                  <w:pPr>
                    <w:spacing w:line="320" w:lineRule="exact"/>
                    <w:jc w:val="center"/>
                    <w:rPr>
                      <w:color w:val="auto"/>
                      <w:sz w:val="21"/>
                      <w:szCs w:val="21"/>
                    </w:rPr>
                  </w:pPr>
                </w:p>
              </w:tc>
            </w:tr>
            <w:tr w14:paraId="6AC0C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ign w:val="center"/>
                </w:tcPr>
                <w:p w14:paraId="598384EB">
                  <w:pPr>
                    <w:spacing w:line="320" w:lineRule="exact"/>
                    <w:jc w:val="center"/>
                    <w:rPr>
                      <w:color w:val="auto"/>
                      <w:sz w:val="21"/>
                      <w:szCs w:val="21"/>
                    </w:rPr>
                  </w:pPr>
                  <w:r>
                    <w:rPr>
                      <w:rFonts w:hint="eastAsia"/>
                      <w:color w:val="auto"/>
                      <w:sz w:val="21"/>
                      <w:szCs w:val="21"/>
                    </w:rPr>
                    <w:t>NO</w:t>
                  </w:r>
                  <w:r>
                    <w:rPr>
                      <w:rFonts w:hint="eastAsia"/>
                      <w:color w:val="auto"/>
                      <w:sz w:val="21"/>
                      <w:szCs w:val="21"/>
                      <w:vertAlign w:val="subscript"/>
                    </w:rPr>
                    <w:t>2</w:t>
                  </w:r>
                </w:p>
              </w:tc>
              <w:tc>
                <w:tcPr>
                  <w:tcW w:w="2551" w:type="dxa"/>
                  <w:noWrap/>
                  <w:vAlign w:val="center"/>
                </w:tcPr>
                <w:p w14:paraId="09C62ECF">
                  <w:pPr>
                    <w:spacing w:line="320" w:lineRule="exact"/>
                    <w:jc w:val="center"/>
                    <w:rPr>
                      <w:color w:val="auto"/>
                      <w:sz w:val="21"/>
                      <w:szCs w:val="21"/>
                    </w:rPr>
                  </w:pPr>
                  <w:r>
                    <w:rPr>
                      <w:rFonts w:hint="eastAsia"/>
                      <w:color w:val="auto"/>
                      <w:sz w:val="21"/>
                      <w:szCs w:val="21"/>
                    </w:rPr>
                    <w:t>年平均质量浓度</w:t>
                  </w:r>
                </w:p>
              </w:tc>
              <w:tc>
                <w:tcPr>
                  <w:tcW w:w="1985" w:type="dxa"/>
                  <w:noWrap/>
                  <w:vAlign w:val="center"/>
                </w:tcPr>
                <w:p w14:paraId="4C5E579E">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26</w:t>
                  </w:r>
                </w:p>
              </w:tc>
              <w:tc>
                <w:tcPr>
                  <w:tcW w:w="992" w:type="dxa"/>
                  <w:noWrap/>
                  <w:vAlign w:val="center"/>
                </w:tcPr>
                <w:p w14:paraId="704D1BF6">
                  <w:pPr>
                    <w:spacing w:line="320" w:lineRule="exact"/>
                    <w:jc w:val="center"/>
                    <w:rPr>
                      <w:color w:val="auto"/>
                      <w:sz w:val="21"/>
                      <w:szCs w:val="21"/>
                    </w:rPr>
                  </w:pPr>
                  <w:r>
                    <w:rPr>
                      <w:rFonts w:hint="eastAsia"/>
                      <w:color w:val="auto"/>
                      <w:sz w:val="21"/>
                      <w:szCs w:val="21"/>
                    </w:rPr>
                    <w:t>40</w:t>
                  </w:r>
                </w:p>
              </w:tc>
              <w:tc>
                <w:tcPr>
                  <w:tcW w:w="851" w:type="dxa"/>
                  <w:noWrap/>
                  <w:vAlign w:val="center"/>
                </w:tcPr>
                <w:p w14:paraId="3F300A8E">
                  <w:pPr>
                    <w:spacing w:line="320" w:lineRule="exact"/>
                    <w:jc w:val="center"/>
                    <w:rPr>
                      <w:color w:val="auto"/>
                      <w:sz w:val="21"/>
                      <w:szCs w:val="21"/>
                    </w:rPr>
                  </w:pPr>
                  <w:r>
                    <w:rPr>
                      <w:rFonts w:hint="eastAsia"/>
                      <w:color w:val="auto"/>
                      <w:sz w:val="21"/>
                      <w:szCs w:val="21"/>
                    </w:rPr>
                    <w:t>100</w:t>
                  </w:r>
                </w:p>
              </w:tc>
              <w:tc>
                <w:tcPr>
                  <w:tcW w:w="1033" w:type="dxa"/>
                  <w:vMerge w:val="restart"/>
                  <w:noWrap/>
                  <w:vAlign w:val="center"/>
                </w:tcPr>
                <w:p w14:paraId="7A34C817">
                  <w:pPr>
                    <w:spacing w:line="320" w:lineRule="exact"/>
                    <w:jc w:val="center"/>
                    <w:rPr>
                      <w:color w:val="auto"/>
                      <w:sz w:val="21"/>
                      <w:szCs w:val="21"/>
                    </w:rPr>
                  </w:pPr>
                  <w:r>
                    <w:rPr>
                      <w:rFonts w:hint="eastAsia"/>
                      <w:color w:val="auto"/>
                      <w:sz w:val="21"/>
                      <w:szCs w:val="21"/>
                    </w:rPr>
                    <w:t>达标</w:t>
                  </w:r>
                </w:p>
              </w:tc>
            </w:tr>
            <w:tr w14:paraId="68532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1" w:type="dxa"/>
                  <w:vMerge w:val="continue"/>
                  <w:noWrap/>
                  <w:vAlign w:val="center"/>
                </w:tcPr>
                <w:p w14:paraId="5457F6A3">
                  <w:pPr>
                    <w:spacing w:line="320" w:lineRule="exact"/>
                    <w:jc w:val="center"/>
                    <w:rPr>
                      <w:color w:val="auto"/>
                      <w:sz w:val="21"/>
                      <w:szCs w:val="21"/>
                    </w:rPr>
                  </w:pPr>
                </w:p>
              </w:tc>
              <w:tc>
                <w:tcPr>
                  <w:tcW w:w="2551" w:type="dxa"/>
                  <w:noWrap/>
                  <w:vAlign w:val="center"/>
                </w:tcPr>
                <w:p w14:paraId="6C8FCAD2">
                  <w:pPr>
                    <w:spacing w:line="320" w:lineRule="exact"/>
                    <w:jc w:val="center"/>
                    <w:rPr>
                      <w:color w:val="auto"/>
                      <w:sz w:val="21"/>
                      <w:szCs w:val="21"/>
                    </w:rPr>
                  </w:pPr>
                  <w:r>
                    <w:rPr>
                      <w:rFonts w:hint="eastAsia"/>
                      <w:color w:val="auto"/>
                      <w:sz w:val="21"/>
                      <w:szCs w:val="21"/>
                    </w:rPr>
                    <w:t>日平均质量浓度</w:t>
                  </w:r>
                </w:p>
              </w:tc>
              <w:tc>
                <w:tcPr>
                  <w:tcW w:w="1985" w:type="dxa"/>
                  <w:noWrap/>
                  <w:vAlign w:val="center"/>
                </w:tcPr>
                <w:p w14:paraId="3AB19A94">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5</w:t>
                  </w:r>
                  <w:r>
                    <w:rPr>
                      <w:rFonts w:hint="eastAsia"/>
                      <w:color w:val="auto"/>
                      <w:sz w:val="21"/>
                      <w:szCs w:val="21"/>
                    </w:rPr>
                    <w:t>~</w:t>
                  </w:r>
                  <w:r>
                    <w:rPr>
                      <w:rFonts w:hint="eastAsia"/>
                      <w:color w:val="auto"/>
                      <w:sz w:val="21"/>
                      <w:szCs w:val="21"/>
                      <w:lang w:val="en-US" w:eastAsia="zh-CN"/>
                    </w:rPr>
                    <w:t>92</w:t>
                  </w:r>
                </w:p>
              </w:tc>
              <w:tc>
                <w:tcPr>
                  <w:tcW w:w="992" w:type="dxa"/>
                  <w:noWrap/>
                  <w:vAlign w:val="center"/>
                </w:tcPr>
                <w:p w14:paraId="7A67DE18">
                  <w:pPr>
                    <w:spacing w:line="320" w:lineRule="exact"/>
                    <w:jc w:val="center"/>
                    <w:rPr>
                      <w:color w:val="auto"/>
                      <w:sz w:val="21"/>
                      <w:szCs w:val="21"/>
                    </w:rPr>
                  </w:pPr>
                  <w:r>
                    <w:rPr>
                      <w:rFonts w:hint="eastAsia"/>
                      <w:color w:val="auto"/>
                      <w:sz w:val="21"/>
                      <w:szCs w:val="21"/>
                    </w:rPr>
                    <w:t>80</w:t>
                  </w:r>
                </w:p>
              </w:tc>
              <w:tc>
                <w:tcPr>
                  <w:tcW w:w="851" w:type="dxa"/>
                  <w:noWrap/>
                  <w:vAlign w:val="center"/>
                </w:tcPr>
                <w:p w14:paraId="5617EB88">
                  <w:pPr>
                    <w:spacing w:line="320" w:lineRule="exact"/>
                    <w:jc w:val="center"/>
                    <w:rPr>
                      <w:rFonts w:hint="default" w:eastAsia="宋体"/>
                      <w:color w:val="auto"/>
                      <w:sz w:val="21"/>
                      <w:szCs w:val="21"/>
                      <w:lang w:val="en-US" w:eastAsia="zh-CN"/>
                    </w:rPr>
                  </w:pPr>
                  <w:r>
                    <w:rPr>
                      <w:rFonts w:hint="eastAsia"/>
                      <w:color w:val="auto"/>
                      <w:sz w:val="21"/>
                      <w:szCs w:val="21"/>
                    </w:rPr>
                    <w:t>9</w:t>
                  </w:r>
                  <w:r>
                    <w:rPr>
                      <w:rFonts w:hint="eastAsia"/>
                      <w:color w:val="auto"/>
                      <w:sz w:val="21"/>
                      <w:szCs w:val="21"/>
                      <w:lang w:val="en-US" w:eastAsia="zh-CN"/>
                    </w:rPr>
                    <w:t>9.2</w:t>
                  </w:r>
                </w:p>
              </w:tc>
              <w:tc>
                <w:tcPr>
                  <w:tcW w:w="1033" w:type="dxa"/>
                  <w:vMerge w:val="continue"/>
                  <w:noWrap/>
                  <w:vAlign w:val="center"/>
                </w:tcPr>
                <w:p w14:paraId="3C018C75">
                  <w:pPr>
                    <w:spacing w:line="320" w:lineRule="exact"/>
                    <w:jc w:val="center"/>
                    <w:rPr>
                      <w:color w:val="auto"/>
                      <w:sz w:val="21"/>
                      <w:szCs w:val="21"/>
                    </w:rPr>
                  </w:pPr>
                </w:p>
              </w:tc>
            </w:tr>
            <w:tr w14:paraId="602A8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ign w:val="center"/>
                </w:tcPr>
                <w:p w14:paraId="428E3F05">
                  <w:pPr>
                    <w:spacing w:line="320" w:lineRule="exact"/>
                    <w:jc w:val="center"/>
                    <w:rPr>
                      <w:color w:val="auto"/>
                      <w:sz w:val="21"/>
                      <w:szCs w:val="21"/>
                    </w:rPr>
                  </w:pPr>
                  <w:r>
                    <w:rPr>
                      <w:rFonts w:hint="eastAsia"/>
                      <w:color w:val="auto"/>
                      <w:sz w:val="21"/>
                      <w:szCs w:val="21"/>
                    </w:rPr>
                    <w:t>CO</w:t>
                  </w:r>
                </w:p>
              </w:tc>
              <w:tc>
                <w:tcPr>
                  <w:tcW w:w="2551" w:type="dxa"/>
                  <w:vMerge w:val="restart"/>
                  <w:noWrap/>
                  <w:vAlign w:val="center"/>
                </w:tcPr>
                <w:p w14:paraId="71EC60C5">
                  <w:pPr>
                    <w:spacing w:line="320" w:lineRule="exact"/>
                    <w:jc w:val="center"/>
                    <w:rPr>
                      <w:color w:val="auto"/>
                      <w:sz w:val="21"/>
                      <w:szCs w:val="21"/>
                    </w:rPr>
                  </w:pPr>
                  <w:r>
                    <w:rPr>
                      <w:rFonts w:hint="eastAsia"/>
                      <w:color w:val="auto"/>
                      <w:sz w:val="21"/>
                      <w:szCs w:val="21"/>
                    </w:rPr>
                    <w:t>百分位数日平均质量浓度</w:t>
                  </w:r>
                </w:p>
              </w:tc>
              <w:tc>
                <w:tcPr>
                  <w:tcW w:w="1985" w:type="dxa"/>
                  <w:noWrap/>
                  <w:vAlign w:val="center"/>
                </w:tcPr>
                <w:p w14:paraId="1D3A0716">
                  <w:pPr>
                    <w:spacing w:line="320" w:lineRule="exact"/>
                    <w:jc w:val="center"/>
                    <w:rPr>
                      <w:color w:val="auto"/>
                      <w:sz w:val="21"/>
                      <w:szCs w:val="21"/>
                    </w:rPr>
                  </w:pPr>
                  <w:r>
                    <w:rPr>
                      <w:rFonts w:hint="eastAsia"/>
                      <w:color w:val="auto"/>
                      <w:sz w:val="21"/>
                      <w:szCs w:val="21"/>
                    </w:rPr>
                    <w:t>1100</w:t>
                  </w:r>
                </w:p>
                <w:p w14:paraId="07AB4A2F">
                  <w:pPr>
                    <w:spacing w:line="320" w:lineRule="exact"/>
                    <w:jc w:val="center"/>
                    <w:rPr>
                      <w:color w:val="auto"/>
                      <w:sz w:val="21"/>
                      <w:szCs w:val="21"/>
                    </w:rPr>
                  </w:pPr>
                  <w:r>
                    <w:rPr>
                      <w:rFonts w:hint="eastAsia"/>
                      <w:color w:val="auto"/>
                      <w:sz w:val="21"/>
                      <w:szCs w:val="21"/>
                    </w:rPr>
                    <w:t>（第95百分位数）</w:t>
                  </w:r>
                </w:p>
              </w:tc>
              <w:tc>
                <w:tcPr>
                  <w:tcW w:w="992" w:type="dxa"/>
                  <w:vMerge w:val="restart"/>
                  <w:noWrap/>
                  <w:vAlign w:val="center"/>
                </w:tcPr>
                <w:p w14:paraId="2BD5FDEB">
                  <w:pPr>
                    <w:spacing w:line="320" w:lineRule="exact"/>
                    <w:jc w:val="center"/>
                    <w:rPr>
                      <w:color w:val="auto"/>
                      <w:sz w:val="21"/>
                      <w:szCs w:val="21"/>
                    </w:rPr>
                  </w:pPr>
                  <w:r>
                    <w:rPr>
                      <w:rFonts w:hint="eastAsia"/>
                      <w:color w:val="auto"/>
                      <w:sz w:val="21"/>
                      <w:szCs w:val="21"/>
                    </w:rPr>
                    <w:t>4000</w:t>
                  </w:r>
                </w:p>
              </w:tc>
              <w:tc>
                <w:tcPr>
                  <w:tcW w:w="851" w:type="dxa"/>
                  <w:vMerge w:val="restart"/>
                  <w:noWrap/>
                  <w:vAlign w:val="center"/>
                </w:tcPr>
                <w:p w14:paraId="73932350">
                  <w:pPr>
                    <w:spacing w:line="320" w:lineRule="exact"/>
                    <w:jc w:val="center"/>
                    <w:rPr>
                      <w:color w:val="auto"/>
                      <w:sz w:val="21"/>
                      <w:szCs w:val="21"/>
                    </w:rPr>
                  </w:pPr>
                  <w:r>
                    <w:rPr>
                      <w:rFonts w:hint="eastAsia"/>
                      <w:color w:val="auto"/>
                      <w:sz w:val="21"/>
                      <w:szCs w:val="21"/>
                    </w:rPr>
                    <w:t>100</w:t>
                  </w:r>
                </w:p>
              </w:tc>
              <w:tc>
                <w:tcPr>
                  <w:tcW w:w="1033" w:type="dxa"/>
                  <w:vMerge w:val="restart"/>
                  <w:noWrap/>
                  <w:vAlign w:val="center"/>
                </w:tcPr>
                <w:p w14:paraId="5F274C23">
                  <w:pPr>
                    <w:spacing w:line="320" w:lineRule="exact"/>
                    <w:jc w:val="center"/>
                    <w:rPr>
                      <w:color w:val="auto"/>
                      <w:sz w:val="21"/>
                      <w:szCs w:val="21"/>
                    </w:rPr>
                  </w:pPr>
                  <w:r>
                    <w:rPr>
                      <w:rFonts w:hint="eastAsia"/>
                      <w:color w:val="auto"/>
                      <w:sz w:val="21"/>
                      <w:szCs w:val="21"/>
                    </w:rPr>
                    <w:t>达标</w:t>
                  </w:r>
                </w:p>
              </w:tc>
            </w:tr>
            <w:tr w14:paraId="3BC94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ign w:val="center"/>
                </w:tcPr>
                <w:p w14:paraId="54D1B8E7">
                  <w:pPr>
                    <w:spacing w:line="320" w:lineRule="exact"/>
                    <w:jc w:val="center"/>
                    <w:rPr>
                      <w:color w:val="auto"/>
                      <w:sz w:val="21"/>
                      <w:szCs w:val="21"/>
                    </w:rPr>
                  </w:pPr>
                </w:p>
              </w:tc>
              <w:tc>
                <w:tcPr>
                  <w:tcW w:w="2551" w:type="dxa"/>
                  <w:vMerge w:val="continue"/>
                  <w:noWrap/>
                  <w:vAlign w:val="center"/>
                </w:tcPr>
                <w:p w14:paraId="7C58C8D8">
                  <w:pPr>
                    <w:spacing w:line="320" w:lineRule="exact"/>
                    <w:jc w:val="center"/>
                    <w:rPr>
                      <w:color w:val="auto"/>
                      <w:sz w:val="21"/>
                      <w:szCs w:val="21"/>
                    </w:rPr>
                  </w:pPr>
                </w:p>
              </w:tc>
              <w:tc>
                <w:tcPr>
                  <w:tcW w:w="1985" w:type="dxa"/>
                  <w:noWrap/>
                  <w:vAlign w:val="center"/>
                </w:tcPr>
                <w:p w14:paraId="41E2179C">
                  <w:pPr>
                    <w:spacing w:line="320" w:lineRule="exact"/>
                    <w:jc w:val="center"/>
                    <w:rPr>
                      <w:color w:val="auto"/>
                      <w:sz w:val="21"/>
                      <w:szCs w:val="21"/>
                    </w:rPr>
                  </w:pPr>
                  <w:r>
                    <w:rPr>
                      <w:rFonts w:hint="eastAsia"/>
                      <w:color w:val="auto"/>
                      <w:sz w:val="21"/>
                      <w:szCs w:val="21"/>
                    </w:rPr>
                    <w:t>400~1500</w:t>
                  </w:r>
                </w:p>
              </w:tc>
              <w:tc>
                <w:tcPr>
                  <w:tcW w:w="992" w:type="dxa"/>
                  <w:vMerge w:val="continue"/>
                  <w:noWrap/>
                  <w:vAlign w:val="center"/>
                </w:tcPr>
                <w:p w14:paraId="4A5F54EF">
                  <w:pPr>
                    <w:spacing w:line="320" w:lineRule="exact"/>
                    <w:jc w:val="center"/>
                    <w:rPr>
                      <w:color w:val="auto"/>
                      <w:sz w:val="21"/>
                      <w:szCs w:val="21"/>
                    </w:rPr>
                  </w:pPr>
                </w:p>
              </w:tc>
              <w:tc>
                <w:tcPr>
                  <w:tcW w:w="851" w:type="dxa"/>
                  <w:vMerge w:val="continue"/>
                  <w:noWrap/>
                  <w:vAlign w:val="center"/>
                </w:tcPr>
                <w:p w14:paraId="43AC471C">
                  <w:pPr>
                    <w:spacing w:line="320" w:lineRule="exact"/>
                    <w:jc w:val="center"/>
                    <w:rPr>
                      <w:color w:val="auto"/>
                      <w:sz w:val="21"/>
                      <w:szCs w:val="21"/>
                    </w:rPr>
                  </w:pPr>
                </w:p>
              </w:tc>
              <w:tc>
                <w:tcPr>
                  <w:tcW w:w="1033" w:type="dxa"/>
                  <w:vMerge w:val="continue"/>
                  <w:noWrap/>
                  <w:vAlign w:val="center"/>
                </w:tcPr>
                <w:p w14:paraId="3BA03143">
                  <w:pPr>
                    <w:spacing w:line="320" w:lineRule="exact"/>
                    <w:jc w:val="center"/>
                    <w:rPr>
                      <w:color w:val="auto"/>
                      <w:sz w:val="21"/>
                      <w:szCs w:val="21"/>
                    </w:rPr>
                  </w:pPr>
                </w:p>
              </w:tc>
            </w:tr>
            <w:tr w14:paraId="4F0D7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ign w:val="center"/>
                </w:tcPr>
                <w:p w14:paraId="5E5A1D87">
                  <w:pPr>
                    <w:spacing w:line="320" w:lineRule="exact"/>
                    <w:jc w:val="center"/>
                    <w:rPr>
                      <w:color w:val="auto"/>
                      <w:sz w:val="21"/>
                      <w:szCs w:val="21"/>
                    </w:rPr>
                  </w:pPr>
                  <w:r>
                    <w:rPr>
                      <w:rFonts w:hint="eastAsia"/>
                      <w:color w:val="auto"/>
                      <w:sz w:val="21"/>
                      <w:szCs w:val="21"/>
                    </w:rPr>
                    <w:t>O</w:t>
                  </w:r>
                  <w:r>
                    <w:rPr>
                      <w:rFonts w:hint="eastAsia"/>
                      <w:color w:val="auto"/>
                      <w:sz w:val="21"/>
                      <w:szCs w:val="21"/>
                      <w:vertAlign w:val="subscript"/>
                    </w:rPr>
                    <w:t>3</w:t>
                  </w:r>
                </w:p>
              </w:tc>
              <w:tc>
                <w:tcPr>
                  <w:tcW w:w="2551" w:type="dxa"/>
                  <w:vMerge w:val="restart"/>
                  <w:noWrap/>
                  <w:vAlign w:val="center"/>
                </w:tcPr>
                <w:p w14:paraId="4C3C75C9">
                  <w:pPr>
                    <w:spacing w:line="320" w:lineRule="exact"/>
                    <w:jc w:val="center"/>
                    <w:rPr>
                      <w:color w:val="auto"/>
                      <w:spacing w:val="-6"/>
                      <w:sz w:val="21"/>
                      <w:szCs w:val="21"/>
                    </w:rPr>
                  </w:pPr>
                  <w:r>
                    <w:rPr>
                      <w:rFonts w:hint="eastAsia"/>
                      <w:color w:val="auto"/>
                      <w:spacing w:val="-6"/>
                      <w:sz w:val="21"/>
                      <w:szCs w:val="21"/>
                    </w:rPr>
                    <w:t>百分位数8h平均质量浓度</w:t>
                  </w:r>
                </w:p>
              </w:tc>
              <w:tc>
                <w:tcPr>
                  <w:tcW w:w="1985" w:type="dxa"/>
                  <w:noWrap/>
                  <w:vAlign w:val="center"/>
                </w:tcPr>
                <w:p w14:paraId="16C4B66D">
                  <w:pPr>
                    <w:spacing w:line="320" w:lineRule="exact"/>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68</w:t>
                  </w:r>
                </w:p>
                <w:p w14:paraId="19248FE3">
                  <w:pPr>
                    <w:spacing w:line="320" w:lineRule="exact"/>
                    <w:jc w:val="center"/>
                    <w:rPr>
                      <w:color w:val="auto"/>
                      <w:sz w:val="21"/>
                      <w:szCs w:val="21"/>
                    </w:rPr>
                  </w:pPr>
                  <w:r>
                    <w:rPr>
                      <w:rFonts w:hint="eastAsia"/>
                      <w:color w:val="auto"/>
                      <w:sz w:val="21"/>
                      <w:szCs w:val="21"/>
                    </w:rPr>
                    <w:t>（第90百分位数）</w:t>
                  </w:r>
                </w:p>
              </w:tc>
              <w:tc>
                <w:tcPr>
                  <w:tcW w:w="992" w:type="dxa"/>
                  <w:vMerge w:val="restart"/>
                  <w:noWrap/>
                  <w:vAlign w:val="center"/>
                </w:tcPr>
                <w:p w14:paraId="3E669F62">
                  <w:pPr>
                    <w:spacing w:line="320" w:lineRule="exact"/>
                    <w:jc w:val="center"/>
                    <w:rPr>
                      <w:color w:val="auto"/>
                      <w:sz w:val="21"/>
                      <w:szCs w:val="21"/>
                    </w:rPr>
                  </w:pPr>
                  <w:r>
                    <w:rPr>
                      <w:rFonts w:hint="eastAsia"/>
                      <w:color w:val="auto"/>
                      <w:sz w:val="21"/>
                      <w:szCs w:val="21"/>
                    </w:rPr>
                    <w:t>160</w:t>
                  </w:r>
                </w:p>
              </w:tc>
              <w:tc>
                <w:tcPr>
                  <w:tcW w:w="851" w:type="dxa"/>
                  <w:vMerge w:val="restart"/>
                  <w:noWrap/>
                  <w:vAlign w:val="center"/>
                </w:tcPr>
                <w:p w14:paraId="3E117310">
                  <w:pPr>
                    <w:spacing w:line="320" w:lineRule="exact"/>
                    <w:jc w:val="center"/>
                    <w:rPr>
                      <w:rFonts w:hint="eastAsia" w:eastAsia="宋体"/>
                      <w:color w:val="auto"/>
                      <w:sz w:val="21"/>
                      <w:szCs w:val="21"/>
                      <w:lang w:eastAsia="zh-CN"/>
                    </w:rPr>
                  </w:pPr>
                  <w:r>
                    <w:rPr>
                      <w:rFonts w:hint="eastAsia"/>
                      <w:color w:val="auto"/>
                      <w:sz w:val="21"/>
                      <w:szCs w:val="21"/>
                    </w:rPr>
                    <w:t>8</w:t>
                  </w:r>
                  <w:r>
                    <w:rPr>
                      <w:rFonts w:hint="eastAsia"/>
                      <w:color w:val="auto"/>
                      <w:sz w:val="21"/>
                      <w:szCs w:val="21"/>
                      <w:lang w:val="en-US" w:eastAsia="zh-CN"/>
                    </w:rPr>
                    <w:t>6</w:t>
                  </w:r>
                  <w:r>
                    <w:rPr>
                      <w:rFonts w:hint="eastAsia"/>
                      <w:color w:val="auto"/>
                      <w:sz w:val="21"/>
                      <w:szCs w:val="21"/>
                    </w:rPr>
                    <w:t>.</w:t>
                  </w:r>
                  <w:r>
                    <w:rPr>
                      <w:rFonts w:hint="eastAsia"/>
                      <w:color w:val="auto"/>
                      <w:sz w:val="21"/>
                      <w:szCs w:val="21"/>
                      <w:lang w:val="en-US" w:eastAsia="zh-CN"/>
                    </w:rPr>
                    <w:t>6</w:t>
                  </w:r>
                </w:p>
              </w:tc>
              <w:tc>
                <w:tcPr>
                  <w:tcW w:w="1033" w:type="dxa"/>
                  <w:vMerge w:val="restart"/>
                  <w:noWrap/>
                  <w:vAlign w:val="center"/>
                </w:tcPr>
                <w:p w14:paraId="6DB5B6BE">
                  <w:pPr>
                    <w:spacing w:line="320" w:lineRule="exact"/>
                    <w:jc w:val="center"/>
                    <w:rPr>
                      <w:color w:val="auto"/>
                      <w:sz w:val="21"/>
                      <w:szCs w:val="21"/>
                    </w:rPr>
                  </w:pPr>
                  <w:r>
                    <w:rPr>
                      <w:rFonts w:hint="eastAsia"/>
                      <w:color w:val="auto"/>
                      <w:sz w:val="21"/>
                      <w:szCs w:val="21"/>
                    </w:rPr>
                    <w:t>不达标</w:t>
                  </w:r>
                </w:p>
              </w:tc>
            </w:tr>
            <w:tr w14:paraId="60697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Merge w:val="continue"/>
                  <w:noWrap/>
                  <w:vAlign w:val="center"/>
                </w:tcPr>
                <w:p w14:paraId="3BF6858B">
                  <w:pPr>
                    <w:spacing w:line="320" w:lineRule="exact"/>
                    <w:jc w:val="center"/>
                    <w:rPr>
                      <w:rFonts w:hint="eastAsia"/>
                      <w:color w:val="auto"/>
                      <w:sz w:val="21"/>
                      <w:szCs w:val="21"/>
                    </w:rPr>
                  </w:pPr>
                </w:p>
              </w:tc>
              <w:tc>
                <w:tcPr>
                  <w:tcW w:w="2551" w:type="dxa"/>
                  <w:vMerge w:val="continue"/>
                  <w:noWrap/>
                  <w:vAlign w:val="center"/>
                </w:tcPr>
                <w:p w14:paraId="1476E29E">
                  <w:pPr>
                    <w:spacing w:line="320" w:lineRule="exact"/>
                    <w:jc w:val="center"/>
                    <w:rPr>
                      <w:rFonts w:hint="eastAsia"/>
                      <w:color w:val="auto"/>
                      <w:spacing w:val="-6"/>
                      <w:sz w:val="21"/>
                      <w:szCs w:val="21"/>
                    </w:rPr>
                  </w:pPr>
                </w:p>
              </w:tc>
              <w:tc>
                <w:tcPr>
                  <w:tcW w:w="1985" w:type="dxa"/>
                  <w:noWrap/>
                  <w:vAlign w:val="center"/>
                </w:tcPr>
                <w:p w14:paraId="68B3700F">
                  <w:pPr>
                    <w:spacing w:line="320" w:lineRule="exact"/>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7</w:t>
                  </w:r>
                  <w:r>
                    <w:rPr>
                      <w:rFonts w:hint="eastAsia"/>
                      <w:color w:val="auto"/>
                      <w:sz w:val="21"/>
                      <w:szCs w:val="21"/>
                    </w:rPr>
                    <w:t>~2</w:t>
                  </w:r>
                  <w:r>
                    <w:rPr>
                      <w:rFonts w:hint="eastAsia"/>
                      <w:color w:val="auto"/>
                      <w:sz w:val="21"/>
                      <w:szCs w:val="21"/>
                      <w:lang w:val="en-US" w:eastAsia="zh-CN"/>
                    </w:rPr>
                    <w:t>53</w:t>
                  </w:r>
                </w:p>
              </w:tc>
              <w:tc>
                <w:tcPr>
                  <w:tcW w:w="992" w:type="dxa"/>
                  <w:vMerge w:val="continue"/>
                  <w:noWrap/>
                  <w:vAlign w:val="center"/>
                </w:tcPr>
                <w:p w14:paraId="68D01AEA">
                  <w:pPr>
                    <w:spacing w:line="320" w:lineRule="exact"/>
                    <w:jc w:val="center"/>
                    <w:rPr>
                      <w:rFonts w:hint="eastAsia"/>
                      <w:color w:val="auto"/>
                      <w:sz w:val="21"/>
                      <w:szCs w:val="21"/>
                    </w:rPr>
                  </w:pPr>
                </w:p>
              </w:tc>
              <w:tc>
                <w:tcPr>
                  <w:tcW w:w="851" w:type="dxa"/>
                  <w:vMerge w:val="continue"/>
                  <w:noWrap/>
                  <w:vAlign w:val="center"/>
                </w:tcPr>
                <w:p w14:paraId="32E95AE6">
                  <w:pPr>
                    <w:spacing w:line="320" w:lineRule="exact"/>
                    <w:jc w:val="center"/>
                    <w:rPr>
                      <w:rFonts w:hint="eastAsia"/>
                      <w:color w:val="auto"/>
                      <w:sz w:val="21"/>
                      <w:szCs w:val="21"/>
                    </w:rPr>
                  </w:pPr>
                </w:p>
              </w:tc>
              <w:tc>
                <w:tcPr>
                  <w:tcW w:w="1033" w:type="dxa"/>
                  <w:vMerge w:val="continue"/>
                  <w:noWrap/>
                  <w:vAlign w:val="center"/>
                </w:tcPr>
                <w:p w14:paraId="5A995D9C">
                  <w:pPr>
                    <w:spacing w:line="320" w:lineRule="exact"/>
                    <w:jc w:val="center"/>
                    <w:rPr>
                      <w:rFonts w:hint="eastAsia"/>
                      <w:color w:val="auto"/>
                      <w:sz w:val="21"/>
                      <w:szCs w:val="21"/>
                    </w:rPr>
                  </w:pPr>
                </w:p>
              </w:tc>
            </w:tr>
            <w:tr w14:paraId="418D0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ign w:val="center"/>
                </w:tcPr>
                <w:p w14:paraId="27A3681B">
                  <w:pPr>
                    <w:spacing w:line="320" w:lineRule="exact"/>
                    <w:jc w:val="center"/>
                    <w:rPr>
                      <w:color w:val="auto"/>
                      <w:sz w:val="21"/>
                      <w:szCs w:val="21"/>
                    </w:rPr>
                  </w:pPr>
                  <w:r>
                    <w:rPr>
                      <w:rFonts w:hint="eastAsia"/>
                      <w:color w:val="auto"/>
                      <w:sz w:val="21"/>
                      <w:szCs w:val="21"/>
                    </w:rPr>
                    <w:t>PM</w:t>
                  </w:r>
                  <w:r>
                    <w:rPr>
                      <w:rFonts w:hint="eastAsia"/>
                      <w:color w:val="auto"/>
                      <w:sz w:val="21"/>
                      <w:szCs w:val="21"/>
                      <w:vertAlign w:val="subscript"/>
                    </w:rPr>
                    <w:t>10</w:t>
                  </w:r>
                </w:p>
              </w:tc>
              <w:tc>
                <w:tcPr>
                  <w:tcW w:w="2551" w:type="dxa"/>
                  <w:noWrap/>
                  <w:vAlign w:val="center"/>
                </w:tcPr>
                <w:p w14:paraId="3AA6082A">
                  <w:pPr>
                    <w:spacing w:line="320" w:lineRule="exact"/>
                    <w:jc w:val="center"/>
                    <w:rPr>
                      <w:color w:val="auto"/>
                      <w:sz w:val="21"/>
                      <w:szCs w:val="21"/>
                    </w:rPr>
                  </w:pPr>
                  <w:r>
                    <w:rPr>
                      <w:rFonts w:hint="eastAsia"/>
                      <w:color w:val="auto"/>
                      <w:sz w:val="21"/>
                      <w:szCs w:val="21"/>
                    </w:rPr>
                    <w:t>年平均质量浓度</w:t>
                  </w:r>
                </w:p>
              </w:tc>
              <w:tc>
                <w:tcPr>
                  <w:tcW w:w="1985" w:type="dxa"/>
                  <w:noWrap/>
                  <w:vAlign w:val="center"/>
                </w:tcPr>
                <w:p w14:paraId="1931F4A0">
                  <w:pPr>
                    <w:spacing w:line="320" w:lineRule="exact"/>
                    <w:jc w:val="center"/>
                    <w:rPr>
                      <w:rFonts w:hint="eastAsia" w:eastAsia="宋体"/>
                      <w:color w:val="auto"/>
                      <w:sz w:val="21"/>
                      <w:szCs w:val="21"/>
                      <w:lang w:eastAsia="zh-CN"/>
                    </w:rPr>
                  </w:pPr>
                  <w:r>
                    <w:rPr>
                      <w:rFonts w:hint="eastAsia"/>
                      <w:color w:val="auto"/>
                      <w:sz w:val="21"/>
                      <w:szCs w:val="21"/>
                    </w:rPr>
                    <w:t>5</w:t>
                  </w:r>
                  <w:r>
                    <w:rPr>
                      <w:rFonts w:hint="eastAsia"/>
                      <w:color w:val="auto"/>
                      <w:sz w:val="21"/>
                      <w:szCs w:val="21"/>
                      <w:lang w:val="en-US" w:eastAsia="zh-CN"/>
                    </w:rPr>
                    <w:t>2</w:t>
                  </w:r>
                </w:p>
              </w:tc>
              <w:tc>
                <w:tcPr>
                  <w:tcW w:w="992" w:type="dxa"/>
                  <w:noWrap/>
                  <w:vAlign w:val="center"/>
                </w:tcPr>
                <w:p w14:paraId="7D1E118C">
                  <w:pPr>
                    <w:spacing w:line="320" w:lineRule="exact"/>
                    <w:jc w:val="center"/>
                    <w:rPr>
                      <w:color w:val="auto"/>
                      <w:sz w:val="21"/>
                      <w:szCs w:val="21"/>
                    </w:rPr>
                  </w:pPr>
                  <w:r>
                    <w:rPr>
                      <w:rFonts w:hint="eastAsia"/>
                      <w:color w:val="auto"/>
                      <w:sz w:val="21"/>
                      <w:szCs w:val="21"/>
                    </w:rPr>
                    <w:t>70</w:t>
                  </w:r>
                </w:p>
              </w:tc>
              <w:tc>
                <w:tcPr>
                  <w:tcW w:w="851" w:type="dxa"/>
                  <w:noWrap/>
                  <w:vAlign w:val="center"/>
                </w:tcPr>
                <w:p w14:paraId="62C9E3D3">
                  <w:pPr>
                    <w:spacing w:line="320" w:lineRule="exact"/>
                    <w:jc w:val="center"/>
                    <w:rPr>
                      <w:color w:val="auto"/>
                      <w:sz w:val="21"/>
                      <w:szCs w:val="21"/>
                    </w:rPr>
                  </w:pPr>
                  <w:r>
                    <w:rPr>
                      <w:rFonts w:hint="eastAsia"/>
                      <w:color w:val="auto"/>
                      <w:sz w:val="21"/>
                      <w:szCs w:val="21"/>
                    </w:rPr>
                    <w:t>100</w:t>
                  </w:r>
                </w:p>
              </w:tc>
              <w:tc>
                <w:tcPr>
                  <w:tcW w:w="1033" w:type="dxa"/>
                  <w:vMerge w:val="restart"/>
                  <w:noWrap/>
                  <w:vAlign w:val="center"/>
                </w:tcPr>
                <w:p w14:paraId="66A09D09">
                  <w:pPr>
                    <w:spacing w:line="320" w:lineRule="exact"/>
                    <w:jc w:val="center"/>
                    <w:rPr>
                      <w:color w:val="auto"/>
                      <w:sz w:val="21"/>
                      <w:szCs w:val="21"/>
                    </w:rPr>
                  </w:pPr>
                  <w:r>
                    <w:rPr>
                      <w:rFonts w:hint="eastAsia"/>
                      <w:color w:val="auto"/>
                      <w:sz w:val="21"/>
                      <w:szCs w:val="21"/>
                    </w:rPr>
                    <w:t>达标</w:t>
                  </w:r>
                </w:p>
              </w:tc>
            </w:tr>
            <w:tr w14:paraId="1C8F5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ign w:val="center"/>
                </w:tcPr>
                <w:p w14:paraId="4B6F6930">
                  <w:pPr>
                    <w:spacing w:line="320" w:lineRule="exact"/>
                    <w:jc w:val="center"/>
                    <w:rPr>
                      <w:color w:val="auto"/>
                      <w:sz w:val="21"/>
                      <w:szCs w:val="21"/>
                    </w:rPr>
                  </w:pPr>
                </w:p>
              </w:tc>
              <w:tc>
                <w:tcPr>
                  <w:tcW w:w="2551" w:type="dxa"/>
                  <w:noWrap/>
                  <w:vAlign w:val="center"/>
                </w:tcPr>
                <w:p w14:paraId="2A85F99B">
                  <w:pPr>
                    <w:spacing w:line="320" w:lineRule="exact"/>
                    <w:jc w:val="center"/>
                    <w:rPr>
                      <w:color w:val="auto"/>
                      <w:sz w:val="21"/>
                      <w:szCs w:val="21"/>
                    </w:rPr>
                  </w:pPr>
                  <w:r>
                    <w:rPr>
                      <w:rFonts w:hint="eastAsia"/>
                      <w:color w:val="auto"/>
                      <w:sz w:val="21"/>
                      <w:szCs w:val="21"/>
                    </w:rPr>
                    <w:t>日平均质量浓度</w:t>
                  </w:r>
                </w:p>
              </w:tc>
              <w:tc>
                <w:tcPr>
                  <w:tcW w:w="1985" w:type="dxa"/>
                  <w:noWrap/>
                  <w:vAlign w:val="center"/>
                </w:tcPr>
                <w:p w14:paraId="43452F56">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9</w:t>
                  </w:r>
                  <w:r>
                    <w:rPr>
                      <w:rFonts w:hint="eastAsia"/>
                      <w:color w:val="auto"/>
                      <w:sz w:val="21"/>
                      <w:szCs w:val="21"/>
                    </w:rPr>
                    <w:t>~</w:t>
                  </w:r>
                  <w:r>
                    <w:rPr>
                      <w:rFonts w:hint="eastAsia"/>
                      <w:color w:val="auto"/>
                      <w:sz w:val="21"/>
                      <w:szCs w:val="21"/>
                      <w:lang w:val="en-US" w:eastAsia="zh-CN"/>
                    </w:rPr>
                    <w:t>206</w:t>
                  </w:r>
                </w:p>
              </w:tc>
              <w:tc>
                <w:tcPr>
                  <w:tcW w:w="992" w:type="dxa"/>
                  <w:noWrap/>
                  <w:vAlign w:val="center"/>
                </w:tcPr>
                <w:p w14:paraId="34565BCF">
                  <w:pPr>
                    <w:spacing w:line="320" w:lineRule="exact"/>
                    <w:jc w:val="center"/>
                    <w:rPr>
                      <w:color w:val="auto"/>
                      <w:sz w:val="21"/>
                      <w:szCs w:val="21"/>
                    </w:rPr>
                  </w:pPr>
                  <w:r>
                    <w:rPr>
                      <w:rFonts w:hint="eastAsia"/>
                      <w:color w:val="auto"/>
                      <w:sz w:val="21"/>
                      <w:szCs w:val="21"/>
                    </w:rPr>
                    <w:t>150</w:t>
                  </w:r>
                </w:p>
              </w:tc>
              <w:tc>
                <w:tcPr>
                  <w:tcW w:w="851" w:type="dxa"/>
                  <w:noWrap/>
                  <w:vAlign w:val="center"/>
                </w:tcPr>
                <w:p w14:paraId="53146341">
                  <w:pPr>
                    <w:spacing w:line="320" w:lineRule="exact"/>
                    <w:jc w:val="center"/>
                    <w:rPr>
                      <w:rFonts w:hint="eastAsia" w:eastAsia="宋体"/>
                      <w:color w:val="auto"/>
                      <w:sz w:val="21"/>
                      <w:szCs w:val="21"/>
                      <w:lang w:eastAsia="zh-CN"/>
                    </w:rPr>
                  </w:pPr>
                  <w:r>
                    <w:rPr>
                      <w:rFonts w:hint="eastAsia"/>
                      <w:color w:val="auto"/>
                      <w:sz w:val="21"/>
                      <w:szCs w:val="21"/>
                    </w:rPr>
                    <w:t>98.</w:t>
                  </w:r>
                  <w:r>
                    <w:rPr>
                      <w:rFonts w:hint="eastAsia"/>
                      <w:color w:val="auto"/>
                      <w:sz w:val="21"/>
                      <w:szCs w:val="21"/>
                      <w:lang w:val="en-US" w:eastAsia="zh-CN"/>
                    </w:rPr>
                    <w:t>3</w:t>
                  </w:r>
                </w:p>
              </w:tc>
              <w:tc>
                <w:tcPr>
                  <w:tcW w:w="1033" w:type="dxa"/>
                  <w:vMerge w:val="continue"/>
                  <w:noWrap/>
                  <w:vAlign w:val="center"/>
                </w:tcPr>
                <w:p w14:paraId="35FA883B">
                  <w:pPr>
                    <w:spacing w:line="320" w:lineRule="exact"/>
                    <w:jc w:val="center"/>
                    <w:rPr>
                      <w:color w:val="auto"/>
                      <w:sz w:val="21"/>
                      <w:szCs w:val="21"/>
                    </w:rPr>
                  </w:pPr>
                </w:p>
              </w:tc>
            </w:tr>
            <w:tr w14:paraId="55D92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ign w:val="center"/>
                </w:tcPr>
                <w:p w14:paraId="30494EBE">
                  <w:pPr>
                    <w:spacing w:line="320" w:lineRule="exact"/>
                    <w:jc w:val="center"/>
                    <w:rPr>
                      <w:color w:val="auto"/>
                      <w:sz w:val="21"/>
                      <w:szCs w:val="21"/>
                    </w:rPr>
                  </w:pPr>
                  <w:r>
                    <w:rPr>
                      <w:rFonts w:hint="eastAsia"/>
                      <w:color w:val="auto"/>
                      <w:sz w:val="21"/>
                      <w:szCs w:val="21"/>
                    </w:rPr>
                    <w:t>PM</w:t>
                  </w:r>
                  <w:r>
                    <w:rPr>
                      <w:rFonts w:hint="eastAsia"/>
                      <w:color w:val="auto"/>
                      <w:sz w:val="21"/>
                      <w:szCs w:val="21"/>
                      <w:vertAlign w:val="subscript"/>
                    </w:rPr>
                    <w:t>2.5</w:t>
                  </w:r>
                </w:p>
              </w:tc>
              <w:tc>
                <w:tcPr>
                  <w:tcW w:w="2551" w:type="dxa"/>
                  <w:noWrap/>
                  <w:vAlign w:val="center"/>
                </w:tcPr>
                <w:p w14:paraId="55258A4A">
                  <w:pPr>
                    <w:spacing w:line="320" w:lineRule="exact"/>
                    <w:jc w:val="center"/>
                    <w:rPr>
                      <w:color w:val="auto"/>
                      <w:sz w:val="21"/>
                      <w:szCs w:val="21"/>
                    </w:rPr>
                  </w:pPr>
                  <w:r>
                    <w:rPr>
                      <w:rFonts w:hint="eastAsia"/>
                      <w:color w:val="auto"/>
                      <w:sz w:val="21"/>
                      <w:szCs w:val="21"/>
                    </w:rPr>
                    <w:t>年平均质量浓度</w:t>
                  </w:r>
                </w:p>
              </w:tc>
              <w:tc>
                <w:tcPr>
                  <w:tcW w:w="1985" w:type="dxa"/>
                  <w:noWrap/>
                  <w:vAlign w:val="center"/>
                </w:tcPr>
                <w:p w14:paraId="04D525C9">
                  <w:pPr>
                    <w:spacing w:line="320" w:lineRule="exact"/>
                    <w:jc w:val="center"/>
                    <w:rPr>
                      <w:rFonts w:hint="eastAsia" w:eastAsia="宋体"/>
                      <w:color w:val="auto"/>
                      <w:sz w:val="21"/>
                      <w:szCs w:val="21"/>
                      <w:lang w:eastAsia="zh-CN"/>
                    </w:rPr>
                  </w:pPr>
                  <w:r>
                    <w:rPr>
                      <w:rFonts w:hint="eastAsia"/>
                      <w:color w:val="auto"/>
                      <w:sz w:val="21"/>
                      <w:szCs w:val="21"/>
                    </w:rPr>
                    <w:t>3</w:t>
                  </w:r>
                  <w:r>
                    <w:rPr>
                      <w:rFonts w:hint="eastAsia"/>
                      <w:color w:val="auto"/>
                      <w:sz w:val="21"/>
                      <w:szCs w:val="21"/>
                      <w:lang w:val="en-US" w:eastAsia="zh-CN"/>
                    </w:rPr>
                    <w:t>2</w:t>
                  </w:r>
                </w:p>
              </w:tc>
              <w:tc>
                <w:tcPr>
                  <w:tcW w:w="992" w:type="dxa"/>
                  <w:noWrap/>
                  <w:vAlign w:val="center"/>
                </w:tcPr>
                <w:p w14:paraId="2E4A6016">
                  <w:pPr>
                    <w:spacing w:line="320" w:lineRule="exact"/>
                    <w:jc w:val="center"/>
                    <w:rPr>
                      <w:color w:val="auto"/>
                      <w:sz w:val="21"/>
                      <w:szCs w:val="21"/>
                    </w:rPr>
                  </w:pPr>
                  <w:r>
                    <w:rPr>
                      <w:rFonts w:hint="eastAsia"/>
                      <w:color w:val="auto"/>
                      <w:sz w:val="21"/>
                      <w:szCs w:val="21"/>
                    </w:rPr>
                    <w:t>35</w:t>
                  </w:r>
                </w:p>
              </w:tc>
              <w:tc>
                <w:tcPr>
                  <w:tcW w:w="851" w:type="dxa"/>
                  <w:noWrap/>
                  <w:vAlign w:val="center"/>
                </w:tcPr>
                <w:p w14:paraId="65129423">
                  <w:pPr>
                    <w:spacing w:line="320" w:lineRule="exact"/>
                    <w:jc w:val="center"/>
                    <w:rPr>
                      <w:color w:val="auto"/>
                      <w:sz w:val="21"/>
                      <w:szCs w:val="21"/>
                    </w:rPr>
                  </w:pPr>
                  <w:r>
                    <w:rPr>
                      <w:rFonts w:hint="eastAsia"/>
                      <w:color w:val="auto"/>
                      <w:sz w:val="21"/>
                      <w:szCs w:val="21"/>
                    </w:rPr>
                    <w:t>100</w:t>
                  </w:r>
                </w:p>
              </w:tc>
              <w:tc>
                <w:tcPr>
                  <w:tcW w:w="1033" w:type="dxa"/>
                  <w:vMerge w:val="restart"/>
                  <w:noWrap/>
                  <w:vAlign w:val="center"/>
                </w:tcPr>
                <w:p w14:paraId="680AA4A0">
                  <w:pPr>
                    <w:spacing w:line="320" w:lineRule="exact"/>
                    <w:jc w:val="center"/>
                    <w:rPr>
                      <w:color w:val="auto"/>
                      <w:sz w:val="21"/>
                      <w:szCs w:val="21"/>
                    </w:rPr>
                  </w:pPr>
                  <w:r>
                    <w:rPr>
                      <w:rFonts w:hint="eastAsia"/>
                      <w:color w:val="auto"/>
                      <w:sz w:val="21"/>
                      <w:szCs w:val="21"/>
                    </w:rPr>
                    <w:t>不达标</w:t>
                  </w:r>
                </w:p>
              </w:tc>
            </w:tr>
            <w:tr w14:paraId="3FA3B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ign w:val="center"/>
                </w:tcPr>
                <w:p w14:paraId="147C3171">
                  <w:pPr>
                    <w:spacing w:line="320" w:lineRule="exact"/>
                    <w:jc w:val="center"/>
                    <w:rPr>
                      <w:color w:val="auto"/>
                      <w:sz w:val="21"/>
                      <w:szCs w:val="21"/>
                    </w:rPr>
                  </w:pPr>
                </w:p>
              </w:tc>
              <w:tc>
                <w:tcPr>
                  <w:tcW w:w="2551" w:type="dxa"/>
                  <w:noWrap/>
                  <w:vAlign w:val="center"/>
                </w:tcPr>
                <w:p w14:paraId="730F5BE6">
                  <w:pPr>
                    <w:spacing w:line="320" w:lineRule="exact"/>
                    <w:jc w:val="center"/>
                    <w:rPr>
                      <w:color w:val="auto"/>
                      <w:sz w:val="21"/>
                      <w:szCs w:val="21"/>
                    </w:rPr>
                  </w:pPr>
                  <w:r>
                    <w:rPr>
                      <w:rFonts w:hint="eastAsia"/>
                      <w:color w:val="auto"/>
                      <w:sz w:val="21"/>
                      <w:szCs w:val="21"/>
                    </w:rPr>
                    <w:t>日平均质量浓度</w:t>
                  </w:r>
                </w:p>
              </w:tc>
              <w:tc>
                <w:tcPr>
                  <w:tcW w:w="1985" w:type="dxa"/>
                  <w:noWrap/>
                  <w:vAlign w:val="center"/>
                </w:tcPr>
                <w:p w14:paraId="72CD6A7F">
                  <w:pPr>
                    <w:spacing w:line="320" w:lineRule="exact"/>
                    <w:jc w:val="center"/>
                    <w:rPr>
                      <w:rFonts w:hint="eastAsia" w:eastAsia="宋体"/>
                      <w:color w:val="auto"/>
                      <w:sz w:val="21"/>
                      <w:szCs w:val="21"/>
                      <w:lang w:eastAsia="zh-CN"/>
                    </w:rPr>
                  </w:pPr>
                  <w:r>
                    <w:rPr>
                      <w:rFonts w:hint="eastAsia"/>
                      <w:color w:val="auto"/>
                      <w:sz w:val="21"/>
                      <w:szCs w:val="21"/>
                      <w:lang w:val="en-US" w:eastAsia="zh-CN"/>
                    </w:rPr>
                    <w:t>5</w:t>
                  </w:r>
                  <w:r>
                    <w:rPr>
                      <w:rFonts w:hint="eastAsia"/>
                      <w:color w:val="auto"/>
                      <w:sz w:val="21"/>
                      <w:szCs w:val="21"/>
                    </w:rPr>
                    <w:t>~15</w:t>
                  </w:r>
                  <w:r>
                    <w:rPr>
                      <w:rFonts w:hint="eastAsia"/>
                      <w:color w:val="auto"/>
                      <w:sz w:val="21"/>
                      <w:szCs w:val="21"/>
                      <w:lang w:val="en-US" w:eastAsia="zh-CN"/>
                    </w:rPr>
                    <w:t>7</w:t>
                  </w:r>
                </w:p>
              </w:tc>
              <w:tc>
                <w:tcPr>
                  <w:tcW w:w="992" w:type="dxa"/>
                  <w:noWrap/>
                  <w:vAlign w:val="center"/>
                </w:tcPr>
                <w:p w14:paraId="439E71BE">
                  <w:pPr>
                    <w:spacing w:line="320" w:lineRule="exact"/>
                    <w:jc w:val="center"/>
                    <w:rPr>
                      <w:color w:val="auto"/>
                      <w:sz w:val="21"/>
                      <w:szCs w:val="21"/>
                    </w:rPr>
                  </w:pPr>
                  <w:r>
                    <w:rPr>
                      <w:rFonts w:hint="eastAsia"/>
                      <w:color w:val="auto"/>
                      <w:sz w:val="21"/>
                      <w:szCs w:val="21"/>
                    </w:rPr>
                    <w:t>75</w:t>
                  </w:r>
                </w:p>
              </w:tc>
              <w:tc>
                <w:tcPr>
                  <w:tcW w:w="851" w:type="dxa"/>
                  <w:noWrap/>
                  <w:vAlign w:val="center"/>
                </w:tcPr>
                <w:p w14:paraId="73505BDC">
                  <w:pPr>
                    <w:spacing w:line="320" w:lineRule="exact"/>
                    <w:jc w:val="center"/>
                    <w:rPr>
                      <w:rFonts w:hint="eastAsia" w:eastAsia="宋体"/>
                      <w:color w:val="auto"/>
                      <w:sz w:val="21"/>
                      <w:szCs w:val="21"/>
                      <w:lang w:eastAsia="zh-CN"/>
                    </w:rPr>
                  </w:pPr>
                  <w:r>
                    <w:rPr>
                      <w:rFonts w:hint="eastAsia"/>
                      <w:color w:val="auto"/>
                      <w:sz w:val="21"/>
                      <w:szCs w:val="21"/>
                    </w:rPr>
                    <w:t>93.</w:t>
                  </w:r>
                  <w:r>
                    <w:rPr>
                      <w:rFonts w:hint="eastAsia"/>
                      <w:color w:val="auto"/>
                      <w:sz w:val="21"/>
                      <w:szCs w:val="21"/>
                      <w:lang w:val="en-US" w:eastAsia="zh-CN"/>
                    </w:rPr>
                    <w:t>2</w:t>
                  </w:r>
                </w:p>
              </w:tc>
              <w:tc>
                <w:tcPr>
                  <w:tcW w:w="1033" w:type="dxa"/>
                  <w:vMerge w:val="continue"/>
                  <w:noWrap/>
                  <w:vAlign w:val="center"/>
                </w:tcPr>
                <w:p w14:paraId="791B03F2">
                  <w:pPr>
                    <w:spacing w:line="320" w:lineRule="exact"/>
                    <w:jc w:val="center"/>
                    <w:rPr>
                      <w:color w:val="auto"/>
                      <w:sz w:val="21"/>
                      <w:szCs w:val="21"/>
                    </w:rPr>
                  </w:pPr>
                </w:p>
              </w:tc>
            </w:tr>
          </w:tbl>
          <w:p w14:paraId="36BC9FAA">
            <w:pPr>
              <w:spacing w:line="240" w:lineRule="auto"/>
              <w:ind w:firstLine="422" w:firstLineChars="200"/>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b/>
                <w:bCs/>
                <w:caps w:val="0"/>
                <w:smallCaps w:val="0"/>
                <w:color w:val="auto"/>
                <w:spacing w:val="0"/>
                <w:sz w:val="21"/>
                <w:szCs w:val="21"/>
                <w:highlight w:val="none"/>
                <w:lang w:val="en-US" w:eastAsia="zh-CN"/>
              </w:rPr>
              <w:t>注：</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①</w:t>
            </w:r>
            <w:r>
              <w:rPr>
                <w:rFonts w:hint="default" w:ascii="Times New Roman" w:hAnsi="Times New Roman" w:eastAsia="宋体" w:cs="Times New Roman"/>
                <w:b w:val="0"/>
                <w:bCs w:val="0"/>
                <w:caps w:val="0"/>
                <w:smallCaps w:val="0"/>
                <w:color w:val="auto"/>
                <w:spacing w:val="0"/>
                <w:sz w:val="21"/>
                <w:szCs w:val="21"/>
                <w:highlight w:val="none"/>
                <w:lang w:val="en-US" w:eastAsia="zh-CN"/>
              </w:rPr>
              <w:t>NO</w:t>
            </w:r>
            <w:r>
              <w:rPr>
                <w:rFonts w:hint="default" w:ascii="Times New Roman" w:hAnsi="Times New Roman" w:eastAsia="宋体" w:cs="Times New Roman"/>
                <w:b w:val="0"/>
                <w:bCs w:val="0"/>
                <w:caps w:val="0"/>
                <w:smallCaps w:val="0"/>
                <w:color w:val="auto"/>
                <w:spacing w:val="0"/>
                <w:sz w:val="21"/>
                <w:szCs w:val="21"/>
                <w:highlight w:val="none"/>
                <w:vertAlign w:val="subscript"/>
                <w:lang w:val="en-US" w:eastAsia="zh-CN"/>
              </w:rPr>
              <w:t>2</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日平均第98百分位数达标；</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②</w:t>
            </w:r>
            <w:r>
              <w:rPr>
                <w:rFonts w:hint="default" w:ascii="Times New Roman" w:hAnsi="Times New Roman" w:eastAsia="宋体" w:cs="Times New Roman"/>
                <w:b w:val="0"/>
                <w:bCs w:val="0"/>
                <w:caps w:val="0"/>
                <w:smallCaps w:val="0"/>
                <w:color w:val="auto"/>
                <w:spacing w:val="0"/>
                <w:sz w:val="21"/>
                <w:szCs w:val="21"/>
                <w:highlight w:val="none"/>
              </w:rPr>
              <w:t>PM</w:t>
            </w:r>
            <w:r>
              <w:rPr>
                <w:rFonts w:hint="default" w:ascii="Times New Roman" w:hAnsi="Times New Roman" w:eastAsia="宋体" w:cs="Times New Roman"/>
                <w:b w:val="0"/>
                <w:bCs w:val="0"/>
                <w:caps w:val="0"/>
                <w:smallCaps w:val="0"/>
                <w:color w:val="auto"/>
                <w:spacing w:val="0"/>
                <w:sz w:val="21"/>
                <w:szCs w:val="21"/>
                <w:highlight w:val="none"/>
                <w:vertAlign w:val="subscript"/>
              </w:rPr>
              <w:t>10</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日平均第95百分位数达标；</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③</w:t>
            </w:r>
            <w:r>
              <w:rPr>
                <w:rFonts w:hint="default" w:ascii="Times New Roman" w:hAnsi="Times New Roman" w:eastAsia="宋体" w:cs="Times New Roman"/>
                <w:b w:val="0"/>
                <w:bCs w:val="0"/>
                <w:caps w:val="0"/>
                <w:smallCaps w:val="0"/>
                <w:color w:val="auto"/>
                <w:spacing w:val="0"/>
                <w:sz w:val="21"/>
                <w:szCs w:val="21"/>
                <w:highlight w:val="none"/>
              </w:rPr>
              <w:t>PM</w:t>
            </w:r>
            <w:r>
              <w:rPr>
                <w:rFonts w:hint="default" w:ascii="Times New Roman" w:hAnsi="Times New Roman" w:eastAsia="宋体" w:cs="Times New Roman"/>
                <w:b w:val="0"/>
                <w:bCs w:val="0"/>
                <w:caps w:val="0"/>
                <w:smallCaps w:val="0"/>
                <w:color w:val="auto"/>
                <w:spacing w:val="0"/>
                <w:sz w:val="21"/>
                <w:szCs w:val="21"/>
                <w:highlight w:val="none"/>
                <w:vertAlign w:val="subscript"/>
              </w:rPr>
              <w:t>2.5</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日平均第95百分位数超标。</w:t>
            </w:r>
          </w:p>
          <w:p w14:paraId="16D555C6">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auto"/>
                <w:sz w:val="24"/>
                <w:szCs w:val="24"/>
              </w:rPr>
            </w:pPr>
            <w:r>
              <w:rPr>
                <w:rFonts w:hint="default" w:ascii="Times New Roman" w:hAnsi="Times New Roman" w:eastAsia="宋体" w:cs="Times New Roman"/>
                <w:caps w:val="0"/>
                <w:smallCaps w:val="0"/>
                <w:color w:val="auto"/>
                <w:spacing w:val="0"/>
                <w:sz w:val="24"/>
                <w:szCs w:val="24"/>
                <w:highlight w:val="none"/>
              </w:rPr>
              <w:t>202</w:t>
            </w:r>
            <w:r>
              <w:rPr>
                <w:rFonts w:hint="eastAsia" w:cs="Times New Roman"/>
                <w:caps w:val="0"/>
                <w:smallCaps w:val="0"/>
                <w:color w:val="auto"/>
                <w:spacing w:val="0"/>
                <w:sz w:val="24"/>
                <w:szCs w:val="24"/>
                <w:highlight w:val="none"/>
                <w:lang w:val="en-US" w:eastAsia="zh-CN"/>
              </w:rPr>
              <w:t>4</w:t>
            </w:r>
            <w:r>
              <w:rPr>
                <w:rFonts w:hint="default" w:ascii="Times New Roman" w:hAnsi="Times New Roman" w:eastAsia="宋体" w:cs="Times New Roman"/>
                <w:caps w:val="0"/>
                <w:smallCaps w:val="0"/>
                <w:color w:val="auto"/>
                <w:spacing w:val="0"/>
                <w:sz w:val="24"/>
                <w:szCs w:val="24"/>
                <w:highlight w:val="none"/>
              </w:rPr>
              <w:t>年常州市环境空气中SO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、NO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、颗粒物（PM</w:t>
            </w:r>
            <w:r>
              <w:rPr>
                <w:rFonts w:hint="default" w:ascii="Times New Roman" w:hAnsi="Times New Roman" w:eastAsia="宋体" w:cs="Times New Roman"/>
                <w:caps w:val="0"/>
                <w:smallCaps w:val="0"/>
                <w:color w:val="auto"/>
                <w:spacing w:val="0"/>
                <w:sz w:val="24"/>
                <w:szCs w:val="24"/>
                <w:highlight w:val="none"/>
                <w:vertAlign w:val="subscript"/>
              </w:rPr>
              <w:t>10</w:t>
            </w:r>
            <w:r>
              <w:rPr>
                <w:rFonts w:hint="default" w:ascii="Times New Roman" w:hAnsi="Times New Roman" w:eastAsia="宋体" w:cs="Times New Roman"/>
                <w:caps w:val="0"/>
                <w:smallCaps w:val="0"/>
                <w:color w:val="auto"/>
                <w:spacing w:val="0"/>
                <w:sz w:val="24"/>
                <w:szCs w:val="24"/>
                <w:highlight w:val="none"/>
              </w:rPr>
              <w:t>）</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年平均质量浓度及日平均第95百分位数、</w:t>
            </w:r>
            <w:r>
              <w:rPr>
                <w:rFonts w:hint="default" w:ascii="Times New Roman" w:hAnsi="Times New Roman" w:eastAsia="宋体" w:cs="Times New Roman"/>
                <w:caps w:val="0"/>
                <w:smallCaps w:val="0"/>
                <w:color w:val="auto"/>
                <w:spacing w:val="0"/>
                <w:sz w:val="24"/>
                <w:szCs w:val="24"/>
                <w:highlight w:val="none"/>
              </w:rPr>
              <w:t>细颗粒物（PM</w:t>
            </w:r>
            <w:r>
              <w:rPr>
                <w:rFonts w:hint="default" w:ascii="Times New Roman" w:hAnsi="Times New Roman" w:eastAsia="宋体" w:cs="Times New Roman"/>
                <w:caps w:val="0"/>
                <w:smallCaps w:val="0"/>
                <w:color w:val="auto"/>
                <w:spacing w:val="0"/>
                <w:sz w:val="24"/>
                <w:szCs w:val="24"/>
                <w:highlight w:val="none"/>
                <w:vertAlign w:val="subscript"/>
              </w:rPr>
              <w:t>2.5</w:t>
            </w:r>
            <w:r>
              <w:rPr>
                <w:rFonts w:hint="default" w:ascii="Times New Roman" w:hAnsi="Times New Roman" w:eastAsia="宋体" w:cs="Times New Roman"/>
                <w:caps w:val="0"/>
                <w:smallCaps w:val="0"/>
                <w:color w:val="auto"/>
                <w:spacing w:val="0"/>
                <w:sz w:val="24"/>
                <w:szCs w:val="24"/>
                <w:highlight w:val="none"/>
              </w:rPr>
              <w:t>）年平均质量浓度、CO日平均第95百分位数</w:t>
            </w:r>
            <w:r>
              <w:rPr>
                <w:rFonts w:hint="default" w:ascii="Times New Roman" w:hAnsi="Times New Roman" w:eastAsia="宋体" w:cs="Times New Roman"/>
                <w:caps w:val="0"/>
                <w:smallCaps w:val="0"/>
                <w:color w:val="auto"/>
                <w:spacing w:val="0"/>
                <w:sz w:val="24"/>
                <w:szCs w:val="24"/>
                <w:highlight w:val="none"/>
                <w:lang w:val="en-US" w:eastAsia="zh-CN"/>
              </w:rPr>
              <w:t>及日均值浓度</w:t>
            </w:r>
            <w:r>
              <w:rPr>
                <w:rFonts w:hint="default" w:ascii="Times New Roman" w:hAnsi="Times New Roman" w:eastAsia="宋体" w:cs="Times New Roman"/>
                <w:caps w:val="0"/>
                <w:smallCaps w:val="0"/>
                <w:color w:val="auto"/>
                <w:spacing w:val="0"/>
                <w:sz w:val="24"/>
                <w:szCs w:val="24"/>
                <w:highlight w:val="none"/>
              </w:rPr>
              <w:t>均达到《环境空气质量标准》（GB3095-2012）表1中二级浓度限值；</w:t>
            </w:r>
            <w:r>
              <w:rPr>
                <w:rFonts w:hint="default" w:ascii="Times New Roman" w:hAnsi="Times New Roman" w:eastAsia="宋体" w:cs="Times New Roman"/>
                <w:caps w:val="0"/>
                <w:smallCaps w:val="0"/>
                <w:color w:val="auto"/>
                <w:spacing w:val="0"/>
                <w:sz w:val="24"/>
                <w:szCs w:val="24"/>
                <w:highlight w:val="none"/>
                <w:lang w:val="en-US" w:eastAsia="zh-CN"/>
              </w:rPr>
              <w:t>细颗粒物（PM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）日平均第95百分位数、</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日8小时滑动平均值第90百分位数超过《环境空气质量标准》（GB3095-2012）表1中二级浓度限值。项目所在区</w:t>
            </w:r>
            <w:r>
              <w:rPr>
                <w:rFonts w:hint="default" w:ascii="Times New Roman" w:hAnsi="Times New Roman" w:eastAsia="宋体" w:cs="Times New Roman"/>
                <w:caps w:val="0"/>
                <w:smallCaps w:val="0"/>
                <w:color w:val="auto"/>
                <w:spacing w:val="0"/>
                <w:sz w:val="24"/>
                <w:szCs w:val="24"/>
                <w:highlight w:val="none"/>
                <w:lang w:val="en-US" w:eastAsia="zh-CN"/>
              </w:rPr>
              <w:t>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超标</w:t>
            </w:r>
            <w:r>
              <w:rPr>
                <w:rFonts w:hint="default" w:ascii="Times New Roman" w:hAnsi="Times New Roman" w:eastAsia="宋体" w:cs="Times New Roman"/>
                <w:caps w:val="0"/>
                <w:smallCaps w:val="0"/>
                <w:color w:val="auto"/>
                <w:spacing w:val="0"/>
                <w:sz w:val="24"/>
                <w:szCs w:val="24"/>
                <w:highlight w:val="none"/>
                <w:lang w:eastAsia="zh-CN"/>
              </w:rPr>
              <w:t>，</w:t>
            </w:r>
            <w:r>
              <w:rPr>
                <w:rFonts w:hint="default" w:ascii="Times New Roman" w:hAnsi="Times New Roman" w:eastAsia="宋体" w:cs="Times New Roman"/>
                <w:caps w:val="0"/>
                <w:smallCaps w:val="0"/>
                <w:color w:val="auto"/>
                <w:spacing w:val="0"/>
                <w:sz w:val="24"/>
                <w:szCs w:val="24"/>
                <w:highlight w:val="none"/>
              </w:rPr>
              <w:t>因此判定为不达标区</w:t>
            </w:r>
            <w:r>
              <w:rPr>
                <w:color w:val="auto"/>
                <w:sz w:val="24"/>
                <w:szCs w:val="24"/>
              </w:rPr>
              <w:t>。</w:t>
            </w:r>
          </w:p>
          <w:p w14:paraId="203F9CF5">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color w:val="auto"/>
                <w:sz w:val="24"/>
                <w:szCs w:val="24"/>
              </w:rPr>
              <w:t>（2）其他污染物环境质量现状评价</w:t>
            </w:r>
          </w:p>
          <w:p w14:paraId="3D6A330D">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ascii="宋体" w:hAnsi="宋体"/>
                <w:color w:val="auto"/>
                <w:sz w:val="24"/>
                <w:szCs w:val="24"/>
              </w:rPr>
              <w:t>①</w:t>
            </w:r>
            <w:r>
              <w:rPr>
                <w:color w:val="auto"/>
                <w:sz w:val="24"/>
                <w:szCs w:val="24"/>
              </w:rPr>
              <w:t>监测</w:t>
            </w:r>
            <w:r>
              <w:rPr>
                <w:rFonts w:hint="eastAsia"/>
                <w:color w:val="auto"/>
                <w:sz w:val="24"/>
                <w:szCs w:val="24"/>
              </w:rPr>
              <w:t>/引用</w:t>
            </w:r>
            <w:r>
              <w:rPr>
                <w:color w:val="auto"/>
                <w:sz w:val="24"/>
                <w:szCs w:val="24"/>
              </w:rPr>
              <w:t>点位</w:t>
            </w:r>
          </w:p>
          <w:p w14:paraId="3E06881C">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color w:val="auto"/>
                <w:sz w:val="24"/>
                <w:szCs w:val="24"/>
              </w:rPr>
              <w:t>本项目所在区域环境空气为二类功能区，执行《环境空气质量标准》（GB3095-2012）中的二级标准要求。</w:t>
            </w:r>
          </w:p>
          <w:p w14:paraId="447E7835">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color w:val="auto"/>
                <w:sz w:val="24"/>
                <w:szCs w:val="24"/>
              </w:rPr>
              <w:t>本次环境空气质量现状布设</w:t>
            </w:r>
            <w:r>
              <w:rPr>
                <w:rFonts w:hint="eastAsia"/>
                <w:color w:val="auto"/>
                <w:sz w:val="24"/>
                <w:szCs w:val="24"/>
                <w:lang w:val="en-US" w:eastAsia="zh-CN"/>
              </w:rPr>
              <w:t>1</w:t>
            </w:r>
            <w:r>
              <w:rPr>
                <w:color w:val="auto"/>
                <w:sz w:val="24"/>
                <w:szCs w:val="24"/>
              </w:rPr>
              <w:t>个</w:t>
            </w:r>
            <w:r>
              <w:rPr>
                <w:rFonts w:hint="eastAsia"/>
                <w:color w:val="auto"/>
                <w:sz w:val="24"/>
                <w:szCs w:val="24"/>
              </w:rPr>
              <w:t>引用</w:t>
            </w:r>
            <w:r>
              <w:rPr>
                <w:color w:val="auto"/>
                <w:sz w:val="24"/>
                <w:szCs w:val="24"/>
              </w:rPr>
              <w:t>点位，</w:t>
            </w:r>
            <w:r>
              <w:rPr>
                <w:rFonts w:hint="eastAsia"/>
                <w:color w:val="auto"/>
                <w:sz w:val="24"/>
                <w:szCs w:val="24"/>
                <w:lang w:val="en-US" w:eastAsia="zh-CN"/>
              </w:rPr>
              <w:t>O</w:t>
            </w:r>
            <w:r>
              <w:rPr>
                <w:rFonts w:hint="eastAsia"/>
                <w:color w:val="auto"/>
                <w:sz w:val="24"/>
                <w:szCs w:val="24"/>
              </w:rPr>
              <w:t>1点位于</w:t>
            </w:r>
            <w:r>
              <w:rPr>
                <w:rFonts w:hint="eastAsia"/>
                <w:color w:val="auto"/>
                <w:sz w:val="24"/>
                <w:szCs w:val="24"/>
                <w:lang w:val="en-US" w:eastAsia="zh-CN"/>
              </w:rPr>
              <w:t>常州市丹金船闸管理所东侧</w:t>
            </w:r>
            <w:r>
              <w:rPr>
                <w:rFonts w:hint="eastAsia"/>
                <w:color w:val="auto"/>
                <w:sz w:val="24"/>
                <w:szCs w:val="24"/>
              </w:rPr>
              <w:t>，</w:t>
            </w:r>
            <w:r>
              <w:rPr>
                <w:color w:val="auto"/>
                <w:sz w:val="24"/>
                <w:szCs w:val="24"/>
              </w:rPr>
              <w:t>引用</w:t>
            </w:r>
            <w:r>
              <w:rPr>
                <w:rFonts w:hint="eastAsia"/>
                <w:color w:val="auto"/>
                <w:sz w:val="24"/>
                <w:szCs w:val="24"/>
              </w:rPr>
              <w:t>特斯特</w:t>
            </w:r>
            <w:r>
              <w:rPr>
                <w:rFonts w:hint="eastAsia"/>
                <w:color w:val="auto"/>
                <w:sz w:val="24"/>
                <w:szCs w:val="24"/>
                <w:lang w:eastAsia="zh-CN"/>
              </w:rPr>
              <w:t>(</w:t>
            </w:r>
            <w:r>
              <w:rPr>
                <w:rFonts w:hint="eastAsia"/>
                <w:color w:val="auto"/>
                <w:sz w:val="24"/>
                <w:szCs w:val="24"/>
              </w:rPr>
              <w:t>江苏</w:t>
            </w:r>
            <w:r>
              <w:rPr>
                <w:rFonts w:hint="eastAsia"/>
                <w:color w:val="auto"/>
                <w:sz w:val="24"/>
                <w:szCs w:val="24"/>
                <w:lang w:eastAsia="zh-CN"/>
              </w:rPr>
              <w:t>)</w:t>
            </w:r>
            <w:r>
              <w:rPr>
                <w:rFonts w:hint="eastAsia"/>
                <w:color w:val="auto"/>
                <w:sz w:val="24"/>
                <w:szCs w:val="24"/>
              </w:rPr>
              <w:t>检测科技有限公司</w:t>
            </w:r>
            <w:r>
              <w:rPr>
                <w:color w:val="auto"/>
                <w:sz w:val="24"/>
                <w:szCs w:val="24"/>
              </w:rPr>
              <w:t>202</w:t>
            </w:r>
            <w:r>
              <w:rPr>
                <w:rFonts w:hint="eastAsia"/>
                <w:color w:val="auto"/>
                <w:sz w:val="24"/>
                <w:szCs w:val="24"/>
                <w:lang w:val="en-US" w:eastAsia="zh-CN"/>
              </w:rPr>
              <w:t>4</w:t>
            </w:r>
            <w:r>
              <w:rPr>
                <w:color w:val="auto"/>
                <w:sz w:val="24"/>
                <w:szCs w:val="24"/>
              </w:rPr>
              <w:t>年</w:t>
            </w:r>
            <w:r>
              <w:rPr>
                <w:rFonts w:hint="eastAsia"/>
                <w:color w:val="auto"/>
                <w:sz w:val="24"/>
                <w:szCs w:val="24"/>
                <w:lang w:val="en-US" w:eastAsia="zh-CN"/>
              </w:rPr>
              <w:t>11</w:t>
            </w:r>
            <w:r>
              <w:rPr>
                <w:color w:val="auto"/>
                <w:sz w:val="24"/>
                <w:szCs w:val="24"/>
              </w:rPr>
              <w:t>月</w:t>
            </w:r>
            <w:r>
              <w:rPr>
                <w:rFonts w:hint="eastAsia"/>
                <w:color w:val="auto"/>
                <w:sz w:val="24"/>
                <w:szCs w:val="24"/>
                <w:lang w:val="en-US" w:eastAsia="zh-CN"/>
              </w:rPr>
              <w:t>11</w:t>
            </w:r>
            <w:r>
              <w:rPr>
                <w:color w:val="auto"/>
                <w:sz w:val="24"/>
                <w:szCs w:val="24"/>
              </w:rPr>
              <w:t>日</w:t>
            </w:r>
            <w:r>
              <w:rPr>
                <w:rFonts w:hint="eastAsia"/>
                <w:color w:val="auto"/>
                <w:sz w:val="24"/>
                <w:szCs w:val="24"/>
              </w:rPr>
              <w:t>~</w:t>
            </w:r>
            <w:r>
              <w:rPr>
                <w:rFonts w:hint="eastAsia"/>
                <w:color w:val="auto"/>
                <w:sz w:val="24"/>
                <w:szCs w:val="24"/>
                <w:lang w:val="en-US" w:eastAsia="zh-CN"/>
              </w:rPr>
              <w:t>17</w:t>
            </w:r>
            <w:r>
              <w:rPr>
                <w:rFonts w:hint="eastAsia"/>
                <w:color w:val="auto"/>
                <w:sz w:val="24"/>
                <w:szCs w:val="24"/>
              </w:rPr>
              <w:t>日的</w:t>
            </w:r>
            <w:r>
              <w:rPr>
                <w:color w:val="auto"/>
                <w:sz w:val="24"/>
                <w:szCs w:val="24"/>
              </w:rPr>
              <w:t>历史监测数据，报告编号为：</w:t>
            </w:r>
            <w:r>
              <w:rPr>
                <w:rFonts w:hint="eastAsia"/>
                <w:color w:val="auto"/>
                <w:sz w:val="24"/>
                <w:szCs w:val="24"/>
                <w:lang w:val="en-US" w:eastAsia="zh-CN"/>
              </w:rPr>
              <w:t>TST202501060</w:t>
            </w:r>
            <w:r>
              <w:rPr>
                <w:rFonts w:hint="eastAsia"/>
                <w:color w:val="auto"/>
                <w:sz w:val="24"/>
                <w:szCs w:val="24"/>
              </w:rPr>
              <w:t>。</w:t>
            </w:r>
          </w:p>
          <w:p w14:paraId="18968D3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b/>
                <w:color w:val="auto"/>
                <w:sz w:val="21"/>
                <w:szCs w:val="21"/>
              </w:rPr>
            </w:pPr>
            <w:r>
              <w:rPr>
                <w:color w:val="auto"/>
                <w:kern w:val="0"/>
                <w:sz w:val="24"/>
                <w:szCs w:val="24"/>
              </w:rPr>
              <w:t>其他污染物补充监测点位基本信息见表3-</w:t>
            </w:r>
            <w:r>
              <w:rPr>
                <w:rFonts w:hint="eastAsia"/>
                <w:color w:val="auto"/>
                <w:kern w:val="0"/>
                <w:sz w:val="24"/>
                <w:szCs w:val="24"/>
              </w:rPr>
              <w:t>2</w:t>
            </w:r>
            <w:r>
              <w:rPr>
                <w:color w:val="auto"/>
                <w:kern w:val="0"/>
                <w:sz w:val="24"/>
                <w:szCs w:val="24"/>
              </w:rPr>
              <w:t>，其他污染物环境质量现状（监测结果）见表3-</w:t>
            </w:r>
            <w:r>
              <w:rPr>
                <w:rFonts w:hint="eastAsia"/>
                <w:color w:val="auto"/>
                <w:kern w:val="0"/>
                <w:sz w:val="24"/>
                <w:szCs w:val="24"/>
                <w:lang w:val="en-US" w:eastAsia="zh-CN"/>
              </w:rPr>
              <w:t>3</w:t>
            </w:r>
            <w:r>
              <w:rPr>
                <w:color w:val="auto"/>
                <w:kern w:val="0"/>
                <w:sz w:val="24"/>
                <w:szCs w:val="24"/>
              </w:rPr>
              <w:t xml:space="preserve">。 </w:t>
            </w:r>
          </w:p>
          <w:p w14:paraId="0BC1D2BA">
            <w:pPr>
              <w:spacing w:line="340" w:lineRule="exact"/>
              <w:jc w:val="center"/>
              <w:rPr>
                <w:b/>
                <w:color w:val="auto"/>
                <w:sz w:val="21"/>
                <w:szCs w:val="21"/>
              </w:rPr>
            </w:pPr>
            <w:r>
              <w:rPr>
                <w:b/>
                <w:color w:val="auto"/>
                <w:sz w:val="21"/>
                <w:szCs w:val="21"/>
              </w:rPr>
              <w:t>表3-</w:t>
            </w:r>
            <w:r>
              <w:rPr>
                <w:rFonts w:hint="eastAsia"/>
                <w:b/>
                <w:color w:val="auto"/>
                <w:sz w:val="21"/>
                <w:szCs w:val="21"/>
              </w:rPr>
              <w:t>2</w:t>
            </w:r>
            <w:r>
              <w:rPr>
                <w:b/>
                <w:color w:val="auto"/>
                <w:sz w:val="21"/>
                <w:szCs w:val="21"/>
              </w:rPr>
              <w:t xml:space="preserve">  其他污染物补充</w:t>
            </w:r>
            <w:r>
              <w:rPr>
                <w:rFonts w:hint="eastAsia"/>
                <w:b/>
                <w:bCs/>
                <w:color w:val="auto"/>
                <w:sz w:val="21"/>
                <w:szCs w:val="21"/>
              </w:rPr>
              <w:t>引用</w:t>
            </w:r>
            <w:r>
              <w:rPr>
                <w:b/>
                <w:color w:val="auto"/>
                <w:sz w:val="21"/>
                <w:szCs w:val="21"/>
              </w:rPr>
              <w:t>点位基本信息</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1027"/>
              <w:gridCol w:w="1065"/>
              <w:gridCol w:w="1015"/>
              <w:gridCol w:w="1490"/>
              <w:gridCol w:w="900"/>
              <w:gridCol w:w="1070"/>
            </w:tblGrid>
            <w:tr w14:paraId="69051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1024" w:type="pct"/>
                  <w:vMerge w:val="restart"/>
                  <w:tcBorders>
                    <w:tl2br w:val="nil"/>
                    <w:tr2bl w:val="nil"/>
                  </w:tcBorders>
                  <w:noWrap w:val="0"/>
                  <w:vAlign w:val="center"/>
                </w:tcPr>
                <w:p w14:paraId="679612FD">
                  <w:pPr>
                    <w:spacing w:line="280" w:lineRule="exact"/>
                    <w:jc w:val="center"/>
                    <w:rPr>
                      <w:b/>
                      <w:bCs/>
                      <w:color w:val="auto"/>
                      <w:sz w:val="21"/>
                      <w:szCs w:val="21"/>
                    </w:rPr>
                  </w:pPr>
                  <w:r>
                    <w:rPr>
                      <w:rFonts w:hint="eastAsia"/>
                      <w:b/>
                      <w:bCs/>
                      <w:color w:val="auto"/>
                      <w:sz w:val="21"/>
                      <w:szCs w:val="21"/>
                    </w:rPr>
                    <w:t>引用</w:t>
                  </w:r>
                  <w:r>
                    <w:rPr>
                      <w:b/>
                      <w:bCs/>
                      <w:color w:val="auto"/>
                      <w:sz w:val="21"/>
                      <w:szCs w:val="21"/>
                    </w:rPr>
                    <w:t>点名称</w:t>
                  </w:r>
                </w:p>
              </w:tc>
              <w:tc>
                <w:tcPr>
                  <w:tcW w:w="1266" w:type="pct"/>
                  <w:gridSpan w:val="2"/>
                  <w:tcBorders>
                    <w:tl2br w:val="nil"/>
                    <w:tr2bl w:val="nil"/>
                  </w:tcBorders>
                  <w:noWrap w:val="0"/>
                  <w:vAlign w:val="center"/>
                </w:tcPr>
                <w:p w14:paraId="7CECA1AC">
                  <w:pPr>
                    <w:spacing w:line="280" w:lineRule="exact"/>
                    <w:jc w:val="center"/>
                    <w:rPr>
                      <w:rFonts w:hint="default" w:eastAsia="宋体"/>
                      <w:b/>
                      <w:bCs/>
                      <w:color w:val="auto"/>
                      <w:sz w:val="21"/>
                      <w:szCs w:val="21"/>
                      <w:lang w:val="en-US" w:eastAsia="zh-CN"/>
                    </w:rPr>
                  </w:pPr>
                  <w:r>
                    <w:rPr>
                      <w:rFonts w:hint="eastAsia"/>
                      <w:b/>
                      <w:bCs/>
                      <w:color w:val="auto"/>
                      <w:sz w:val="21"/>
                      <w:szCs w:val="21"/>
                    </w:rPr>
                    <w:t>引用</w:t>
                  </w:r>
                  <w:r>
                    <w:rPr>
                      <w:b/>
                      <w:bCs/>
                      <w:color w:val="auto"/>
                      <w:sz w:val="21"/>
                      <w:szCs w:val="21"/>
                    </w:rPr>
                    <w:t>点坐标</w:t>
                  </w:r>
                  <w:r>
                    <w:rPr>
                      <w:rFonts w:hint="eastAsia"/>
                      <w:b/>
                      <w:bCs/>
                      <w:color w:val="auto"/>
                      <w:sz w:val="21"/>
                      <w:szCs w:val="21"/>
                      <w:lang w:val="en-US" w:eastAsia="zh-CN"/>
                    </w:rPr>
                    <w:t>/°</w:t>
                  </w:r>
                </w:p>
              </w:tc>
              <w:tc>
                <w:tcPr>
                  <w:tcW w:w="614" w:type="pct"/>
                  <w:vMerge w:val="restart"/>
                  <w:tcBorders>
                    <w:tl2br w:val="nil"/>
                    <w:tr2bl w:val="nil"/>
                  </w:tcBorders>
                  <w:noWrap w:val="0"/>
                  <w:vAlign w:val="center"/>
                </w:tcPr>
                <w:p w14:paraId="64378AE1">
                  <w:pPr>
                    <w:spacing w:line="280" w:lineRule="exact"/>
                    <w:jc w:val="center"/>
                    <w:rPr>
                      <w:b/>
                      <w:bCs/>
                      <w:color w:val="auto"/>
                      <w:sz w:val="21"/>
                      <w:szCs w:val="21"/>
                    </w:rPr>
                  </w:pPr>
                  <w:r>
                    <w:rPr>
                      <w:rFonts w:hint="eastAsia"/>
                      <w:b/>
                      <w:bCs/>
                      <w:color w:val="auto"/>
                      <w:sz w:val="21"/>
                      <w:szCs w:val="21"/>
                    </w:rPr>
                    <w:t>引用</w:t>
                  </w:r>
                  <w:r>
                    <w:rPr>
                      <w:b/>
                      <w:bCs/>
                      <w:color w:val="auto"/>
                      <w:sz w:val="21"/>
                      <w:szCs w:val="21"/>
                    </w:rPr>
                    <w:t>项目</w:t>
                  </w:r>
                </w:p>
              </w:tc>
              <w:tc>
                <w:tcPr>
                  <w:tcW w:w="902" w:type="pct"/>
                  <w:vMerge w:val="restart"/>
                  <w:tcBorders>
                    <w:tl2br w:val="nil"/>
                    <w:tr2bl w:val="nil"/>
                  </w:tcBorders>
                  <w:noWrap w:val="0"/>
                  <w:vAlign w:val="center"/>
                </w:tcPr>
                <w:p w14:paraId="34CB6EB5">
                  <w:pPr>
                    <w:spacing w:line="280" w:lineRule="exact"/>
                    <w:jc w:val="center"/>
                    <w:rPr>
                      <w:b/>
                      <w:bCs/>
                      <w:color w:val="auto"/>
                      <w:sz w:val="21"/>
                      <w:szCs w:val="21"/>
                    </w:rPr>
                  </w:pPr>
                  <w:r>
                    <w:rPr>
                      <w:rFonts w:hint="eastAsia"/>
                      <w:b/>
                      <w:bCs/>
                      <w:color w:val="auto"/>
                      <w:sz w:val="21"/>
                      <w:szCs w:val="21"/>
                    </w:rPr>
                    <w:t>引用</w:t>
                  </w:r>
                  <w:r>
                    <w:rPr>
                      <w:b/>
                      <w:bCs/>
                      <w:color w:val="auto"/>
                      <w:sz w:val="21"/>
                      <w:szCs w:val="21"/>
                    </w:rPr>
                    <w:t>时段</w:t>
                  </w:r>
                </w:p>
              </w:tc>
              <w:tc>
                <w:tcPr>
                  <w:tcW w:w="544" w:type="pct"/>
                  <w:vMerge w:val="restart"/>
                  <w:tcBorders>
                    <w:tl2br w:val="nil"/>
                    <w:tr2bl w:val="nil"/>
                  </w:tcBorders>
                  <w:noWrap w:val="0"/>
                  <w:vAlign w:val="center"/>
                </w:tcPr>
                <w:p w14:paraId="06F97DFC">
                  <w:pPr>
                    <w:spacing w:line="280" w:lineRule="exact"/>
                    <w:jc w:val="center"/>
                    <w:rPr>
                      <w:b/>
                      <w:bCs/>
                      <w:color w:val="auto"/>
                      <w:sz w:val="21"/>
                      <w:szCs w:val="21"/>
                    </w:rPr>
                  </w:pPr>
                  <w:r>
                    <w:rPr>
                      <w:b/>
                      <w:bCs/>
                      <w:color w:val="auto"/>
                      <w:sz w:val="21"/>
                      <w:szCs w:val="21"/>
                    </w:rPr>
                    <w:t>相对厂址方位</w:t>
                  </w:r>
                </w:p>
              </w:tc>
              <w:tc>
                <w:tcPr>
                  <w:tcW w:w="647" w:type="pct"/>
                  <w:vMerge w:val="restart"/>
                  <w:tcBorders>
                    <w:tl2br w:val="nil"/>
                    <w:tr2bl w:val="nil"/>
                  </w:tcBorders>
                  <w:noWrap w:val="0"/>
                  <w:vAlign w:val="center"/>
                </w:tcPr>
                <w:p w14:paraId="460624DA">
                  <w:pPr>
                    <w:spacing w:line="280" w:lineRule="exact"/>
                    <w:jc w:val="center"/>
                    <w:rPr>
                      <w:b/>
                      <w:bCs/>
                      <w:color w:val="auto"/>
                      <w:sz w:val="21"/>
                      <w:szCs w:val="21"/>
                    </w:rPr>
                  </w:pPr>
                  <w:r>
                    <w:rPr>
                      <w:b/>
                      <w:bCs/>
                      <w:color w:val="auto"/>
                      <w:sz w:val="21"/>
                      <w:szCs w:val="21"/>
                    </w:rPr>
                    <w:t>相对厂界距离/m</w:t>
                  </w:r>
                </w:p>
              </w:tc>
            </w:tr>
            <w:tr w14:paraId="38FD0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024" w:type="pct"/>
                  <w:vMerge w:val="continue"/>
                  <w:tcBorders>
                    <w:tl2br w:val="nil"/>
                    <w:tr2bl w:val="nil"/>
                  </w:tcBorders>
                  <w:noWrap w:val="0"/>
                  <w:vAlign w:val="center"/>
                </w:tcPr>
                <w:p w14:paraId="463D72DB">
                  <w:pPr>
                    <w:spacing w:line="280" w:lineRule="exact"/>
                    <w:jc w:val="center"/>
                    <w:rPr>
                      <w:color w:val="auto"/>
                      <w:sz w:val="21"/>
                      <w:szCs w:val="21"/>
                    </w:rPr>
                  </w:pPr>
                </w:p>
              </w:tc>
              <w:tc>
                <w:tcPr>
                  <w:tcW w:w="621" w:type="pct"/>
                  <w:tcBorders>
                    <w:tl2br w:val="nil"/>
                    <w:tr2bl w:val="nil"/>
                  </w:tcBorders>
                  <w:noWrap w:val="0"/>
                  <w:vAlign w:val="center"/>
                </w:tcPr>
                <w:p w14:paraId="7F4BF73A">
                  <w:pPr>
                    <w:spacing w:line="280" w:lineRule="exact"/>
                    <w:jc w:val="center"/>
                    <w:rPr>
                      <w:rFonts w:hint="default" w:eastAsia="宋体"/>
                      <w:b/>
                      <w:bCs/>
                      <w:color w:val="auto"/>
                      <w:sz w:val="21"/>
                      <w:szCs w:val="21"/>
                      <w:lang w:val="en-US" w:eastAsia="zh-CN"/>
                    </w:rPr>
                  </w:pPr>
                  <w:r>
                    <w:rPr>
                      <w:rFonts w:hint="eastAsia"/>
                      <w:b/>
                      <w:bCs/>
                      <w:color w:val="auto"/>
                      <w:sz w:val="21"/>
                      <w:szCs w:val="21"/>
                      <w:lang w:val="en-US" w:eastAsia="zh-CN"/>
                    </w:rPr>
                    <w:t>东经</w:t>
                  </w:r>
                </w:p>
              </w:tc>
              <w:tc>
                <w:tcPr>
                  <w:tcW w:w="644" w:type="pct"/>
                  <w:tcBorders>
                    <w:tl2br w:val="nil"/>
                    <w:tr2bl w:val="nil"/>
                  </w:tcBorders>
                  <w:noWrap w:val="0"/>
                  <w:vAlign w:val="center"/>
                </w:tcPr>
                <w:p w14:paraId="7108B345">
                  <w:pPr>
                    <w:spacing w:line="280" w:lineRule="exact"/>
                    <w:jc w:val="center"/>
                    <w:rPr>
                      <w:rFonts w:hint="eastAsia" w:eastAsia="宋体"/>
                      <w:b/>
                      <w:bCs/>
                      <w:color w:val="auto"/>
                      <w:sz w:val="21"/>
                      <w:szCs w:val="21"/>
                      <w:lang w:eastAsia="zh-CN"/>
                    </w:rPr>
                  </w:pPr>
                  <w:r>
                    <w:rPr>
                      <w:rFonts w:hint="eastAsia"/>
                      <w:b/>
                      <w:bCs/>
                      <w:color w:val="auto"/>
                      <w:sz w:val="21"/>
                      <w:szCs w:val="21"/>
                      <w:lang w:val="en-US" w:eastAsia="zh-CN"/>
                    </w:rPr>
                    <w:t>西经</w:t>
                  </w:r>
                </w:p>
              </w:tc>
              <w:tc>
                <w:tcPr>
                  <w:tcW w:w="614" w:type="pct"/>
                  <w:vMerge w:val="continue"/>
                  <w:tcBorders>
                    <w:tl2br w:val="nil"/>
                    <w:tr2bl w:val="nil"/>
                  </w:tcBorders>
                  <w:noWrap w:val="0"/>
                  <w:vAlign w:val="center"/>
                </w:tcPr>
                <w:p w14:paraId="72BE2A10">
                  <w:pPr>
                    <w:spacing w:line="280" w:lineRule="exact"/>
                    <w:jc w:val="center"/>
                    <w:rPr>
                      <w:color w:val="auto"/>
                      <w:sz w:val="21"/>
                      <w:szCs w:val="21"/>
                    </w:rPr>
                  </w:pPr>
                </w:p>
              </w:tc>
              <w:tc>
                <w:tcPr>
                  <w:tcW w:w="902" w:type="pct"/>
                  <w:vMerge w:val="continue"/>
                  <w:tcBorders>
                    <w:tl2br w:val="nil"/>
                    <w:tr2bl w:val="nil"/>
                  </w:tcBorders>
                  <w:noWrap w:val="0"/>
                  <w:vAlign w:val="center"/>
                </w:tcPr>
                <w:p w14:paraId="1391D39C">
                  <w:pPr>
                    <w:spacing w:line="280" w:lineRule="exact"/>
                    <w:jc w:val="center"/>
                    <w:rPr>
                      <w:color w:val="auto"/>
                      <w:sz w:val="21"/>
                      <w:szCs w:val="21"/>
                    </w:rPr>
                  </w:pPr>
                </w:p>
              </w:tc>
              <w:tc>
                <w:tcPr>
                  <w:tcW w:w="544" w:type="pct"/>
                  <w:vMerge w:val="continue"/>
                  <w:tcBorders>
                    <w:tl2br w:val="nil"/>
                    <w:tr2bl w:val="nil"/>
                  </w:tcBorders>
                  <w:noWrap w:val="0"/>
                  <w:vAlign w:val="center"/>
                </w:tcPr>
                <w:p w14:paraId="6F1B808D">
                  <w:pPr>
                    <w:spacing w:line="280" w:lineRule="exact"/>
                    <w:jc w:val="center"/>
                    <w:rPr>
                      <w:color w:val="auto"/>
                      <w:sz w:val="21"/>
                      <w:szCs w:val="21"/>
                    </w:rPr>
                  </w:pPr>
                </w:p>
              </w:tc>
              <w:tc>
                <w:tcPr>
                  <w:tcW w:w="647" w:type="pct"/>
                  <w:vMerge w:val="continue"/>
                  <w:tcBorders>
                    <w:tl2br w:val="nil"/>
                    <w:tr2bl w:val="nil"/>
                  </w:tcBorders>
                  <w:noWrap w:val="0"/>
                  <w:vAlign w:val="center"/>
                </w:tcPr>
                <w:p w14:paraId="54B770B8">
                  <w:pPr>
                    <w:spacing w:line="280" w:lineRule="exact"/>
                    <w:jc w:val="center"/>
                    <w:rPr>
                      <w:color w:val="auto"/>
                      <w:sz w:val="21"/>
                      <w:szCs w:val="21"/>
                    </w:rPr>
                  </w:pPr>
                </w:p>
              </w:tc>
            </w:tr>
            <w:tr w14:paraId="13166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24" w:type="pct"/>
                  <w:tcBorders>
                    <w:tl2br w:val="nil"/>
                    <w:tr2bl w:val="nil"/>
                  </w:tcBorders>
                  <w:noWrap w:val="0"/>
                  <w:vAlign w:val="center"/>
                </w:tcPr>
                <w:p w14:paraId="68AC3B14">
                  <w:pPr>
                    <w:spacing w:line="280" w:lineRule="exact"/>
                    <w:jc w:val="center"/>
                    <w:rPr>
                      <w:color w:val="auto"/>
                      <w:sz w:val="21"/>
                      <w:szCs w:val="21"/>
                    </w:rPr>
                  </w:pPr>
                  <w:bookmarkStart w:id="58" w:name="OLE_LINK24"/>
                  <w:r>
                    <w:rPr>
                      <w:rFonts w:hint="eastAsia"/>
                      <w:color w:val="auto"/>
                      <w:sz w:val="24"/>
                      <w:szCs w:val="24"/>
                      <w:lang w:val="en-US" w:eastAsia="zh-CN"/>
                    </w:rPr>
                    <w:t>常州市丹金船闸管理所</w:t>
                  </w:r>
                  <w:bookmarkEnd w:id="58"/>
                  <w:r>
                    <w:rPr>
                      <w:rFonts w:hint="eastAsia"/>
                      <w:color w:val="auto"/>
                      <w:sz w:val="24"/>
                      <w:szCs w:val="24"/>
                      <w:lang w:val="en-US" w:eastAsia="zh-CN"/>
                    </w:rPr>
                    <w:t>东侧</w:t>
                  </w:r>
                </w:p>
              </w:tc>
              <w:tc>
                <w:tcPr>
                  <w:tcW w:w="621" w:type="pct"/>
                  <w:tcBorders>
                    <w:tl2br w:val="nil"/>
                    <w:tr2bl w:val="nil"/>
                  </w:tcBorders>
                  <w:noWrap w:val="0"/>
                  <w:vAlign w:val="center"/>
                </w:tcPr>
                <w:p w14:paraId="5555CBF9">
                  <w:pPr>
                    <w:spacing w:line="280" w:lineRule="exact"/>
                    <w:jc w:val="center"/>
                    <w:rPr>
                      <w:color w:val="auto"/>
                      <w:sz w:val="21"/>
                      <w:szCs w:val="21"/>
                    </w:rPr>
                  </w:pPr>
                  <w:r>
                    <w:rPr>
                      <w:color w:val="auto"/>
                      <w:sz w:val="21"/>
                      <w:szCs w:val="21"/>
                    </w:rPr>
                    <w:t>119.56899</w:t>
                  </w:r>
                </w:p>
              </w:tc>
              <w:tc>
                <w:tcPr>
                  <w:tcW w:w="644" w:type="pct"/>
                  <w:tcBorders>
                    <w:tl2br w:val="nil"/>
                    <w:tr2bl w:val="nil"/>
                  </w:tcBorders>
                  <w:noWrap w:val="0"/>
                  <w:vAlign w:val="center"/>
                </w:tcPr>
                <w:p w14:paraId="268743D8">
                  <w:pPr>
                    <w:spacing w:line="280" w:lineRule="exact"/>
                    <w:jc w:val="center"/>
                    <w:rPr>
                      <w:color w:val="auto"/>
                      <w:sz w:val="21"/>
                      <w:szCs w:val="21"/>
                    </w:rPr>
                  </w:pPr>
                  <w:r>
                    <w:rPr>
                      <w:color w:val="auto"/>
                      <w:sz w:val="21"/>
                      <w:szCs w:val="21"/>
                    </w:rPr>
                    <w:t>31.786031</w:t>
                  </w:r>
                </w:p>
              </w:tc>
              <w:tc>
                <w:tcPr>
                  <w:tcW w:w="614" w:type="pct"/>
                  <w:tcBorders>
                    <w:tl2br w:val="nil"/>
                    <w:tr2bl w:val="nil"/>
                  </w:tcBorders>
                  <w:noWrap w:val="0"/>
                  <w:vAlign w:val="center"/>
                </w:tcPr>
                <w:p w14:paraId="2D0EA1BE">
                  <w:pPr>
                    <w:spacing w:line="320" w:lineRule="exact"/>
                    <w:jc w:val="center"/>
                    <w:rPr>
                      <w:rFonts w:hint="eastAsia"/>
                      <w:color w:val="auto"/>
                      <w:sz w:val="21"/>
                      <w:szCs w:val="21"/>
                    </w:rPr>
                  </w:pPr>
                  <w:r>
                    <w:rPr>
                      <w:rFonts w:hint="eastAsia"/>
                      <w:color w:val="auto"/>
                      <w:sz w:val="21"/>
                      <w:szCs w:val="21"/>
                    </w:rPr>
                    <w:t>非甲烷总烃</w:t>
                  </w:r>
                </w:p>
              </w:tc>
              <w:tc>
                <w:tcPr>
                  <w:tcW w:w="902" w:type="pct"/>
                  <w:tcBorders>
                    <w:tl2br w:val="nil"/>
                    <w:tr2bl w:val="nil"/>
                  </w:tcBorders>
                  <w:noWrap w:val="0"/>
                  <w:vAlign w:val="center"/>
                </w:tcPr>
                <w:p w14:paraId="77A50DB4">
                  <w:pPr>
                    <w:spacing w:line="280" w:lineRule="exact"/>
                    <w:jc w:val="center"/>
                    <w:rPr>
                      <w:rFonts w:hint="default" w:eastAsia="宋体"/>
                      <w:color w:val="auto"/>
                      <w:sz w:val="21"/>
                      <w:szCs w:val="21"/>
                      <w:lang w:val="en-US" w:eastAsia="zh-CN"/>
                    </w:rPr>
                  </w:pPr>
                  <w:r>
                    <w:rPr>
                      <w:rFonts w:hint="eastAsia"/>
                      <w:color w:val="auto"/>
                      <w:sz w:val="21"/>
                      <w:szCs w:val="21"/>
                    </w:rPr>
                    <w:t>202</w:t>
                  </w:r>
                  <w:r>
                    <w:rPr>
                      <w:rFonts w:hint="eastAsia"/>
                      <w:color w:val="auto"/>
                      <w:sz w:val="21"/>
                      <w:szCs w:val="21"/>
                      <w:lang w:val="en-US" w:eastAsia="zh-CN"/>
                    </w:rPr>
                    <w:t>4.11.11-17</w:t>
                  </w:r>
                </w:p>
              </w:tc>
              <w:tc>
                <w:tcPr>
                  <w:tcW w:w="544" w:type="pct"/>
                  <w:tcBorders>
                    <w:tl2br w:val="nil"/>
                    <w:tr2bl w:val="nil"/>
                  </w:tcBorders>
                  <w:noWrap w:val="0"/>
                  <w:vAlign w:val="center"/>
                </w:tcPr>
                <w:p w14:paraId="5C7DACE2">
                  <w:pPr>
                    <w:spacing w:line="280" w:lineRule="exact"/>
                    <w:jc w:val="center"/>
                    <w:rPr>
                      <w:rFonts w:hint="eastAsia" w:eastAsia="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NE</w:t>
                  </w:r>
                </w:p>
              </w:tc>
              <w:tc>
                <w:tcPr>
                  <w:tcW w:w="647" w:type="pct"/>
                  <w:tcBorders>
                    <w:tl2br w:val="nil"/>
                    <w:tr2bl w:val="nil"/>
                  </w:tcBorders>
                  <w:noWrap w:val="0"/>
                  <w:vAlign w:val="center"/>
                </w:tcPr>
                <w:p w14:paraId="2913485A">
                  <w:pPr>
                    <w:spacing w:line="280" w:lineRule="exact"/>
                    <w:jc w:val="center"/>
                    <w:rPr>
                      <w:rFonts w:hint="default" w:eastAsia="宋体"/>
                      <w:color w:val="auto"/>
                      <w:sz w:val="21"/>
                      <w:szCs w:val="21"/>
                      <w:lang w:val="en-US" w:eastAsia="zh-CN"/>
                    </w:rPr>
                  </w:pPr>
                  <w:r>
                    <w:rPr>
                      <w:rFonts w:hint="eastAsia"/>
                      <w:color w:val="auto"/>
                      <w:sz w:val="21"/>
                      <w:szCs w:val="21"/>
                      <w:lang w:val="en-US" w:eastAsia="zh-CN"/>
                    </w:rPr>
                    <w:t>2500</w:t>
                  </w:r>
                </w:p>
              </w:tc>
            </w:tr>
          </w:tbl>
          <w:p w14:paraId="0F14A36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kern w:val="0"/>
                <w:sz w:val="24"/>
                <w:szCs w:val="24"/>
              </w:rPr>
            </w:pPr>
            <w:r>
              <w:rPr>
                <w:rFonts w:ascii="宋体" w:hAnsi="宋体"/>
                <w:color w:val="auto"/>
                <w:sz w:val="24"/>
                <w:szCs w:val="24"/>
              </w:rPr>
              <w:t>②</w:t>
            </w:r>
            <w:r>
              <w:rPr>
                <w:rFonts w:hint="eastAsia" w:ascii="宋体" w:hAnsi="宋体"/>
                <w:color w:val="auto"/>
                <w:sz w:val="24"/>
                <w:szCs w:val="24"/>
              </w:rPr>
              <w:t>引</w:t>
            </w:r>
            <w:r>
              <w:rPr>
                <w:rFonts w:hint="eastAsia"/>
                <w:color w:val="auto"/>
                <w:kern w:val="0"/>
                <w:sz w:val="24"/>
                <w:szCs w:val="24"/>
              </w:rPr>
              <w:t>用</w:t>
            </w:r>
            <w:r>
              <w:rPr>
                <w:color w:val="auto"/>
                <w:kern w:val="0"/>
                <w:sz w:val="24"/>
                <w:szCs w:val="24"/>
              </w:rPr>
              <w:t>项目</w:t>
            </w:r>
          </w:p>
          <w:p w14:paraId="58C04FD8">
            <w:pPr>
              <w:keepNext w:val="0"/>
              <w:keepLines w:val="0"/>
              <w:pageBreakBefore w:val="0"/>
              <w:widowControl w:val="0"/>
              <w:kinsoku/>
              <w:wordWrap/>
              <w:overflowPunct/>
              <w:topLinePunct w:val="0"/>
              <w:autoSpaceDE/>
              <w:autoSpaceDN/>
              <w:bidi w:val="0"/>
              <w:spacing w:line="480" w:lineRule="exact"/>
              <w:ind w:firstLine="499" w:firstLineChars="208"/>
              <w:textAlignment w:val="auto"/>
              <w:rPr>
                <w:color w:val="auto"/>
                <w:sz w:val="24"/>
                <w:szCs w:val="24"/>
              </w:rPr>
            </w:pPr>
            <w:r>
              <w:rPr>
                <w:rFonts w:hint="eastAsia"/>
                <w:color w:val="auto"/>
                <w:sz w:val="24"/>
                <w:szCs w:val="24"/>
              </w:rPr>
              <w:t>非甲烷总烃</w:t>
            </w:r>
            <w:r>
              <w:rPr>
                <w:color w:val="auto"/>
                <w:sz w:val="24"/>
                <w:szCs w:val="24"/>
              </w:rPr>
              <w:t>。</w:t>
            </w:r>
          </w:p>
          <w:p w14:paraId="3E1B89EC">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ascii="宋体" w:hAnsi="宋体"/>
                <w:color w:val="auto"/>
                <w:sz w:val="24"/>
                <w:szCs w:val="24"/>
              </w:rPr>
              <w:t>③</w:t>
            </w:r>
            <w:r>
              <w:rPr>
                <w:rFonts w:hint="eastAsia"/>
                <w:color w:val="auto"/>
                <w:sz w:val="24"/>
                <w:szCs w:val="24"/>
              </w:rPr>
              <w:t>引用</w:t>
            </w:r>
            <w:r>
              <w:rPr>
                <w:color w:val="auto"/>
                <w:sz w:val="24"/>
                <w:szCs w:val="24"/>
              </w:rPr>
              <w:t>频次</w:t>
            </w:r>
          </w:p>
          <w:p w14:paraId="25C383C5">
            <w:pPr>
              <w:keepNext w:val="0"/>
              <w:keepLines w:val="0"/>
              <w:pageBreakBefore w:val="0"/>
              <w:widowControl w:val="0"/>
              <w:kinsoku/>
              <w:wordWrap/>
              <w:overflowPunct/>
              <w:topLinePunct w:val="0"/>
              <w:autoSpaceDE/>
              <w:autoSpaceDN/>
              <w:bidi w:val="0"/>
              <w:spacing w:line="480" w:lineRule="exact"/>
              <w:ind w:firstLine="499" w:firstLineChars="208"/>
              <w:textAlignment w:val="auto"/>
              <w:rPr>
                <w:color w:val="auto"/>
                <w:sz w:val="24"/>
                <w:szCs w:val="24"/>
              </w:rPr>
            </w:pPr>
            <w:r>
              <w:rPr>
                <w:rFonts w:hint="eastAsia"/>
                <w:color w:val="auto"/>
                <w:sz w:val="24"/>
                <w:szCs w:val="24"/>
              </w:rPr>
              <w:t>连续监测3天以上，每天采样4次(具体为02、08、14、20时)，每小时采样不少于45分钟。同时调查与监测期间同步的风向、风速、温度、湿度气压等气象参数。</w:t>
            </w:r>
          </w:p>
          <w:p w14:paraId="42979BEF">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ascii="宋体" w:hAnsi="宋体"/>
                <w:color w:val="auto"/>
                <w:sz w:val="24"/>
                <w:szCs w:val="24"/>
              </w:rPr>
              <w:t>④</w:t>
            </w:r>
            <w:r>
              <w:rPr>
                <w:rFonts w:hint="eastAsia"/>
                <w:color w:val="auto"/>
                <w:sz w:val="24"/>
                <w:szCs w:val="24"/>
              </w:rPr>
              <w:t>引用</w:t>
            </w:r>
            <w:r>
              <w:rPr>
                <w:color w:val="auto"/>
                <w:sz w:val="24"/>
                <w:szCs w:val="24"/>
              </w:rPr>
              <w:t>数据汇总</w:t>
            </w:r>
          </w:p>
          <w:p w14:paraId="720FBABD">
            <w:pPr>
              <w:spacing w:line="340" w:lineRule="exact"/>
              <w:ind w:firstLine="413" w:firstLineChars="196"/>
              <w:jc w:val="center"/>
              <w:rPr>
                <w:b/>
                <w:bCs/>
                <w:color w:val="auto"/>
                <w:sz w:val="21"/>
                <w:szCs w:val="21"/>
              </w:rPr>
            </w:pPr>
            <w:r>
              <w:rPr>
                <w:b/>
                <w:bCs/>
                <w:color w:val="auto"/>
                <w:sz w:val="21"/>
                <w:szCs w:val="21"/>
              </w:rPr>
              <w:t>表3-</w:t>
            </w:r>
            <w:r>
              <w:rPr>
                <w:rFonts w:hint="eastAsia"/>
                <w:b/>
                <w:bCs/>
                <w:color w:val="auto"/>
                <w:sz w:val="21"/>
                <w:szCs w:val="21"/>
              </w:rPr>
              <w:t>3</w:t>
            </w:r>
            <w:r>
              <w:rPr>
                <w:b/>
                <w:bCs/>
                <w:color w:val="auto"/>
                <w:sz w:val="21"/>
                <w:szCs w:val="21"/>
              </w:rPr>
              <w:t xml:space="preserve">  其他污染物环境质量现状（监测结果）表</w:t>
            </w:r>
          </w:p>
          <w:tbl>
            <w:tblPr>
              <w:tblStyle w:val="22"/>
              <w:tblW w:w="8293"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880"/>
              <w:gridCol w:w="909"/>
              <w:gridCol w:w="664"/>
              <w:gridCol w:w="589"/>
              <w:gridCol w:w="1066"/>
              <w:gridCol w:w="1120"/>
              <w:gridCol w:w="755"/>
              <w:gridCol w:w="597"/>
              <w:gridCol w:w="554"/>
            </w:tblGrid>
            <w:tr w14:paraId="3113B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159" w:type="dxa"/>
                  <w:vMerge w:val="restart"/>
                  <w:tcBorders>
                    <w:top w:val="single" w:color="auto" w:sz="12" w:space="0"/>
                  </w:tcBorders>
                  <w:noWrap w:val="0"/>
                  <w:vAlign w:val="center"/>
                </w:tcPr>
                <w:p w14:paraId="0C313241">
                  <w:pPr>
                    <w:spacing w:line="280" w:lineRule="exact"/>
                    <w:jc w:val="center"/>
                    <w:rPr>
                      <w:rFonts w:hint="eastAsia"/>
                      <w:b/>
                      <w:bCs/>
                      <w:color w:val="auto"/>
                      <w:sz w:val="21"/>
                      <w:szCs w:val="21"/>
                    </w:rPr>
                  </w:pPr>
                  <w:r>
                    <w:rPr>
                      <w:rFonts w:hint="eastAsia"/>
                      <w:b/>
                      <w:bCs/>
                      <w:color w:val="auto"/>
                      <w:sz w:val="21"/>
                      <w:szCs w:val="21"/>
                    </w:rPr>
                    <w:t>引用</w:t>
                  </w:r>
                </w:p>
                <w:p w14:paraId="1CAB496B">
                  <w:pPr>
                    <w:spacing w:line="280" w:lineRule="exact"/>
                    <w:jc w:val="center"/>
                    <w:rPr>
                      <w:b/>
                      <w:bCs/>
                      <w:color w:val="auto"/>
                      <w:sz w:val="21"/>
                      <w:szCs w:val="21"/>
                    </w:rPr>
                  </w:pPr>
                  <w:r>
                    <w:rPr>
                      <w:b/>
                      <w:bCs/>
                      <w:color w:val="auto"/>
                      <w:sz w:val="21"/>
                      <w:szCs w:val="21"/>
                    </w:rPr>
                    <w:t>点位</w:t>
                  </w:r>
                </w:p>
              </w:tc>
              <w:tc>
                <w:tcPr>
                  <w:tcW w:w="1789" w:type="dxa"/>
                  <w:gridSpan w:val="2"/>
                  <w:tcBorders>
                    <w:top w:val="single" w:color="auto" w:sz="12" w:space="0"/>
                    <w:bottom w:val="single" w:color="auto" w:sz="2" w:space="0"/>
                  </w:tcBorders>
                  <w:noWrap w:val="0"/>
                  <w:vAlign w:val="center"/>
                </w:tcPr>
                <w:p w14:paraId="1930CCAF">
                  <w:pPr>
                    <w:spacing w:line="280" w:lineRule="exact"/>
                    <w:jc w:val="center"/>
                    <w:rPr>
                      <w:b/>
                      <w:bCs/>
                      <w:color w:val="auto"/>
                      <w:sz w:val="21"/>
                      <w:szCs w:val="21"/>
                    </w:rPr>
                  </w:pPr>
                  <w:r>
                    <w:rPr>
                      <w:rFonts w:hint="eastAsia"/>
                      <w:b/>
                      <w:bCs/>
                      <w:color w:val="auto"/>
                      <w:sz w:val="21"/>
                      <w:szCs w:val="21"/>
                    </w:rPr>
                    <w:t>引用</w:t>
                  </w:r>
                  <w:r>
                    <w:rPr>
                      <w:b/>
                      <w:bCs/>
                      <w:color w:val="auto"/>
                      <w:sz w:val="21"/>
                      <w:szCs w:val="21"/>
                    </w:rPr>
                    <w:t>点坐标</w:t>
                  </w:r>
                  <w:r>
                    <w:rPr>
                      <w:rFonts w:hint="eastAsia"/>
                      <w:b/>
                      <w:bCs/>
                      <w:color w:val="auto"/>
                      <w:sz w:val="21"/>
                      <w:szCs w:val="21"/>
                      <w:lang w:val="en-US" w:eastAsia="zh-CN"/>
                    </w:rPr>
                    <w:t>/°</w:t>
                  </w:r>
                </w:p>
              </w:tc>
              <w:tc>
                <w:tcPr>
                  <w:tcW w:w="664" w:type="dxa"/>
                  <w:vMerge w:val="restart"/>
                  <w:tcBorders>
                    <w:top w:val="single" w:color="auto" w:sz="12" w:space="0"/>
                    <w:right w:val="single" w:color="auto" w:sz="2" w:space="0"/>
                  </w:tcBorders>
                  <w:noWrap w:val="0"/>
                  <w:vAlign w:val="center"/>
                </w:tcPr>
                <w:p w14:paraId="0234E7A3">
                  <w:pPr>
                    <w:spacing w:line="280" w:lineRule="exact"/>
                    <w:jc w:val="center"/>
                    <w:rPr>
                      <w:b/>
                      <w:bCs/>
                      <w:color w:val="auto"/>
                      <w:sz w:val="21"/>
                      <w:szCs w:val="21"/>
                    </w:rPr>
                  </w:pPr>
                  <w:r>
                    <w:rPr>
                      <w:b/>
                      <w:bCs/>
                      <w:color w:val="auto"/>
                      <w:sz w:val="21"/>
                      <w:szCs w:val="21"/>
                    </w:rPr>
                    <w:t>污染物</w:t>
                  </w:r>
                </w:p>
              </w:tc>
              <w:tc>
                <w:tcPr>
                  <w:tcW w:w="589" w:type="dxa"/>
                  <w:vMerge w:val="restart"/>
                  <w:tcBorders>
                    <w:top w:val="single" w:color="auto" w:sz="12" w:space="0"/>
                    <w:left w:val="single" w:color="auto" w:sz="2" w:space="0"/>
                  </w:tcBorders>
                  <w:noWrap w:val="0"/>
                  <w:vAlign w:val="center"/>
                </w:tcPr>
                <w:p w14:paraId="79C371D3">
                  <w:pPr>
                    <w:spacing w:line="280" w:lineRule="exact"/>
                    <w:jc w:val="center"/>
                    <w:rPr>
                      <w:b/>
                      <w:bCs/>
                      <w:color w:val="auto"/>
                      <w:sz w:val="21"/>
                      <w:szCs w:val="21"/>
                    </w:rPr>
                  </w:pPr>
                  <w:r>
                    <w:rPr>
                      <w:b/>
                      <w:bCs/>
                      <w:color w:val="auto"/>
                      <w:sz w:val="21"/>
                      <w:szCs w:val="21"/>
                    </w:rPr>
                    <w:t>平均</w:t>
                  </w:r>
                </w:p>
                <w:p w14:paraId="0ABAE8A0">
                  <w:pPr>
                    <w:spacing w:line="280" w:lineRule="exact"/>
                    <w:jc w:val="center"/>
                    <w:rPr>
                      <w:b/>
                      <w:bCs/>
                      <w:color w:val="auto"/>
                      <w:sz w:val="21"/>
                      <w:szCs w:val="21"/>
                    </w:rPr>
                  </w:pPr>
                  <w:r>
                    <w:rPr>
                      <w:b/>
                      <w:bCs/>
                      <w:color w:val="auto"/>
                      <w:sz w:val="21"/>
                      <w:szCs w:val="21"/>
                    </w:rPr>
                    <w:t>时间</w:t>
                  </w:r>
                </w:p>
              </w:tc>
              <w:tc>
                <w:tcPr>
                  <w:tcW w:w="1066" w:type="dxa"/>
                  <w:vMerge w:val="restart"/>
                  <w:tcBorders>
                    <w:top w:val="single" w:color="auto" w:sz="12" w:space="0"/>
                    <w:right w:val="single" w:color="auto" w:sz="2" w:space="0"/>
                  </w:tcBorders>
                  <w:noWrap w:val="0"/>
                  <w:vAlign w:val="center"/>
                </w:tcPr>
                <w:p w14:paraId="7803B7BF">
                  <w:pPr>
                    <w:spacing w:line="280" w:lineRule="exact"/>
                    <w:jc w:val="center"/>
                    <w:rPr>
                      <w:b/>
                      <w:bCs/>
                      <w:color w:val="auto"/>
                      <w:spacing w:val="-11"/>
                      <w:sz w:val="21"/>
                      <w:szCs w:val="21"/>
                    </w:rPr>
                  </w:pPr>
                  <w:r>
                    <w:rPr>
                      <w:b/>
                      <w:bCs/>
                      <w:color w:val="auto"/>
                      <w:spacing w:val="-17"/>
                      <w:sz w:val="21"/>
                      <w:szCs w:val="21"/>
                    </w:rPr>
                    <w:t>评价标准/（</w:t>
                  </w:r>
                  <w:r>
                    <w:rPr>
                      <w:rFonts w:hint="eastAsia"/>
                      <w:b/>
                      <w:bCs/>
                      <w:color w:val="auto"/>
                      <w:spacing w:val="-17"/>
                      <w:sz w:val="21"/>
                      <w:szCs w:val="21"/>
                      <w:lang w:val="en-US" w:eastAsia="zh-CN"/>
                    </w:rPr>
                    <w:t>mg</w:t>
                  </w:r>
                  <w:r>
                    <w:rPr>
                      <w:b/>
                      <w:bCs/>
                      <w:color w:val="auto"/>
                      <w:spacing w:val="-17"/>
                      <w:sz w:val="21"/>
                      <w:szCs w:val="21"/>
                    </w:rPr>
                    <w:t>/m</w:t>
                  </w:r>
                  <w:r>
                    <w:rPr>
                      <w:b/>
                      <w:bCs/>
                      <w:color w:val="auto"/>
                      <w:spacing w:val="-17"/>
                      <w:sz w:val="21"/>
                      <w:szCs w:val="21"/>
                      <w:vertAlign w:val="superscript"/>
                    </w:rPr>
                    <w:t>3</w:t>
                  </w:r>
                  <w:r>
                    <w:rPr>
                      <w:b/>
                      <w:bCs/>
                      <w:color w:val="auto"/>
                      <w:spacing w:val="-17"/>
                      <w:sz w:val="21"/>
                      <w:szCs w:val="21"/>
                    </w:rPr>
                    <w:t>）</w:t>
                  </w:r>
                </w:p>
              </w:tc>
              <w:tc>
                <w:tcPr>
                  <w:tcW w:w="1120" w:type="dxa"/>
                  <w:vMerge w:val="restart"/>
                  <w:tcBorders>
                    <w:top w:val="single" w:color="auto" w:sz="12" w:space="0"/>
                    <w:left w:val="single" w:color="auto" w:sz="2" w:space="0"/>
                    <w:right w:val="single" w:color="auto" w:sz="2" w:space="0"/>
                  </w:tcBorders>
                  <w:noWrap w:val="0"/>
                  <w:vAlign w:val="center"/>
                </w:tcPr>
                <w:p w14:paraId="7BA7FFFC">
                  <w:pPr>
                    <w:spacing w:line="280" w:lineRule="exact"/>
                    <w:jc w:val="center"/>
                    <w:rPr>
                      <w:b/>
                      <w:bCs/>
                      <w:color w:val="auto"/>
                      <w:spacing w:val="-11"/>
                      <w:sz w:val="21"/>
                      <w:szCs w:val="21"/>
                    </w:rPr>
                  </w:pPr>
                  <w:r>
                    <w:rPr>
                      <w:rFonts w:hint="eastAsia"/>
                      <w:b/>
                      <w:bCs/>
                      <w:color w:val="auto"/>
                      <w:spacing w:val="-11"/>
                      <w:sz w:val="21"/>
                      <w:szCs w:val="21"/>
                    </w:rPr>
                    <w:t>引用</w:t>
                  </w:r>
                  <w:r>
                    <w:rPr>
                      <w:b/>
                      <w:bCs/>
                      <w:color w:val="auto"/>
                      <w:spacing w:val="-11"/>
                      <w:sz w:val="21"/>
                      <w:szCs w:val="21"/>
                    </w:rPr>
                    <w:t>浓度范围/（</w:t>
                  </w:r>
                  <w:r>
                    <w:rPr>
                      <w:rFonts w:hint="eastAsia"/>
                      <w:b/>
                      <w:bCs/>
                      <w:color w:val="auto"/>
                      <w:spacing w:val="-11"/>
                      <w:sz w:val="21"/>
                      <w:szCs w:val="21"/>
                      <w:lang w:val="en-US" w:eastAsia="zh-CN"/>
                    </w:rPr>
                    <w:t>m</w:t>
                  </w:r>
                  <w:r>
                    <w:rPr>
                      <w:b/>
                      <w:bCs/>
                      <w:color w:val="auto"/>
                      <w:spacing w:val="-11"/>
                      <w:sz w:val="21"/>
                      <w:szCs w:val="21"/>
                    </w:rPr>
                    <w:t>g/m</w:t>
                  </w:r>
                  <w:r>
                    <w:rPr>
                      <w:b/>
                      <w:bCs/>
                      <w:color w:val="auto"/>
                      <w:spacing w:val="-11"/>
                      <w:sz w:val="21"/>
                      <w:szCs w:val="21"/>
                      <w:vertAlign w:val="superscript"/>
                    </w:rPr>
                    <w:t>3</w:t>
                  </w:r>
                  <w:r>
                    <w:rPr>
                      <w:b/>
                      <w:bCs/>
                      <w:color w:val="auto"/>
                      <w:spacing w:val="-11"/>
                      <w:sz w:val="21"/>
                      <w:szCs w:val="21"/>
                    </w:rPr>
                    <w:t>）</w:t>
                  </w:r>
                </w:p>
              </w:tc>
              <w:tc>
                <w:tcPr>
                  <w:tcW w:w="755" w:type="dxa"/>
                  <w:vMerge w:val="restart"/>
                  <w:tcBorders>
                    <w:top w:val="single" w:color="auto" w:sz="12" w:space="0"/>
                    <w:left w:val="single" w:color="auto" w:sz="2" w:space="0"/>
                    <w:right w:val="single" w:color="auto" w:sz="2" w:space="0"/>
                  </w:tcBorders>
                  <w:noWrap w:val="0"/>
                  <w:vAlign w:val="center"/>
                </w:tcPr>
                <w:p w14:paraId="58648E8C">
                  <w:pPr>
                    <w:spacing w:line="280" w:lineRule="exact"/>
                    <w:jc w:val="center"/>
                    <w:rPr>
                      <w:b/>
                      <w:bCs/>
                      <w:color w:val="auto"/>
                      <w:sz w:val="21"/>
                      <w:szCs w:val="21"/>
                    </w:rPr>
                  </w:pPr>
                  <w:r>
                    <w:rPr>
                      <w:b/>
                      <w:bCs/>
                      <w:color w:val="auto"/>
                      <w:sz w:val="21"/>
                      <w:szCs w:val="21"/>
                    </w:rPr>
                    <w:t>最大浓度占标率/%</w:t>
                  </w:r>
                </w:p>
              </w:tc>
              <w:tc>
                <w:tcPr>
                  <w:tcW w:w="597" w:type="dxa"/>
                  <w:vMerge w:val="restart"/>
                  <w:tcBorders>
                    <w:top w:val="single" w:color="auto" w:sz="12" w:space="0"/>
                    <w:left w:val="single" w:color="auto" w:sz="2" w:space="0"/>
                  </w:tcBorders>
                  <w:noWrap w:val="0"/>
                  <w:vAlign w:val="center"/>
                </w:tcPr>
                <w:p w14:paraId="15524766">
                  <w:pPr>
                    <w:spacing w:line="280" w:lineRule="exact"/>
                    <w:jc w:val="center"/>
                    <w:rPr>
                      <w:b/>
                      <w:bCs/>
                      <w:color w:val="auto"/>
                      <w:sz w:val="21"/>
                      <w:szCs w:val="21"/>
                    </w:rPr>
                  </w:pPr>
                  <w:r>
                    <w:rPr>
                      <w:b/>
                      <w:bCs/>
                      <w:color w:val="auto"/>
                      <w:sz w:val="21"/>
                      <w:szCs w:val="21"/>
                    </w:rPr>
                    <w:t>超标频率/%</w:t>
                  </w:r>
                </w:p>
              </w:tc>
              <w:tc>
                <w:tcPr>
                  <w:tcW w:w="554" w:type="dxa"/>
                  <w:vMerge w:val="restart"/>
                  <w:tcBorders>
                    <w:top w:val="single" w:color="auto" w:sz="12" w:space="0"/>
                  </w:tcBorders>
                  <w:noWrap w:val="0"/>
                  <w:vAlign w:val="center"/>
                </w:tcPr>
                <w:p w14:paraId="2E328979">
                  <w:pPr>
                    <w:spacing w:line="280" w:lineRule="exact"/>
                    <w:jc w:val="center"/>
                    <w:rPr>
                      <w:b/>
                      <w:bCs/>
                      <w:color w:val="auto"/>
                      <w:sz w:val="21"/>
                      <w:szCs w:val="21"/>
                    </w:rPr>
                  </w:pPr>
                  <w:r>
                    <w:rPr>
                      <w:b/>
                      <w:bCs/>
                      <w:color w:val="auto"/>
                      <w:sz w:val="21"/>
                      <w:szCs w:val="21"/>
                    </w:rPr>
                    <w:t>达标</w:t>
                  </w:r>
                </w:p>
                <w:p w14:paraId="592B3AC9">
                  <w:pPr>
                    <w:spacing w:line="280" w:lineRule="exact"/>
                    <w:jc w:val="center"/>
                    <w:rPr>
                      <w:b/>
                      <w:bCs/>
                      <w:color w:val="auto"/>
                      <w:sz w:val="21"/>
                      <w:szCs w:val="21"/>
                    </w:rPr>
                  </w:pPr>
                  <w:r>
                    <w:rPr>
                      <w:b/>
                      <w:bCs/>
                      <w:color w:val="auto"/>
                      <w:sz w:val="21"/>
                      <w:szCs w:val="21"/>
                    </w:rPr>
                    <w:t>情况</w:t>
                  </w:r>
                </w:p>
              </w:tc>
            </w:tr>
            <w:tr w14:paraId="13AE5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159" w:type="dxa"/>
                  <w:vMerge w:val="continue"/>
                  <w:noWrap w:val="0"/>
                  <w:vAlign w:val="center"/>
                </w:tcPr>
                <w:p w14:paraId="074A1EB2">
                  <w:pPr>
                    <w:spacing w:line="280" w:lineRule="exact"/>
                    <w:jc w:val="center"/>
                    <w:rPr>
                      <w:b/>
                      <w:bCs/>
                      <w:color w:val="auto"/>
                      <w:sz w:val="21"/>
                      <w:szCs w:val="21"/>
                    </w:rPr>
                  </w:pPr>
                </w:p>
              </w:tc>
              <w:tc>
                <w:tcPr>
                  <w:tcW w:w="880" w:type="dxa"/>
                  <w:tcBorders>
                    <w:top w:val="single" w:color="auto" w:sz="2" w:space="0"/>
                  </w:tcBorders>
                  <w:noWrap w:val="0"/>
                  <w:vAlign w:val="center"/>
                </w:tcPr>
                <w:p w14:paraId="23A7296C">
                  <w:pPr>
                    <w:spacing w:line="280" w:lineRule="exact"/>
                    <w:jc w:val="center"/>
                    <w:rPr>
                      <w:b/>
                      <w:bCs/>
                      <w:color w:val="auto"/>
                      <w:sz w:val="21"/>
                      <w:szCs w:val="21"/>
                    </w:rPr>
                  </w:pPr>
                  <w:r>
                    <w:rPr>
                      <w:rFonts w:hint="eastAsia"/>
                      <w:b/>
                      <w:bCs/>
                      <w:color w:val="auto"/>
                      <w:sz w:val="21"/>
                      <w:szCs w:val="21"/>
                      <w:lang w:val="en-US" w:eastAsia="zh-CN"/>
                    </w:rPr>
                    <w:t>东经</w:t>
                  </w:r>
                </w:p>
              </w:tc>
              <w:tc>
                <w:tcPr>
                  <w:tcW w:w="909" w:type="dxa"/>
                  <w:tcBorders>
                    <w:top w:val="single" w:color="auto" w:sz="2" w:space="0"/>
                  </w:tcBorders>
                  <w:noWrap w:val="0"/>
                  <w:vAlign w:val="center"/>
                </w:tcPr>
                <w:p w14:paraId="149D4EE1">
                  <w:pPr>
                    <w:spacing w:line="280" w:lineRule="exact"/>
                    <w:jc w:val="center"/>
                    <w:rPr>
                      <w:b/>
                      <w:bCs/>
                      <w:color w:val="auto"/>
                      <w:sz w:val="21"/>
                      <w:szCs w:val="21"/>
                    </w:rPr>
                  </w:pPr>
                  <w:r>
                    <w:rPr>
                      <w:rFonts w:hint="eastAsia"/>
                      <w:b/>
                      <w:bCs/>
                      <w:color w:val="auto"/>
                      <w:sz w:val="21"/>
                      <w:szCs w:val="21"/>
                      <w:lang w:val="en-US" w:eastAsia="zh-CN"/>
                    </w:rPr>
                    <w:t>西经</w:t>
                  </w:r>
                </w:p>
              </w:tc>
              <w:tc>
                <w:tcPr>
                  <w:tcW w:w="664" w:type="dxa"/>
                  <w:vMerge w:val="continue"/>
                  <w:tcBorders>
                    <w:right w:val="single" w:color="auto" w:sz="2" w:space="0"/>
                  </w:tcBorders>
                  <w:noWrap w:val="0"/>
                  <w:vAlign w:val="center"/>
                </w:tcPr>
                <w:p w14:paraId="565D1ED6">
                  <w:pPr>
                    <w:spacing w:line="280" w:lineRule="exact"/>
                    <w:jc w:val="center"/>
                    <w:rPr>
                      <w:color w:val="auto"/>
                      <w:sz w:val="21"/>
                      <w:szCs w:val="21"/>
                    </w:rPr>
                  </w:pPr>
                </w:p>
              </w:tc>
              <w:tc>
                <w:tcPr>
                  <w:tcW w:w="589" w:type="dxa"/>
                  <w:vMerge w:val="continue"/>
                  <w:tcBorders>
                    <w:left w:val="single" w:color="auto" w:sz="2" w:space="0"/>
                  </w:tcBorders>
                  <w:noWrap w:val="0"/>
                  <w:vAlign w:val="center"/>
                </w:tcPr>
                <w:p w14:paraId="3CB30D6B">
                  <w:pPr>
                    <w:spacing w:line="280" w:lineRule="exact"/>
                    <w:jc w:val="center"/>
                    <w:rPr>
                      <w:color w:val="auto"/>
                      <w:sz w:val="21"/>
                      <w:szCs w:val="21"/>
                    </w:rPr>
                  </w:pPr>
                </w:p>
              </w:tc>
              <w:tc>
                <w:tcPr>
                  <w:tcW w:w="1066" w:type="dxa"/>
                  <w:vMerge w:val="continue"/>
                  <w:tcBorders>
                    <w:right w:val="single" w:color="auto" w:sz="2" w:space="0"/>
                  </w:tcBorders>
                  <w:noWrap w:val="0"/>
                  <w:vAlign w:val="center"/>
                </w:tcPr>
                <w:p w14:paraId="556F2775">
                  <w:pPr>
                    <w:spacing w:line="280" w:lineRule="exact"/>
                    <w:jc w:val="center"/>
                    <w:rPr>
                      <w:color w:val="auto"/>
                      <w:sz w:val="21"/>
                      <w:szCs w:val="21"/>
                    </w:rPr>
                  </w:pPr>
                </w:p>
              </w:tc>
              <w:tc>
                <w:tcPr>
                  <w:tcW w:w="1120" w:type="dxa"/>
                  <w:vMerge w:val="continue"/>
                  <w:tcBorders>
                    <w:left w:val="single" w:color="auto" w:sz="2" w:space="0"/>
                    <w:right w:val="single" w:color="auto" w:sz="2" w:space="0"/>
                  </w:tcBorders>
                  <w:noWrap w:val="0"/>
                  <w:vAlign w:val="center"/>
                </w:tcPr>
                <w:p w14:paraId="502DB442">
                  <w:pPr>
                    <w:spacing w:line="280" w:lineRule="exact"/>
                    <w:jc w:val="center"/>
                    <w:rPr>
                      <w:color w:val="auto"/>
                      <w:sz w:val="21"/>
                      <w:szCs w:val="21"/>
                    </w:rPr>
                  </w:pPr>
                </w:p>
              </w:tc>
              <w:tc>
                <w:tcPr>
                  <w:tcW w:w="755" w:type="dxa"/>
                  <w:vMerge w:val="continue"/>
                  <w:tcBorders>
                    <w:left w:val="single" w:color="auto" w:sz="2" w:space="0"/>
                    <w:right w:val="single" w:color="auto" w:sz="2" w:space="0"/>
                  </w:tcBorders>
                  <w:noWrap w:val="0"/>
                  <w:vAlign w:val="center"/>
                </w:tcPr>
                <w:p w14:paraId="202C2335">
                  <w:pPr>
                    <w:spacing w:line="280" w:lineRule="exact"/>
                    <w:jc w:val="center"/>
                    <w:rPr>
                      <w:color w:val="auto"/>
                      <w:sz w:val="21"/>
                      <w:szCs w:val="21"/>
                    </w:rPr>
                  </w:pPr>
                </w:p>
              </w:tc>
              <w:tc>
                <w:tcPr>
                  <w:tcW w:w="597" w:type="dxa"/>
                  <w:vMerge w:val="continue"/>
                  <w:tcBorders>
                    <w:left w:val="single" w:color="auto" w:sz="2" w:space="0"/>
                  </w:tcBorders>
                  <w:noWrap w:val="0"/>
                  <w:vAlign w:val="center"/>
                </w:tcPr>
                <w:p w14:paraId="11B3456E">
                  <w:pPr>
                    <w:spacing w:line="280" w:lineRule="exact"/>
                    <w:jc w:val="center"/>
                    <w:rPr>
                      <w:color w:val="auto"/>
                      <w:sz w:val="21"/>
                      <w:szCs w:val="21"/>
                    </w:rPr>
                  </w:pPr>
                </w:p>
              </w:tc>
              <w:tc>
                <w:tcPr>
                  <w:tcW w:w="554" w:type="dxa"/>
                  <w:vMerge w:val="continue"/>
                  <w:noWrap w:val="0"/>
                  <w:vAlign w:val="center"/>
                </w:tcPr>
                <w:p w14:paraId="67B7F534">
                  <w:pPr>
                    <w:spacing w:line="280" w:lineRule="exact"/>
                    <w:jc w:val="center"/>
                    <w:rPr>
                      <w:color w:val="auto"/>
                      <w:sz w:val="21"/>
                      <w:szCs w:val="21"/>
                    </w:rPr>
                  </w:pPr>
                </w:p>
              </w:tc>
            </w:tr>
            <w:tr w14:paraId="1DC1AF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159" w:type="dxa"/>
                  <w:noWrap w:val="0"/>
                  <w:vAlign w:val="center"/>
                </w:tcPr>
                <w:p w14:paraId="086DAEB5">
                  <w:pPr>
                    <w:spacing w:line="280" w:lineRule="exact"/>
                    <w:jc w:val="center"/>
                    <w:rPr>
                      <w:rFonts w:hint="eastAsia"/>
                      <w:color w:val="auto"/>
                      <w:sz w:val="21"/>
                      <w:szCs w:val="21"/>
                      <w:lang w:val="en-US" w:eastAsia="zh-CN"/>
                    </w:rPr>
                  </w:pPr>
                  <w:r>
                    <w:rPr>
                      <w:rFonts w:hint="eastAsia"/>
                      <w:color w:val="auto"/>
                      <w:sz w:val="21"/>
                      <w:szCs w:val="21"/>
                      <w:lang w:val="en-US" w:eastAsia="zh-CN"/>
                    </w:rPr>
                    <w:t>常州市丹金船闸管理所东侧</w:t>
                  </w:r>
                </w:p>
              </w:tc>
              <w:tc>
                <w:tcPr>
                  <w:tcW w:w="880" w:type="dxa"/>
                  <w:noWrap w:val="0"/>
                  <w:vAlign w:val="center"/>
                </w:tcPr>
                <w:p w14:paraId="73FC39BA">
                  <w:pPr>
                    <w:spacing w:line="280" w:lineRule="exact"/>
                    <w:jc w:val="center"/>
                    <w:rPr>
                      <w:rFonts w:hint="eastAsia"/>
                      <w:color w:val="auto"/>
                      <w:sz w:val="21"/>
                      <w:szCs w:val="21"/>
                    </w:rPr>
                  </w:pPr>
                  <w:r>
                    <w:rPr>
                      <w:color w:val="auto"/>
                      <w:sz w:val="21"/>
                      <w:szCs w:val="21"/>
                    </w:rPr>
                    <w:t>119.56899</w:t>
                  </w:r>
                </w:p>
              </w:tc>
              <w:tc>
                <w:tcPr>
                  <w:tcW w:w="909" w:type="dxa"/>
                  <w:noWrap w:val="0"/>
                  <w:vAlign w:val="center"/>
                </w:tcPr>
                <w:p w14:paraId="18EC7C1B">
                  <w:pPr>
                    <w:spacing w:line="280" w:lineRule="exact"/>
                    <w:jc w:val="center"/>
                    <w:rPr>
                      <w:rFonts w:hint="eastAsia"/>
                      <w:color w:val="auto"/>
                      <w:sz w:val="21"/>
                      <w:szCs w:val="21"/>
                    </w:rPr>
                  </w:pPr>
                  <w:r>
                    <w:rPr>
                      <w:color w:val="auto"/>
                      <w:sz w:val="21"/>
                      <w:szCs w:val="21"/>
                    </w:rPr>
                    <w:t>31.786031</w:t>
                  </w:r>
                </w:p>
              </w:tc>
              <w:tc>
                <w:tcPr>
                  <w:tcW w:w="664" w:type="dxa"/>
                  <w:tcBorders>
                    <w:right w:val="single" w:color="auto" w:sz="4" w:space="0"/>
                  </w:tcBorders>
                  <w:noWrap w:val="0"/>
                  <w:vAlign w:val="center"/>
                </w:tcPr>
                <w:p w14:paraId="51D4E19B">
                  <w:pPr>
                    <w:spacing w:line="280" w:lineRule="exact"/>
                    <w:jc w:val="center"/>
                    <w:rPr>
                      <w:color w:val="auto"/>
                      <w:sz w:val="21"/>
                      <w:szCs w:val="21"/>
                    </w:rPr>
                  </w:pPr>
                  <w:r>
                    <w:rPr>
                      <w:color w:val="auto"/>
                      <w:sz w:val="21"/>
                      <w:szCs w:val="21"/>
                    </w:rPr>
                    <w:t>非甲烷总烃</w:t>
                  </w:r>
                </w:p>
              </w:tc>
              <w:tc>
                <w:tcPr>
                  <w:tcW w:w="589" w:type="dxa"/>
                  <w:tcBorders>
                    <w:left w:val="single" w:color="auto" w:sz="2" w:space="0"/>
                  </w:tcBorders>
                  <w:noWrap w:val="0"/>
                  <w:vAlign w:val="center"/>
                </w:tcPr>
                <w:p w14:paraId="0205A9FE">
                  <w:pPr>
                    <w:spacing w:line="280" w:lineRule="exact"/>
                    <w:jc w:val="center"/>
                    <w:rPr>
                      <w:rFonts w:hint="eastAsia" w:eastAsia="宋体"/>
                      <w:color w:val="auto"/>
                      <w:sz w:val="21"/>
                      <w:szCs w:val="21"/>
                      <w:lang w:val="en-US" w:eastAsia="zh-CN"/>
                    </w:rPr>
                  </w:pPr>
                  <w:r>
                    <w:rPr>
                      <w:color w:val="auto"/>
                      <w:sz w:val="21"/>
                      <w:szCs w:val="21"/>
                    </w:rPr>
                    <w:t>一次</w:t>
                  </w:r>
                  <w:r>
                    <w:rPr>
                      <w:rFonts w:hint="eastAsia"/>
                      <w:color w:val="auto"/>
                      <w:sz w:val="21"/>
                      <w:szCs w:val="21"/>
                      <w:lang w:val="en-US" w:eastAsia="zh-CN"/>
                    </w:rPr>
                    <w:t xml:space="preserve"> </w:t>
                  </w:r>
                </w:p>
              </w:tc>
              <w:tc>
                <w:tcPr>
                  <w:tcW w:w="1066" w:type="dxa"/>
                  <w:tcBorders>
                    <w:right w:val="single" w:color="auto" w:sz="2" w:space="0"/>
                  </w:tcBorders>
                  <w:noWrap w:val="0"/>
                  <w:vAlign w:val="center"/>
                </w:tcPr>
                <w:p w14:paraId="44483297">
                  <w:pPr>
                    <w:spacing w:line="280" w:lineRule="exact"/>
                    <w:jc w:val="center"/>
                    <w:rPr>
                      <w:color w:val="auto"/>
                      <w:sz w:val="21"/>
                      <w:szCs w:val="21"/>
                    </w:rPr>
                  </w:pPr>
                  <w:r>
                    <w:rPr>
                      <w:color w:val="auto"/>
                      <w:sz w:val="21"/>
                      <w:szCs w:val="21"/>
                    </w:rPr>
                    <w:t>2</w:t>
                  </w:r>
                </w:p>
              </w:tc>
              <w:tc>
                <w:tcPr>
                  <w:tcW w:w="1120" w:type="dxa"/>
                  <w:tcBorders>
                    <w:left w:val="single" w:color="auto" w:sz="2" w:space="0"/>
                    <w:right w:val="single" w:color="auto" w:sz="2" w:space="0"/>
                  </w:tcBorders>
                  <w:noWrap w:val="0"/>
                  <w:vAlign w:val="center"/>
                </w:tcPr>
                <w:p w14:paraId="5C127F21">
                  <w:pPr>
                    <w:spacing w:line="280" w:lineRule="exact"/>
                    <w:jc w:val="center"/>
                    <w:rPr>
                      <w:rFonts w:hint="default" w:eastAsia="宋体"/>
                      <w:color w:val="auto"/>
                      <w:sz w:val="21"/>
                      <w:szCs w:val="21"/>
                      <w:lang w:val="en-US" w:eastAsia="zh-CN"/>
                    </w:rPr>
                  </w:pPr>
                  <w:r>
                    <w:rPr>
                      <w:rFonts w:hint="eastAsia"/>
                      <w:color w:val="auto"/>
                      <w:sz w:val="21"/>
                      <w:szCs w:val="21"/>
                      <w:lang w:val="en-US" w:eastAsia="zh-CN"/>
                    </w:rPr>
                    <w:t>0.1-0.87</w:t>
                  </w:r>
                </w:p>
              </w:tc>
              <w:tc>
                <w:tcPr>
                  <w:tcW w:w="755" w:type="dxa"/>
                  <w:tcBorders>
                    <w:left w:val="single" w:color="auto" w:sz="2" w:space="0"/>
                    <w:right w:val="single" w:color="auto" w:sz="2" w:space="0"/>
                  </w:tcBorders>
                  <w:noWrap w:val="0"/>
                  <w:vAlign w:val="center"/>
                </w:tcPr>
                <w:p w14:paraId="27D976F8">
                  <w:pPr>
                    <w:spacing w:line="280" w:lineRule="exact"/>
                    <w:jc w:val="center"/>
                    <w:rPr>
                      <w:rFonts w:hint="default" w:eastAsia="宋体"/>
                      <w:color w:val="auto"/>
                      <w:sz w:val="21"/>
                      <w:szCs w:val="21"/>
                      <w:lang w:val="en-US" w:eastAsia="zh-CN"/>
                    </w:rPr>
                  </w:pPr>
                  <w:r>
                    <w:rPr>
                      <w:rFonts w:hint="eastAsia"/>
                      <w:color w:val="auto"/>
                      <w:sz w:val="21"/>
                      <w:szCs w:val="21"/>
                      <w:lang w:val="en-US" w:eastAsia="zh-CN"/>
                    </w:rPr>
                    <w:t>43.5</w:t>
                  </w:r>
                </w:p>
              </w:tc>
              <w:tc>
                <w:tcPr>
                  <w:tcW w:w="597" w:type="dxa"/>
                  <w:tcBorders>
                    <w:left w:val="single" w:color="auto" w:sz="2" w:space="0"/>
                  </w:tcBorders>
                  <w:noWrap w:val="0"/>
                  <w:vAlign w:val="center"/>
                </w:tcPr>
                <w:p w14:paraId="1242350A">
                  <w:pPr>
                    <w:spacing w:line="280" w:lineRule="exact"/>
                    <w:jc w:val="center"/>
                    <w:rPr>
                      <w:color w:val="auto"/>
                      <w:sz w:val="21"/>
                      <w:szCs w:val="21"/>
                    </w:rPr>
                  </w:pPr>
                  <w:r>
                    <w:rPr>
                      <w:color w:val="auto"/>
                      <w:sz w:val="21"/>
                      <w:szCs w:val="21"/>
                    </w:rPr>
                    <w:t>0</w:t>
                  </w:r>
                </w:p>
              </w:tc>
              <w:tc>
                <w:tcPr>
                  <w:tcW w:w="554" w:type="dxa"/>
                  <w:noWrap w:val="0"/>
                  <w:vAlign w:val="center"/>
                </w:tcPr>
                <w:p w14:paraId="12467097">
                  <w:pPr>
                    <w:spacing w:line="280" w:lineRule="exact"/>
                    <w:jc w:val="center"/>
                    <w:rPr>
                      <w:color w:val="auto"/>
                      <w:sz w:val="21"/>
                      <w:szCs w:val="21"/>
                    </w:rPr>
                  </w:pPr>
                  <w:r>
                    <w:rPr>
                      <w:color w:val="auto"/>
                      <w:sz w:val="21"/>
                      <w:szCs w:val="21"/>
                    </w:rPr>
                    <w:t>达标</w:t>
                  </w:r>
                </w:p>
              </w:tc>
            </w:tr>
          </w:tbl>
          <w:p w14:paraId="334868A9">
            <w:pPr>
              <w:keepNext w:val="0"/>
              <w:keepLines w:val="0"/>
              <w:pageBreakBefore w:val="0"/>
              <w:widowControl w:val="0"/>
              <w:kinsoku/>
              <w:wordWrap/>
              <w:overflowPunct/>
              <w:topLinePunct w:val="0"/>
              <w:autoSpaceDE/>
              <w:autoSpaceDN/>
              <w:bidi w:val="0"/>
              <w:adjustRightInd w:val="0"/>
              <w:snapToGrid w:val="0"/>
              <w:spacing w:line="480" w:lineRule="exact"/>
              <w:ind w:firstLine="720" w:firstLineChars="300"/>
              <w:jc w:val="left"/>
              <w:textAlignment w:val="auto"/>
              <w:rPr>
                <w:color w:val="auto"/>
                <w:kern w:val="0"/>
                <w:sz w:val="24"/>
                <w:szCs w:val="24"/>
              </w:rPr>
            </w:pPr>
            <w:r>
              <w:rPr>
                <w:color w:val="auto"/>
                <w:kern w:val="0"/>
                <w:sz w:val="24"/>
                <w:szCs w:val="24"/>
              </w:rPr>
              <w:t>根据表3-</w:t>
            </w:r>
            <w:r>
              <w:rPr>
                <w:rFonts w:hint="eastAsia"/>
                <w:color w:val="auto"/>
                <w:kern w:val="0"/>
                <w:sz w:val="24"/>
                <w:szCs w:val="24"/>
                <w:lang w:val="en-US" w:eastAsia="zh-CN"/>
              </w:rPr>
              <w:t>3</w:t>
            </w:r>
            <w:r>
              <w:rPr>
                <w:color w:val="auto"/>
                <w:kern w:val="0"/>
                <w:sz w:val="24"/>
                <w:szCs w:val="24"/>
              </w:rPr>
              <w:t>现状监测数据总汇可以看出，</w:t>
            </w:r>
            <w:r>
              <w:rPr>
                <w:rFonts w:hint="eastAsia"/>
                <w:color w:val="auto"/>
                <w:sz w:val="24"/>
                <w:szCs w:val="24"/>
              </w:rPr>
              <w:t>非甲烷总烃</w:t>
            </w:r>
            <w:r>
              <w:rPr>
                <w:rFonts w:hint="eastAsia"/>
                <w:color w:val="auto"/>
                <w:sz w:val="24"/>
                <w:szCs w:val="24"/>
                <w:lang w:val="en-US" w:eastAsia="zh-CN"/>
              </w:rPr>
              <w:t>符合《大气污染物综合排放详解》</w:t>
            </w:r>
            <w:r>
              <w:rPr>
                <w:color w:val="auto"/>
                <w:sz w:val="24"/>
                <w:szCs w:val="24"/>
              </w:rPr>
              <w:t>标准要求</w:t>
            </w:r>
            <w:r>
              <w:rPr>
                <w:rFonts w:hint="eastAsia"/>
                <w:color w:val="auto"/>
                <w:sz w:val="24"/>
                <w:szCs w:val="24"/>
                <w:lang w:eastAsia="zh-CN"/>
              </w:rPr>
              <w:t>，</w:t>
            </w:r>
            <w:r>
              <w:rPr>
                <w:color w:val="auto"/>
                <w:kern w:val="0"/>
                <w:sz w:val="24"/>
                <w:szCs w:val="24"/>
              </w:rPr>
              <w:t>未出现超标现象。</w:t>
            </w:r>
          </w:p>
          <w:p w14:paraId="360428C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kern w:val="0"/>
                <w:sz w:val="24"/>
                <w:szCs w:val="24"/>
              </w:rPr>
            </w:pPr>
            <w:r>
              <w:rPr>
                <w:color w:val="auto"/>
                <w:kern w:val="0"/>
                <w:sz w:val="24"/>
                <w:szCs w:val="24"/>
              </w:rPr>
              <w:t>（3）</w:t>
            </w:r>
            <w:r>
              <w:rPr>
                <w:rFonts w:hint="eastAsia"/>
                <w:color w:val="auto"/>
                <w:kern w:val="0"/>
                <w:sz w:val="24"/>
                <w:szCs w:val="24"/>
              </w:rPr>
              <w:t>引用</w:t>
            </w:r>
            <w:r>
              <w:rPr>
                <w:color w:val="auto"/>
                <w:kern w:val="0"/>
                <w:sz w:val="24"/>
                <w:szCs w:val="24"/>
              </w:rPr>
              <w:t>数据有效性分析</w:t>
            </w:r>
          </w:p>
          <w:p w14:paraId="06F5ABFB">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hint="eastAsia"/>
                <w:color w:val="auto"/>
                <w:sz w:val="24"/>
                <w:szCs w:val="24"/>
              </w:rPr>
              <w:t>根据《建设项目环境影响报告表编制技术指南（污染影响类）（试行）》：排放国家、地方环境空气质量标准中有标准限值要求的特征污染物时，引用建设项目周边5千米范围内近3年的现有监测数据。</w:t>
            </w:r>
          </w:p>
          <w:p w14:paraId="7A6BF17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kern w:val="0"/>
                <w:sz w:val="24"/>
                <w:szCs w:val="24"/>
              </w:rPr>
            </w:pPr>
            <w:r>
              <w:rPr>
                <w:rFonts w:ascii="宋体" w:hAnsi="宋体"/>
                <w:color w:val="auto"/>
                <w:sz w:val="24"/>
                <w:szCs w:val="24"/>
              </w:rPr>
              <w:t>①</w:t>
            </w:r>
            <w:r>
              <w:rPr>
                <w:rFonts w:hint="eastAsia"/>
                <w:color w:val="auto"/>
                <w:sz w:val="24"/>
                <w:szCs w:val="24"/>
              </w:rPr>
              <w:t>特斯特</w:t>
            </w:r>
            <w:r>
              <w:rPr>
                <w:rFonts w:hint="eastAsia"/>
                <w:color w:val="auto"/>
                <w:sz w:val="24"/>
                <w:szCs w:val="24"/>
                <w:lang w:eastAsia="zh-CN"/>
              </w:rPr>
              <w:t>(</w:t>
            </w:r>
            <w:r>
              <w:rPr>
                <w:rFonts w:hint="eastAsia"/>
                <w:color w:val="auto"/>
                <w:sz w:val="24"/>
                <w:szCs w:val="24"/>
              </w:rPr>
              <w:t>江苏</w:t>
            </w:r>
            <w:r>
              <w:rPr>
                <w:rFonts w:hint="eastAsia"/>
                <w:color w:val="auto"/>
                <w:sz w:val="24"/>
                <w:szCs w:val="24"/>
                <w:lang w:eastAsia="zh-CN"/>
              </w:rPr>
              <w:t>)</w:t>
            </w:r>
            <w:r>
              <w:rPr>
                <w:rFonts w:hint="eastAsia"/>
                <w:color w:val="auto"/>
                <w:sz w:val="24"/>
                <w:szCs w:val="24"/>
              </w:rPr>
              <w:t>检测科技有限公司</w:t>
            </w:r>
            <w:r>
              <w:rPr>
                <w:color w:val="auto"/>
                <w:sz w:val="24"/>
                <w:szCs w:val="24"/>
              </w:rPr>
              <w:t>202</w:t>
            </w:r>
            <w:r>
              <w:rPr>
                <w:rFonts w:hint="eastAsia"/>
                <w:color w:val="auto"/>
                <w:sz w:val="24"/>
                <w:szCs w:val="24"/>
                <w:lang w:val="en-US" w:eastAsia="zh-CN"/>
              </w:rPr>
              <w:t>4</w:t>
            </w:r>
            <w:r>
              <w:rPr>
                <w:color w:val="auto"/>
                <w:sz w:val="24"/>
                <w:szCs w:val="24"/>
              </w:rPr>
              <w:t>年</w:t>
            </w:r>
            <w:r>
              <w:rPr>
                <w:rFonts w:hint="eastAsia"/>
                <w:color w:val="auto"/>
                <w:sz w:val="24"/>
                <w:szCs w:val="24"/>
                <w:lang w:val="en-US" w:eastAsia="zh-CN"/>
              </w:rPr>
              <w:t>11</w:t>
            </w:r>
            <w:r>
              <w:rPr>
                <w:color w:val="auto"/>
                <w:sz w:val="24"/>
                <w:szCs w:val="24"/>
              </w:rPr>
              <w:t>月</w:t>
            </w:r>
            <w:r>
              <w:rPr>
                <w:rFonts w:hint="eastAsia"/>
                <w:color w:val="auto"/>
                <w:sz w:val="24"/>
                <w:szCs w:val="24"/>
                <w:lang w:val="en-US" w:eastAsia="zh-CN"/>
              </w:rPr>
              <w:t>11</w:t>
            </w:r>
            <w:r>
              <w:rPr>
                <w:color w:val="auto"/>
                <w:sz w:val="24"/>
                <w:szCs w:val="24"/>
              </w:rPr>
              <w:t>日</w:t>
            </w:r>
            <w:r>
              <w:rPr>
                <w:rFonts w:hint="eastAsia"/>
                <w:color w:val="auto"/>
                <w:sz w:val="24"/>
                <w:szCs w:val="24"/>
              </w:rPr>
              <w:t>~</w:t>
            </w:r>
            <w:r>
              <w:rPr>
                <w:rFonts w:hint="eastAsia"/>
                <w:color w:val="auto"/>
                <w:sz w:val="24"/>
                <w:szCs w:val="24"/>
                <w:lang w:val="en-US" w:eastAsia="zh-CN"/>
              </w:rPr>
              <w:t>17</w:t>
            </w:r>
            <w:r>
              <w:rPr>
                <w:rFonts w:hint="eastAsia"/>
                <w:color w:val="auto"/>
                <w:sz w:val="24"/>
                <w:szCs w:val="24"/>
              </w:rPr>
              <w:t>日</w:t>
            </w:r>
            <w:r>
              <w:rPr>
                <w:rFonts w:hint="eastAsia"/>
                <w:color w:val="auto"/>
                <w:kern w:val="0"/>
                <w:sz w:val="24"/>
                <w:szCs w:val="24"/>
                <w:lang w:val="en-US" w:eastAsia="zh-CN"/>
              </w:rPr>
              <w:t>于</w:t>
            </w:r>
            <w:r>
              <w:rPr>
                <w:rFonts w:hint="eastAsia"/>
                <w:color w:val="auto"/>
                <w:sz w:val="24"/>
                <w:szCs w:val="24"/>
                <w:lang w:val="en-US" w:eastAsia="zh-CN"/>
              </w:rPr>
              <w:t>常州市丹金船闸管理所东侧进行检测</w:t>
            </w:r>
            <w:r>
              <w:rPr>
                <w:color w:val="auto"/>
                <w:kern w:val="0"/>
                <w:sz w:val="24"/>
                <w:szCs w:val="24"/>
              </w:rPr>
              <w:t>，引用时间</w:t>
            </w:r>
            <w:r>
              <w:rPr>
                <w:rFonts w:hint="eastAsia"/>
                <w:color w:val="auto"/>
                <w:kern w:val="0"/>
                <w:sz w:val="24"/>
                <w:szCs w:val="24"/>
              </w:rPr>
              <w:t>均</w:t>
            </w:r>
            <w:r>
              <w:rPr>
                <w:color w:val="auto"/>
                <w:kern w:val="0"/>
                <w:sz w:val="24"/>
                <w:szCs w:val="24"/>
              </w:rPr>
              <w:t>不超过3年，</w:t>
            </w:r>
            <w:r>
              <w:rPr>
                <w:rFonts w:hint="eastAsia"/>
                <w:color w:val="auto"/>
                <w:kern w:val="0"/>
                <w:sz w:val="24"/>
                <w:szCs w:val="24"/>
              </w:rPr>
              <w:t>大气</w:t>
            </w:r>
            <w:r>
              <w:rPr>
                <w:color w:val="auto"/>
                <w:kern w:val="0"/>
                <w:sz w:val="24"/>
                <w:szCs w:val="24"/>
              </w:rPr>
              <w:t>环境引用时间有效；</w:t>
            </w:r>
          </w:p>
          <w:p w14:paraId="153D987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kern w:val="0"/>
                <w:sz w:val="24"/>
                <w:szCs w:val="24"/>
              </w:rPr>
            </w:pPr>
            <w:r>
              <w:rPr>
                <w:rFonts w:ascii="宋体" w:hAnsi="宋体"/>
                <w:color w:val="auto"/>
                <w:sz w:val="24"/>
                <w:szCs w:val="24"/>
              </w:rPr>
              <w:t>②</w:t>
            </w:r>
            <w:r>
              <w:rPr>
                <w:rFonts w:hint="eastAsia"/>
                <w:color w:val="auto"/>
                <w:kern w:val="0"/>
                <w:sz w:val="24"/>
                <w:szCs w:val="24"/>
              </w:rPr>
              <w:t>引用点位位于</w:t>
            </w:r>
            <w:r>
              <w:rPr>
                <w:color w:val="auto"/>
                <w:kern w:val="0"/>
                <w:sz w:val="24"/>
                <w:szCs w:val="24"/>
              </w:rPr>
              <w:t>项目</w:t>
            </w:r>
            <w:r>
              <w:rPr>
                <w:rFonts w:hint="eastAsia"/>
                <w:color w:val="auto"/>
                <w:kern w:val="0"/>
                <w:sz w:val="24"/>
                <w:szCs w:val="24"/>
              </w:rPr>
              <w:t>周边5千米范围内，大气</w:t>
            </w:r>
            <w:r>
              <w:rPr>
                <w:color w:val="auto"/>
                <w:kern w:val="0"/>
                <w:sz w:val="24"/>
                <w:szCs w:val="24"/>
              </w:rPr>
              <w:t>环境引用</w:t>
            </w:r>
            <w:r>
              <w:rPr>
                <w:rFonts w:hint="eastAsia"/>
                <w:color w:val="auto"/>
                <w:kern w:val="0"/>
                <w:sz w:val="24"/>
                <w:szCs w:val="24"/>
              </w:rPr>
              <w:t>点位</w:t>
            </w:r>
            <w:r>
              <w:rPr>
                <w:color w:val="auto"/>
                <w:kern w:val="0"/>
                <w:sz w:val="24"/>
                <w:szCs w:val="24"/>
              </w:rPr>
              <w:t>有效。</w:t>
            </w:r>
          </w:p>
          <w:p w14:paraId="0EA40D2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kern w:val="0"/>
                <w:sz w:val="24"/>
                <w:szCs w:val="24"/>
              </w:rPr>
            </w:pPr>
            <w:r>
              <w:rPr>
                <w:color w:val="auto"/>
                <w:kern w:val="0"/>
                <w:sz w:val="24"/>
                <w:szCs w:val="24"/>
              </w:rPr>
              <w:t>（4）区域大气污染整治方案</w:t>
            </w:r>
          </w:p>
          <w:p w14:paraId="113C4AD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color w:val="auto"/>
                <w:sz w:val="24"/>
                <w:szCs w:val="24"/>
              </w:rPr>
            </w:pPr>
            <w:r>
              <w:rPr>
                <w:color w:val="auto"/>
                <w:sz w:val="24"/>
                <w:szCs w:val="24"/>
              </w:rPr>
              <w:t>常州市目前尚未制定大气环境质量限期达标规划，为持续改善</w:t>
            </w:r>
            <w:r>
              <w:rPr>
                <w:rFonts w:hint="eastAsia"/>
                <w:color w:val="auto"/>
                <w:sz w:val="24"/>
                <w:szCs w:val="24"/>
              </w:rPr>
              <w:t>全市环境空气质量，常州市人民政府将“深入打好蓝天保卫战”纳入《关于印发</w:t>
            </w:r>
            <w:r>
              <w:rPr>
                <w:color w:val="auto"/>
                <w:sz w:val="24"/>
                <w:szCs w:val="24"/>
              </w:rPr>
              <w:t>&lt;</w:t>
            </w:r>
            <w:r>
              <w:rPr>
                <w:rFonts w:hint="eastAsia"/>
                <w:color w:val="auto"/>
                <w:sz w:val="24"/>
                <w:szCs w:val="24"/>
              </w:rPr>
              <w:t>常州市生态文明建设十大专项行动方案</w:t>
            </w:r>
            <w:r>
              <w:rPr>
                <w:color w:val="auto"/>
                <w:sz w:val="24"/>
                <w:szCs w:val="24"/>
              </w:rPr>
              <w:t>&gt;</w:t>
            </w:r>
            <w:r>
              <w:rPr>
                <w:rFonts w:hint="eastAsia"/>
                <w:color w:val="auto"/>
                <w:sz w:val="24"/>
                <w:szCs w:val="24"/>
              </w:rPr>
              <w:t>的通知》（常政办发〔</w:t>
            </w:r>
            <w:r>
              <w:rPr>
                <w:color w:val="auto"/>
                <w:sz w:val="24"/>
                <w:szCs w:val="24"/>
              </w:rPr>
              <w:t>2022</w:t>
            </w:r>
            <w:r>
              <w:rPr>
                <w:rFonts w:hint="eastAsia"/>
                <w:color w:val="auto"/>
                <w:sz w:val="24"/>
                <w:szCs w:val="24"/>
              </w:rPr>
              <w:t>〕</w:t>
            </w:r>
            <w:r>
              <w:rPr>
                <w:color w:val="auto"/>
                <w:sz w:val="24"/>
                <w:szCs w:val="24"/>
              </w:rPr>
              <w:t>32</w:t>
            </w:r>
            <w:r>
              <w:rPr>
                <w:rFonts w:hint="eastAsia"/>
                <w:color w:val="auto"/>
                <w:sz w:val="24"/>
                <w:szCs w:val="24"/>
              </w:rPr>
              <w:t>号）、《常州市生态文明建设规划（</w:t>
            </w:r>
            <w:r>
              <w:rPr>
                <w:color w:val="auto"/>
                <w:sz w:val="24"/>
                <w:szCs w:val="24"/>
              </w:rPr>
              <w:t>2021-2030</w:t>
            </w:r>
            <w:r>
              <w:rPr>
                <w:rFonts w:hint="eastAsia"/>
                <w:color w:val="auto"/>
                <w:sz w:val="24"/>
                <w:szCs w:val="24"/>
              </w:rPr>
              <w:t>年）》（常政发〔</w:t>
            </w:r>
            <w:r>
              <w:rPr>
                <w:color w:val="auto"/>
                <w:sz w:val="24"/>
                <w:szCs w:val="24"/>
              </w:rPr>
              <w:t>2022</w:t>
            </w:r>
            <w:r>
              <w:rPr>
                <w:rFonts w:hint="eastAsia"/>
                <w:color w:val="auto"/>
                <w:sz w:val="24"/>
                <w:szCs w:val="24"/>
              </w:rPr>
              <w:t>〕</w:t>
            </w:r>
            <w:r>
              <w:rPr>
                <w:color w:val="auto"/>
                <w:sz w:val="24"/>
                <w:szCs w:val="24"/>
              </w:rPr>
              <w:t>134</w:t>
            </w:r>
            <w:r>
              <w:rPr>
                <w:rFonts w:hint="eastAsia"/>
                <w:color w:val="auto"/>
                <w:sz w:val="24"/>
                <w:szCs w:val="24"/>
              </w:rPr>
              <w:t>号）、《市政府关于印发</w:t>
            </w:r>
            <w:r>
              <w:rPr>
                <w:color w:val="auto"/>
                <w:sz w:val="24"/>
                <w:szCs w:val="24"/>
              </w:rPr>
              <w:t>&lt;2023</w:t>
            </w:r>
            <w:r>
              <w:rPr>
                <w:rFonts w:hint="eastAsia"/>
                <w:color w:val="auto"/>
                <w:sz w:val="24"/>
                <w:szCs w:val="24"/>
              </w:rPr>
              <w:t>年常州市生态文明建设工作方案</w:t>
            </w:r>
            <w:r>
              <w:rPr>
                <w:color w:val="auto"/>
                <w:sz w:val="24"/>
                <w:szCs w:val="24"/>
              </w:rPr>
              <w:t>&gt;</w:t>
            </w:r>
            <w:r>
              <w:rPr>
                <w:rFonts w:hint="eastAsia"/>
                <w:color w:val="auto"/>
                <w:sz w:val="24"/>
                <w:szCs w:val="24"/>
              </w:rPr>
              <w:t>的通知》（常政发〔</w:t>
            </w:r>
            <w:r>
              <w:rPr>
                <w:color w:val="auto"/>
                <w:sz w:val="24"/>
                <w:szCs w:val="24"/>
              </w:rPr>
              <w:t>2023</w:t>
            </w:r>
            <w:r>
              <w:rPr>
                <w:rFonts w:hint="eastAsia"/>
                <w:color w:val="auto"/>
                <w:sz w:val="24"/>
                <w:szCs w:val="24"/>
              </w:rPr>
              <w:t>〕</w:t>
            </w:r>
            <w:r>
              <w:rPr>
                <w:color w:val="auto"/>
                <w:sz w:val="24"/>
                <w:szCs w:val="24"/>
              </w:rPr>
              <w:t>23</w:t>
            </w:r>
            <w:r>
              <w:rPr>
                <w:rFonts w:hint="eastAsia"/>
                <w:color w:val="auto"/>
                <w:sz w:val="24"/>
                <w:szCs w:val="24"/>
              </w:rPr>
              <w:t>号）。</w:t>
            </w:r>
          </w:p>
          <w:p w14:paraId="19031B6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color w:val="auto"/>
                <w:sz w:val="24"/>
                <w:szCs w:val="24"/>
              </w:rPr>
            </w:pPr>
            <w:r>
              <w:rPr>
                <w:rFonts w:hint="eastAsia"/>
                <w:color w:val="auto"/>
                <w:sz w:val="24"/>
                <w:szCs w:val="24"/>
              </w:rPr>
              <w:t>摘录“常政发〔</w:t>
            </w:r>
            <w:r>
              <w:rPr>
                <w:color w:val="auto"/>
                <w:sz w:val="24"/>
                <w:szCs w:val="24"/>
              </w:rPr>
              <w:t>2022</w:t>
            </w:r>
            <w:r>
              <w:rPr>
                <w:rFonts w:hint="eastAsia"/>
                <w:color w:val="auto"/>
                <w:sz w:val="24"/>
                <w:szCs w:val="24"/>
              </w:rPr>
              <w:t>〕</w:t>
            </w:r>
            <w:r>
              <w:rPr>
                <w:color w:val="auto"/>
                <w:sz w:val="24"/>
                <w:szCs w:val="24"/>
              </w:rPr>
              <w:t>134</w:t>
            </w:r>
            <w:r>
              <w:rPr>
                <w:rFonts w:hint="eastAsia"/>
                <w:color w:val="auto"/>
                <w:sz w:val="24"/>
                <w:szCs w:val="24"/>
              </w:rPr>
              <w:t>号”中“深入打好蓝天保卫攻坚战”如下：</w:t>
            </w:r>
          </w:p>
          <w:p w14:paraId="4FFE3AF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color w:val="auto"/>
                <w:sz w:val="24"/>
                <w:szCs w:val="24"/>
              </w:rPr>
            </w:pPr>
            <w:r>
              <w:rPr>
                <w:rFonts w:ascii="宋体" w:hAnsi="宋体"/>
                <w:color w:val="auto"/>
                <w:sz w:val="24"/>
                <w:szCs w:val="24"/>
              </w:rPr>
              <w:t>①</w:t>
            </w:r>
            <w:r>
              <w:rPr>
                <w:rFonts w:hint="eastAsia"/>
                <w:color w:val="auto"/>
                <w:sz w:val="24"/>
                <w:szCs w:val="24"/>
              </w:rPr>
              <w:t xml:space="preserve">着力打好重污染天气消除攻坚战 </w:t>
            </w:r>
          </w:p>
          <w:p w14:paraId="32129AB1">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强化</w:t>
            </w:r>
            <w:r>
              <w:rPr>
                <w:color w:val="auto"/>
                <w:sz w:val="24"/>
                <w:szCs w:val="24"/>
              </w:rPr>
              <w:t>PM</w:t>
            </w:r>
            <w:r>
              <w:rPr>
                <w:color w:val="auto"/>
                <w:sz w:val="24"/>
                <w:szCs w:val="24"/>
                <w:vertAlign w:val="subscript"/>
              </w:rPr>
              <w:t>2.5</w:t>
            </w:r>
            <w:r>
              <w:rPr>
                <w:rFonts w:hint="eastAsia"/>
                <w:color w:val="auto"/>
                <w:sz w:val="24"/>
                <w:szCs w:val="24"/>
              </w:rPr>
              <w:t>和</w:t>
            </w:r>
            <w:r>
              <w:rPr>
                <w:color w:val="auto"/>
                <w:sz w:val="24"/>
                <w:szCs w:val="24"/>
              </w:rPr>
              <w:t>O</w:t>
            </w:r>
            <w:r>
              <w:rPr>
                <w:color w:val="auto"/>
                <w:sz w:val="24"/>
                <w:szCs w:val="24"/>
                <w:vertAlign w:val="subscript"/>
              </w:rPr>
              <w:t>3</w:t>
            </w:r>
            <w:r>
              <w:rPr>
                <w:rFonts w:hint="eastAsia"/>
                <w:color w:val="auto"/>
                <w:sz w:val="24"/>
                <w:szCs w:val="24"/>
              </w:rPr>
              <w:t>精细化协同管控。加强氮氧化物与挥发性有机物等前提物的协同减排防控，建立动态化、精细化污染源排放清单，制定污染物减排目标。深入研究</w:t>
            </w:r>
            <w:r>
              <w:rPr>
                <w:color w:val="auto"/>
                <w:sz w:val="24"/>
                <w:szCs w:val="24"/>
              </w:rPr>
              <w:t>PM</w:t>
            </w:r>
            <w:r>
              <w:rPr>
                <w:color w:val="auto"/>
                <w:sz w:val="24"/>
                <w:szCs w:val="24"/>
                <w:vertAlign w:val="subscript"/>
              </w:rPr>
              <w:t>2.5</w:t>
            </w:r>
            <w:r>
              <w:rPr>
                <w:rFonts w:hint="eastAsia"/>
                <w:color w:val="auto"/>
                <w:sz w:val="24"/>
                <w:szCs w:val="24"/>
              </w:rPr>
              <w:t>和</w:t>
            </w:r>
            <w:r>
              <w:rPr>
                <w:color w:val="auto"/>
                <w:sz w:val="24"/>
                <w:szCs w:val="24"/>
              </w:rPr>
              <w:t>O</w:t>
            </w:r>
            <w:r>
              <w:rPr>
                <w:color w:val="auto"/>
                <w:sz w:val="24"/>
                <w:szCs w:val="24"/>
                <w:vertAlign w:val="subscript"/>
              </w:rPr>
              <w:t>3</w:t>
            </w:r>
            <w:r>
              <w:rPr>
                <w:rFonts w:hint="eastAsia"/>
                <w:color w:val="auto"/>
                <w:sz w:val="24"/>
                <w:szCs w:val="24"/>
              </w:rPr>
              <w:t>污染区域传输规律和季节性特征，持续推进</w:t>
            </w:r>
            <w:r>
              <w:rPr>
                <w:color w:val="auto"/>
                <w:sz w:val="24"/>
                <w:szCs w:val="24"/>
              </w:rPr>
              <w:t>PM</w:t>
            </w:r>
            <w:r>
              <w:rPr>
                <w:color w:val="auto"/>
                <w:sz w:val="24"/>
                <w:szCs w:val="24"/>
                <w:vertAlign w:val="subscript"/>
              </w:rPr>
              <w:t>2.5</w:t>
            </w:r>
            <w:r>
              <w:rPr>
                <w:rFonts w:hint="eastAsia"/>
                <w:color w:val="auto"/>
                <w:sz w:val="24"/>
                <w:szCs w:val="24"/>
              </w:rPr>
              <w:t>和</w:t>
            </w:r>
            <w:r>
              <w:rPr>
                <w:color w:val="auto"/>
                <w:sz w:val="24"/>
                <w:szCs w:val="24"/>
              </w:rPr>
              <w:t>O</w:t>
            </w:r>
            <w:r>
              <w:rPr>
                <w:color w:val="auto"/>
                <w:sz w:val="24"/>
                <w:szCs w:val="24"/>
                <w:vertAlign w:val="subscript"/>
              </w:rPr>
              <w:t>3</w:t>
            </w:r>
            <w:r>
              <w:rPr>
                <w:rFonts w:hint="eastAsia"/>
                <w:color w:val="auto"/>
                <w:sz w:val="24"/>
                <w:szCs w:val="24"/>
              </w:rPr>
              <w:t>源解析工作，开展系统协同治理科技攻关，制定年度春夏季、秋冬季阶段性空气质量改善目标，编制臭氧污染专项治理方案和秋冬大气污染综合治理攻坚行动方案。各辖市区按照区域污染源排放特征及大气污染特征科学施策，武进区、天宁区、经开区等区域加快氮氧化物排放重点源的转型升级，溧阳市、金坛区和经开区加强</w:t>
            </w:r>
            <w:r>
              <w:rPr>
                <w:color w:val="auto"/>
                <w:sz w:val="24"/>
                <w:szCs w:val="24"/>
              </w:rPr>
              <w:t>O</w:t>
            </w:r>
            <w:r>
              <w:rPr>
                <w:color w:val="auto"/>
                <w:sz w:val="24"/>
                <w:szCs w:val="24"/>
                <w:vertAlign w:val="subscript"/>
              </w:rPr>
              <w:t>3</w:t>
            </w:r>
            <w:r>
              <w:rPr>
                <w:rFonts w:hint="eastAsia"/>
                <w:color w:val="auto"/>
                <w:sz w:val="24"/>
                <w:szCs w:val="24"/>
              </w:rPr>
              <w:t>分区分时分类差异化精细化协同管控。推动全市</w:t>
            </w:r>
            <w:r>
              <w:rPr>
                <w:color w:val="auto"/>
                <w:sz w:val="24"/>
                <w:szCs w:val="24"/>
              </w:rPr>
              <w:t>PM</w:t>
            </w:r>
            <w:r>
              <w:rPr>
                <w:color w:val="auto"/>
                <w:sz w:val="24"/>
                <w:szCs w:val="24"/>
                <w:vertAlign w:val="subscript"/>
              </w:rPr>
              <w:t>2.5</w:t>
            </w:r>
            <w:r>
              <w:rPr>
                <w:rFonts w:hint="eastAsia"/>
                <w:color w:val="auto"/>
                <w:sz w:val="24"/>
                <w:szCs w:val="24"/>
              </w:rPr>
              <w:t>浓度持续下降，有效遏制</w:t>
            </w:r>
            <w:r>
              <w:rPr>
                <w:color w:val="auto"/>
                <w:sz w:val="24"/>
                <w:szCs w:val="24"/>
              </w:rPr>
              <w:t>O</w:t>
            </w:r>
            <w:r>
              <w:rPr>
                <w:color w:val="auto"/>
                <w:sz w:val="24"/>
                <w:szCs w:val="24"/>
                <w:vertAlign w:val="subscript"/>
              </w:rPr>
              <w:t>3</w:t>
            </w:r>
            <w:r>
              <w:rPr>
                <w:rFonts w:hint="eastAsia"/>
                <w:color w:val="auto"/>
                <w:sz w:val="24"/>
                <w:szCs w:val="24"/>
              </w:rPr>
              <w:t>浓度增长趋势，基本消除重污染天气。</w:t>
            </w:r>
          </w:p>
          <w:p w14:paraId="0BA56B21">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ascii="宋体" w:hAnsi="宋体"/>
                <w:color w:val="auto"/>
                <w:sz w:val="24"/>
                <w:szCs w:val="24"/>
              </w:rPr>
              <w:t>②</w:t>
            </w:r>
            <w:r>
              <w:rPr>
                <w:rFonts w:hint="eastAsia"/>
                <w:color w:val="auto"/>
                <w:sz w:val="24"/>
                <w:szCs w:val="24"/>
              </w:rPr>
              <w:t>着力打好臭氧污染防治攻坚战</w:t>
            </w:r>
          </w:p>
          <w:p w14:paraId="6C741DA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严格控制新增</w:t>
            </w:r>
            <w:r>
              <w:rPr>
                <w:color w:val="auto"/>
                <w:sz w:val="24"/>
                <w:szCs w:val="24"/>
              </w:rPr>
              <w:t>VOCs</w:t>
            </w:r>
            <w:r>
              <w:rPr>
                <w:rFonts w:hint="eastAsia"/>
                <w:color w:val="auto"/>
                <w:sz w:val="24"/>
                <w:szCs w:val="24"/>
              </w:rPr>
              <w:t>排放量，执行</w:t>
            </w:r>
            <w:r>
              <w:rPr>
                <w:color w:val="auto"/>
                <w:sz w:val="24"/>
                <w:szCs w:val="24"/>
              </w:rPr>
              <w:t>VOCs</w:t>
            </w:r>
            <w:r>
              <w:rPr>
                <w:rFonts w:hint="eastAsia"/>
                <w:color w:val="auto"/>
                <w:sz w:val="24"/>
                <w:szCs w:val="24"/>
              </w:rPr>
              <w:t>含量限值强制性标准。推进化工、喷涂、铸造、包装印刷、工业涂装等重点行业深度治理，建立完善源头、过程和末端的</w:t>
            </w:r>
            <w:r>
              <w:rPr>
                <w:color w:val="auto"/>
                <w:sz w:val="24"/>
                <w:szCs w:val="24"/>
              </w:rPr>
              <w:t>VOCs</w:t>
            </w:r>
            <w:r>
              <w:rPr>
                <w:rFonts w:hint="eastAsia"/>
                <w:color w:val="auto"/>
                <w:sz w:val="24"/>
                <w:szCs w:val="24"/>
              </w:rPr>
              <w:t>全过程控制体系，实施</w:t>
            </w:r>
            <w:r>
              <w:rPr>
                <w:color w:val="auto"/>
                <w:sz w:val="24"/>
                <w:szCs w:val="24"/>
              </w:rPr>
              <w:t>VOCs</w:t>
            </w:r>
            <w:r>
              <w:rPr>
                <w:rFonts w:hint="eastAsia"/>
                <w:color w:val="auto"/>
                <w:sz w:val="24"/>
                <w:szCs w:val="24"/>
              </w:rPr>
              <w:t>排放总量控制。开展原油、成品油、有机化学品等涉</w:t>
            </w:r>
            <w:r>
              <w:rPr>
                <w:color w:val="auto"/>
                <w:sz w:val="24"/>
                <w:szCs w:val="24"/>
              </w:rPr>
              <w:t>VOCs</w:t>
            </w:r>
            <w:r>
              <w:rPr>
                <w:rFonts w:hint="eastAsia"/>
                <w:color w:val="auto"/>
                <w:sz w:val="24"/>
                <w:szCs w:val="24"/>
              </w:rPr>
              <w:t>物质储罐排查，逐步取消制药、农药、化工、工业涂装、包装印刷等企业非必要的</w:t>
            </w:r>
            <w:r>
              <w:rPr>
                <w:color w:val="auto"/>
                <w:sz w:val="24"/>
                <w:szCs w:val="24"/>
              </w:rPr>
              <w:t>VOCs</w:t>
            </w:r>
            <w:r>
              <w:rPr>
                <w:rFonts w:hint="eastAsia"/>
                <w:color w:val="auto"/>
                <w:sz w:val="24"/>
                <w:szCs w:val="24"/>
              </w:rPr>
              <w:t>废气排放系统旁路。优先推行生产环节使用低</w:t>
            </w:r>
            <w:r>
              <w:rPr>
                <w:color w:val="auto"/>
                <w:sz w:val="24"/>
                <w:szCs w:val="24"/>
              </w:rPr>
              <w:t>VOCs</w:t>
            </w:r>
            <w:r>
              <w:rPr>
                <w:rFonts w:hint="eastAsia"/>
                <w:color w:val="auto"/>
                <w:sz w:val="24"/>
                <w:szCs w:val="24"/>
              </w:rPr>
              <w:t>原辅材料的源头替代，完成低挥发性有机物等原辅料源头替代项目</w:t>
            </w:r>
            <w:r>
              <w:rPr>
                <w:color w:val="auto"/>
                <w:sz w:val="24"/>
                <w:szCs w:val="24"/>
              </w:rPr>
              <w:t>100</w:t>
            </w:r>
            <w:r>
              <w:rPr>
                <w:rFonts w:hint="eastAsia"/>
                <w:color w:val="auto"/>
                <w:sz w:val="24"/>
                <w:szCs w:val="24"/>
              </w:rPr>
              <w:t>个以上。深化汽修行业</w:t>
            </w:r>
            <w:r>
              <w:rPr>
                <w:color w:val="auto"/>
                <w:sz w:val="24"/>
                <w:szCs w:val="24"/>
              </w:rPr>
              <w:t>VOCs</w:t>
            </w:r>
            <w:r>
              <w:rPr>
                <w:rFonts w:hint="eastAsia"/>
                <w:color w:val="auto"/>
                <w:sz w:val="24"/>
                <w:szCs w:val="24"/>
              </w:rPr>
              <w:t>治理，推广低</w:t>
            </w:r>
            <w:r>
              <w:rPr>
                <w:color w:val="auto"/>
                <w:sz w:val="24"/>
                <w:szCs w:val="24"/>
              </w:rPr>
              <w:t>VOCs</w:t>
            </w:r>
            <w:r>
              <w:rPr>
                <w:rFonts w:hint="eastAsia"/>
                <w:color w:val="auto"/>
                <w:sz w:val="24"/>
                <w:szCs w:val="24"/>
              </w:rPr>
              <w:t>含量产品在汽修行业的应用，色漆鼓励使用水性涂料，中涂、底漆使用高固</w:t>
            </w:r>
            <w:r>
              <w:rPr>
                <w:rFonts w:hint="eastAsia"/>
                <w:color w:val="auto"/>
                <w:sz w:val="24"/>
                <w:szCs w:val="24"/>
                <w:lang w:val="en-US" w:eastAsia="zh-CN"/>
              </w:rPr>
              <w:t>份</w:t>
            </w:r>
            <w:r>
              <w:rPr>
                <w:rFonts w:hint="eastAsia"/>
                <w:color w:val="auto"/>
                <w:sz w:val="24"/>
                <w:szCs w:val="24"/>
              </w:rPr>
              <w:t>涂料。加强无组织排放管控，强化</w:t>
            </w:r>
            <w:r>
              <w:rPr>
                <w:color w:val="auto"/>
                <w:sz w:val="24"/>
                <w:szCs w:val="24"/>
              </w:rPr>
              <w:t>VOCs</w:t>
            </w:r>
            <w:r>
              <w:rPr>
                <w:rFonts w:hint="eastAsia"/>
                <w:color w:val="auto"/>
                <w:sz w:val="24"/>
                <w:szCs w:val="24"/>
              </w:rPr>
              <w:t>物料全环节的无组织排放控制。</w:t>
            </w:r>
          </w:p>
          <w:p w14:paraId="7A5D71C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③深化工业园区、企业集群综合治理</w:t>
            </w:r>
          </w:p>
          <w:p w14:paraId="014E7D1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实施工业园区（集中区）污染物排放限值限量管理，持续深化全市工业园区的</w:t>
            </w:r>
            <w:r>
              <w:rPr>
                <w:color w:val="auto"/>
                <w:sz w:val="24"/>
                <w:szCs w:val="24"/>
              </w:rPr>
              <w:t>VOCs</w:t>
            </w:r>
            <w:r>
              <w:rPr>
                <w:rFonts w:hint="eastAsia"/>
                <w:color w:val="auto"/>
                <w:sz w:val="24"/>
                <w:szCs w:val="24"/>
              </w:rPr>
              <w:t>治理工作，减少园区</w:t>
            </w:r>
            <w:r>
              <w:rPr>
                <w:color w:val="auto"/>
                <w:sz w:val="24"/>
                <w:szCs w:val="24"/>
              </w:rPr>
              <w:t>VOCs</w:t>
            </w:r>
            <w:r>
              <w:rPr>
                <w:rFonts w:hint="eastAsia"/>
                <w:color w:val="auto"/>
                <w:sz w:val="24"/>
                <w:szCs w:val="24"/>
              </w:rPr>
              <w:t>排放总量，建立并推进</w:t>
            </w:r>
            <w:r>
              <w:rPr>
                <w:color w:val="auto"/>
                <w:sz w:val="24"/>
                <w:szCs w:val="24"/>
              </w:rPr>
              <w:t>“</w:t>
            </w:r>
            <w:r>
              <w:rPr>
                <w:rFonts w:hint="eastAsia"/>
                <w:color w:val="auto"/>
                <w:sz w:val="24"/>
                <w:szCs w:val="24"/>
              </w:rPr>
              <w:t>嗅辨师</w:t>
            </w:r>
            <w:r>
              <w:rPr>
                <w:color w:val="auto"/>
                <w:sz w:val="24"/>
                <w:szCs w:val="24"/>
              </w:rPr>
              <w:t>”</w:t>
            </w:r>
            <w:r>
              <w:rPr>
                <w:rFonts w:hint="eastAsia"/>
                <w:color w:val="auto"/>
                <w:sz w:val="24"/>
                <w:szCs w:val="24"/>
              </w:rPr>
              <w:t>制度，推进</w:t>
            </w:r>
            <w:r>
              <w:rPr>
                <w:color w:val="auto"/>
                <w:sz w:val="24"/>
                <w:szCs w:val="24"/>
              </w:rPr>
              <w:t>“</w:t>
            </w:r>
            <w:r>
              <w:rPr>
                <w:rFonts w:hint="eastAsia"/>
                <w:color w:val="auto"/>
                <w:sz w:val="24"/>
                <w:szCs w:val="24"/>
              </w:rPr>
              <w:t>无异味</w:t>
            </w:r>
            <w:r>
              <w:rPr>
                <w:color w:val="auto"/>
                <w:sz w:val="24"/>
                <w:szCs w:val="24"/>
              </w:rPr>
              <w:t>”</w:t>
            </w:r>
            <w:r>
              <w:rPr>
                <w:rFonts w:hint="eastAsia"/>
                <w:color w:val="auto"/>
                <w:sz w:val="24"/>
                <w:szCs w:val="24"/>
              </w:rPr>
              <w:t>园区全覆盖，到</w:t>
            </w:r>
            <w:r>
              <w:rPr>
                <w:color w:val="auto"/>
                <w:sz w:val="24"/>
                <w:szCs w:val="24"/>
              </w:rPr>
              <w:t>2025</w:t>
            </w:r>
            <w:r>
              <w:rPr>
                <w:rFonts w:hint="eastAsia"/>
                <w:color w:val="auto"/>
                <w:sz w:val="24"/>
                <w:szCs w:val="24"/>
              </w:rPr>
              <w:t>年，园区</w:t>
            </w:r>
            <w:r>
              <w:rPr>
                <w:color w:val="auto"/>
                <w:sz w:val="24"/>
                <w:szCs w:val="24"/>
              </w:rPr>
              <w:t>VOCs</w:t>
            </w:r>
            <w:r>
              <w:rPr>
                <w:rFonts w:hint="eastAsia"/>
                <w:color w:val="auto"/>
                <w:sz w:val="24"/>
                <w:szCs w:val="24"/>
              </w:rPr>
              <w:t>排放总量较</w:t>
            </w:r>
            <w:r>
              <w:rPr>
                <w:color w:val="auto"/>
                <w:sz w:val="24"/>
                <w:szCs w:val="24"/>
              </w:rPr>
              <w:t>2020</w:t>
            </w:r>
            <w:r>
              <w:rPr>
                <w:rFonts w:hint="eastAsia"/>
                <w:color w:val="auto"/>
                <w:sz w:val="24"/>
                <w:szCs w:val="24"/>
              </w:rPr>
              <w:t>年削减</w:t>
            </w:r>
            <w:r>
              <w:rPr>
                <w:color w:val="auto"/>
                <w:sz w:val="24"/>
                <w:szCs w:val="24"/>
              </w:rPr>
              <w:t>20%</w:t>
            </w:r>
            <w:r>
              <w:rPr>
                <w:rFonts w:hint="eastAsia"/>
                <w:color w:val="auto"/>
                <w:sz w:val="24"/>
                <w:szCs w:val="24"/>
              </w:rPr>
              <w:t>。完善园区统一的</w:t>
            </w:r>
            <w:r>
              <w:rPr>
                <w:color w:val="auto"/>
                <w:sz w:val="24"/>
                <w:szCs w:val="24"/>
              </w:rPr>
              <w:t>LDAR</w:t>
            </w:r>
            <w:r>
              <w:rPr>
                <w:rFonts w:hint="eastAsia"/>
                <w:color w:val="auto"/>
                <w:sz w:val="24"/>
                <w:szCs w:val="24"/>
              </w:rPr>
              <w:t>管理系统，建成重点园区</w:t>
            </w:r>
            <w:r>
              <w:rPr>
                <w:color w:val="auto"/>
                <w:sz w:val="24"/>
                <w:szCs w:val="24"/>
              </w:rPr>
              <w:t>LDAR</w:t>
            </w:r>
            <w:r>
              <w:rPr>
                <w:rFonts w:hint="eastAsia"/>
                <w:color w:val="auto"/>
                <w:sz w:val="24"/>
                <w:szCs w:val="24"/>
              </w:rPr>
              <w:t>智慧监管平台。开展企业集群排查整治。根据产业结构特征因地制宜建设大气</w:t>
            </w:r>
            <w:r>
              <w:rPr>
                <w:color w:val="auto"/>
                <w:sz w:val="24"/>
                <w:szCs w:val="24"/>
              </w:rPr>
              <w:t>“</w:t>
            </w:r>
            <w:r>
              <w:rPr>
                <w:rFonts w:hint="eastAsia"/>
                <w:color w:val="auto"/>
                <w:sz w:val="24"/>
                <w:szCs w:val="24"/>
              </w:rPr>
              <w:t>绿岛</w:t>
            </w:r>
            <w:r>
              <w:rPr>
                <w:color w:val="auto"/>
                <w:sz w:val="24"/>
                <w:szCs w:val="24"/>
              </w:rPr>
              <w:t>”</w:t>
            </w:r>
            <w:r>
              <w:rPr>
                <w:rFonts w:hint="eastAsia"/>
                <w:color w:val="auto"/>
                <w:sz w:val="24"/>
                <w:szCs w:val="24"/>
              </w:rPr>
              <w:t>项目，实现</w:t>
            </w:r>
            <w:r>
              <w:rPr>
                <w:color w:val="auto"/>
                <w:sz w:val="24"/>
                <w:szCs w:val="24"/>
              </w:rPr>
              <w:t>“</w:t>
            </w:r>
            <w:r>
              <w:rPr>
                <w:rFonts w:hint="eastAsia"/>
                <w:color w:val="auto"/>
                <w:sz w:val="24"/>
                <w:szCs w:val="24"/>
              </w:rPr>
              <w:t>集约建设，共享治污</w:t>
            </w:r>
            <w:r>
              <w:rPr>
                <w:color w:val="auto"/>
                <w:sz w:val="24"/>
                <w:szCs w:val="24"/>
              </w:rPr>
              <w:t>”</w:t>
            </w:r>
            <w:r>
              <w:rPr>
                <w:rFonts w:hint="eastAsia"/>
                <w:color w:val="auto"/>
                <w:sz w:val="24"/>
                <w:szCs w:val="24"/>
              </w:rPr>
              <w:t>。</w:t>
            </w:r>
          </w:p>
          <w:p w14:paraId="2AEAE91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ascii="宋体" w:hAnsi="宋体"/>
                <w:color w:val="auto"/>
                <w:sz w:val="24"/>
                <w:szCs w:val="24"/>
              </w:rPr>
              <w:t>④</w:t>
            </w:r>
            <w:r>
              <w:rPr>
                <w:rFonts w:hint="eastAsia"/>
                <w:color w:val="auto"/>
                <w:sz w:val="24"/>
                <w:szCs w:val="24"/>
              </w:rPr>
              <w:t>推进固定源深度治理</w:t>
            </w:r>
          </w:p>
          <w:p w14:paraId="5D29E50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持续推进钢铁、水泥、电力企业超低排放改造，研究开展非电非钢行业超低排放改造，推进建材、有色、化工等工业窑炉重点行业大气污染深度治理，完成全市工业炉窑排查、整治、建档工作，石化、水泥、玻璃等重点涉工业炉窑企业，完成超低排放改造或深度治理、清洁能源替代。推动一批铸造企业率先完成超低排放改造（深度治理）。严格控制水泥、垃圾焚烧发电、建材等行业物料（含废渣）运输、装卸、储存、转移和工艺过程的无组织排放。</w:t>
            </w:r>
          </w:p>
          <w:p w14:paraId="6E64A76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ascii="宋体" w:hAnsi="宋体"/>
                <w:color w:val="auto"/>
                <w:sz w:val="24"/>
                <w:szCs w:val="24"/>
              </w:rPr>
              <w:t>⑤</w:t>
            </w:r>
            <w:r>
              <w:rPr>
                <w:rFonts w:hint="eastAsia"/>
                <w:color w:val="auto"/>
                <w:sz w:val="24"/>
                <w:szCs w:val="24"/>
              </w:rPr>
              <w:t> 加强城市面源污染治理</w:t>
            </w:r>
          </w:p>
          <w:p w14:paraId="246676C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深入推进餐饮油烟和住宅油烟专项治理，核算餐饮业排放量并建立排放清单，持续加强餐饮油烟监管和</w:t>
            </w:r>
            <w:r>
              <w:rPr>
                <w:rFonts w:hint="eastAsia"/>
                <w:color w:val="auto"/>
                <w:sz w:val="24"/>
                <w:szCs w:val="24"/>
                <w:lang w:eastAsia="zh-CN"/>
              </w:rPr>
              <w:t>餐饮业</w:t>
            </w:r>
            <w:r>
              <w:rPr>
                <w:rFonts w:hint="eastAsia"/>
                <w:color w:val="auto"/>
                <w:sz w:val="24"/>
                <w:szCs w:val="24"/>
              </w:rPr>
              <w:t>执法检查，开展规模以上餐饮企业污染物排放自动监测试点，因地制宜建设油烟净化处理</w:t>
            </w:r>
            <w:r>
              <w:rPr>
                <w:color w:val="auto"/>
                <w:sz w:val="24"/>
                <w:szCs w:val="24"/>
              </w:rPr>
              <w:t>“</w:t>
            </w:r>
            <w:r>
              <w:rPr>
                <w:rFonts w:hint="eastAsia"/>
                <w:color w:val="auto"/>
                <w:sz w:val="24"/>
                <w:szCs w:val="24"/>
              </w:rPr>
              <w:t>绿岛</w:t>
            </w:r>
            <w:r>
              <w:rPr>
                <w:color w:val="auto"/>
                <w:sz w:val="24"/>
                <w:szCs w:val="24"/>
              </w:rPr>
              <w:t>”</w:t>
            </w:r>
            <w:r>
              <w:rPr>
                <w:rFonts w:hint="eastAsia"/>
                <w:color w:val="auto"/>
                <w:sz w:val="24"/>
                <w:szCs w:val="24"/>
              </w:rPr>
              <w:t>项目。</w:t>
            </w:r>
          </w:p>
          <w:p w14:paraId="2895AE0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全面推行绿色施工，实施扬尘精细化管控，探索将绿色施工纳入企业资质评价、信用评价，重点区域道路、水务等线性工程进行分段施工。实施渣土车硬覆盖与全密闭运输，</w:t>
            </w:r>
            <w:r>
              <w:rPr>
                <w:color w:val="auto"/>
                <w:sz w:val="24"/>
                <w:szCs w:val="24"/>
              </w:rPr>
              <w:t>2022</w:t>
            </w:r>
            <w:r>
              <w:rPr>
                <w:rFonts w:hint="eastAsia"/>
                <w:color w:val="auto"/>
                <w:sz w:val="24"/>
                <w:szCs w:val="24"/>
              </w:rPr>
              <w:t>年起设区市建成区渣土运输必须全面使用新型渣土车。推行港口码头仓库料场封闭管理，全面完成抑尘设施建设和物料输送系统封闭改造，鼓励有条件的码头堆场实施全封闭改造。</w:t>
            </w:r>
          </w:p>
          <w:p w14:paraId="3848815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提高道路保洁水平，持续提高道路保洁机械化清扫率和冲洗率，加强重污染天气应对，加强道路洒水、雾炮等抑尘作业，增加机械化作业频次，建成区机扫率达到</w:t>
            </w:r>
            <w:r>
              <w:rPr>
                <w:color w:val="auto"/>
                <w:sz w:val="24"/>
                <w:szCs w:val="24"/>
              </w:rPr>
              <w:t>95%</w:t>
            </w:r>
            <w:r>
              <w:rPr>
                <w:rFonts w:hint="eastAsia"/>
                <w:color w:val="auto"/>
                <w:sz w:val="24"/>
                <w:szCs w:val="24"/>
              </w:rPr>
              <w:t>以上，郊区（园区）达到</w:t>
            </w:r>
            <w:r>
              <w:rPr>
                <w:color w:val="auto"/>
                <w:sz w:val="24"/>
                <w:szCs w:val="24"/>
              </w:rPr>
              <w:t>90%</w:t>
            </w:r>
            <w:r>
              <w:rPr>
                <w:rFonts w:hint="eastAsia"/>
                <w:color w:val="auto"/>
                <w:sz w:val="24"/>
                <w:szCs w:val="24"/>
              </w:rPr>
              <w:t>以上。加严降尘量控制指标，</w:t>
            </w:r>
            <w:r>
              <w:rPr>
                <w:color w:val="auto"/>
                <w:sz w:val="24"/>
                <w:szCs w:val="24"/>
              </w:rPr>
              <w:t>2025</w:t>
            </w:r>
            <w:r>
              <w:rPr>
                <w:rFonts w:hint="eastAsia"/>
                <w:color w:val="auto"/>
                <w:sz w:val="24"/>
                <w:szCs w:val="24"/>
              </w:rPr>
              <w:t>年主城区平均降尘量不得高于</w:t>
            </w:r>
            <w:r>
              <w:rPr>
                <w:color w:val="auto"/>
                <w:sz w:val="24"/>
                <w:szCs w:val="24"/>
              </w:rPr>
              <w:t>2.8</w:t>
            </w:r>
            <w:r>
              <w:rPr>
                <w:rFonts w:hint="eastAsia"/>
                <w:color w:val="auto"/>
                <w:sz w:val="24"/>
                <w:szCs w:val="24"/>
              </w:rPr>
              <w:t>吨</w:t>
            </w:r>
            <w:r>
              <w:rPr>
                <w:color w:val="auto"/>
                <w:sz w:val="24"/>
                <w:szCs w:val="24"/>
              </w:rPr>
              <w:t>/</w:t>
            </w:r>
            <w:r>
              <w:rPr>
                <w:rFonts w:hint="eastAsia"/>
                <w:color w:val="auto"/>
                <w:sz w:val="24"/>
                <w:szCs w:val="24"/>
              </w:rPr>
              <w:t>（月</w:t>
            </w:r>
            <w:r>
              <w:rPr>
                <w:color w:val="auto"/>
                <w:sz w:val="24"/>
                <w:szCs w:val="24"/>
              </w:rPr>
              <w:t>•</w:t>
            </w:r>
            <w:r>
              <w:rPr>
                <w:rFonts w:hint="eastAsia"/>
                <w:color w:val="auto"/>
                <w:sz w:val="24"/>
                <w:szCs w:val="24"/>
              </w:rPr>
              <w:t>平方公里），其他区（园区）不得高于</w:t>
            </w:r>
            <w:r>
              <w:rPr>
                <w:color w:val="auto"/>
                <w:sz w:val="24"/>
                <w:szCs w:val="24"/>
              </w:rPr>
              <w:t>3.2</w:t>
            </w:r>
            <w:r>
              <w:rPr>
                <w:rFonts w:hint="eastAsia"/>
                <w:color w:val="auto"/>
                <w:sz w:val="24"/>
                <w:szCs w:val="24"/>
              </w:rPr>
              <w:t>吨</w:t>
            </w:r>
            <w:r>
              <w:rPr>
                <w:color w:val="auto"/>
                <w:sz w:val="24"/>
                <w:szCs w:val="24"/>
              </w:rPr>
              <w:t>/</w:t>
            </w:r>
            <w:r>
              <w:rPr>
                <w:rFonts w:hint="eastAsia"/>
                <w:color w:val="auto"/>
                <w:sz w:val="24"/>
                <w:szCs w:val="24"/>
              </w:rPr>
              <w:t>（月</w:t>
            </w:r>
            <w:r>
              <w:rPr>
                <w:color w:val="auto"/>
                <w:sz w:val="24"/>
                <w:szCs w:val="24"/>
              </w:rPr>
              <w:t>•</w:t>
            </w:r>
            <w:r>
              <w:rPr>
                <w:rFonts w:hint="eastAsia"/>
                <w:color w:val="auto"/>
                <w:sz w:val="24"/>
                <w:szCs w:val="24"/>
              </w:rPr>
              <w:t>平方公里）。</w:t>
            </w:r>
          </w:p>
          <w:p w14:paraId="302C59A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ascii="宋体" w:hAnsi="宋体"/>
                <w:color w:val="auto"/>
                <w:sz w:val="24"/>
                <w:szCs w:val="24"/>
              </w:rPr>
              <w:t>⑥</w:t>
            </w:r>
            <w:r>
              <w:rPr>
                <w:rFonts w:hint="eastAsia"/>
                <w:color w:val="auto"/>
                <w:sz w:val="24"/>
                <w:szCs w:val="24"/>
              </w:rPr>
              <w:t>加强其他涉气污染物控制</w:t>
            </w:r>
          </w:p>
          <w:p w14:paraId="72FC7661">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hint="eastAsia"/>
                <w:color w:val="auto"/>
                <w:sz w:val="24"/>
                <w:szCs w:val="24"/>
              </w:rPr>
              <w:t>加强恶臭、有毒有害大气污染物防控，探索建立化工园区</w:t>
            </w:r>
            <w:r>
              <w:rPr>
                <w:color w:val="auto"/>
                <w:sz w:val="24"/>
                <w:szCs w:val="24"/>
              </w:rPr>
              <w:t>“</w:t>
            </w:r>
            <w:r>
              <w:rPr>
                <w:rFonts w:hint="eastAsia"/>
                <w:color w:val="auto"/>
                <w:sz w:val="24"/>
                <w:szCs w:val="24"/>
              </w:rPr>
              <w:t>嗅辩</w:t>
            </w:r>
            <w:r>
              <w:rPr>
                <w:color w:val="auto"/>
                <w:sz w:val="24"/>
                <w:szCs w:val="24"/>
              </w:rPr>
              <w:t>+</w:t>
            </w:r>
            <w:r>
              <w:rPr>
                <w:rFonts w:hint="eastAsia"/>
                <w:color w:val="auto"/>
                <w:sz w:val="24"/>
                <w:szCs w:val="24"/>
              </w:rPr>
              <w:t>监测</w:t>
            </w:r>
            <w:r>
              <w:rPr>
                <w:color w:val="auto"/>
                <w:sz w:val="24"/>
                <w:szCs w:val="24"/>
              </w:rPr>
              <w:t>”</w:t>
            </w:r>
            <w:r>
              <w:rPr>
                <w:rFonts w:hint="eastAsia"/>
                <w:color w:val="auto"/>
                <w:sz w:val="24"/>
                <w:szCs w:val="24"/>
              </w:rPr>
              <w:t>的异味溯源机制，重点开展武进区、天宁区、经开区等区域印染、地板等行业的大气环境深度治理，对异味等重点排放企业、危险废物产生量大的企业开展专项审核。鼓励开展恶臭投诉重点企业和园区的恶臭电子鼻监测、排查溯源及综合治理。探索建立大气氨规范化排放清单，推动大气氨排放控制，推进养殖业、种植业大气氨减排，开展大型规模化养殖场大气氨排放总量控制，力争到</w:t>
            </w:r>
            <w:r>
              <w:rPr>
                <w:color w:val="auto"/>
                <w:sz w:val="24"/>
                <w:szCs w:val="24"/>
              </w:rPr>
              <w:t>2025</w:t>
            </w:r>
            <w:r>
              <w:rPr>
                <w:rFonts w:hint="eastAsia"/>
                <w:color w:val="auto"/>
                <w:sz w:val="24"/>
                <w:szCs w:val="24"/>
              </w:rPr>
              <w:t>年大型规模化养殖场大气氨排放总量削减</w:t>
            </w:r>
            <w:r>
              <w:rPr>
                <w:color w:val="auto"/>
                <w:sz w:val="24"/>
                <w:szCs w:val="24"/>
              </w:rPr>
              <w:t>5%</w:t>
            </w:r>
            <w:r>
              <w:rPr>
                <w:rFonts w:hint="eastAsia"/>
                <w:color w:val="auto"/>
                <w:sz w:val="24"/>
                <w:szCs w:val="24"/>
              </w:rPr>
              <w:t>。</w:t>
            </w:r>
          </w:p>
          <w:p w14:paraId="5AC8C6F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eastAsia="宋体"/>
                <w:color w:val="auto"/>
                <w:sz w:val="24"/>
                <w:szCs w:val="24"/>
                <w:lang w:eastAsia="zh-CN"/>
              </w:rPr>
            </w:pPr>
            <w:r>
              <w:rPr>
                <w:rFonts w:ascii="宋体" w:hAnsi="宋体"/>
                <w:color w:val="auto"/>
                <w:sz w:val="24"/>
                <w:szCs w:val="24"/>
              </w:rPr>
              <w:t>⑦</w:t>
            </w:r>
            <w:r>
              <w:rPr>
                <w:rFonts w:hint="eastAsia"/>
                <w:color w:val="auto"/>
                <w:sz w:val="24"/>
                <w:szCs w:val="24"/>
              </w:rPr>
              <w:t>加强重点区域联防联控</w:t>
            </w:r>
          </w:p>
          <w:p w14:paraId="27514FE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color w:val="auto"/>
                <w:sz w:val="24"/>
                <w:szCs w:val="24"/>
              </w:rPr>
            </w:pPr>
            <w:r>
              <w:rPr>
                <w:rFonts w:hint="eastAsia"/>
                <w:color w:val="auto"/>
                <w:sz w:val="24"/>
                <w:szCs w:val="24"/>
              </w:rPr>
              <w:t>加强区域联防联控，优化调整大气污染防治重点区域范围，坚持属地管理与区域共治相结合，积极响应长三角区域联防联控要求，落实重大活动、区域污染应急管控等区域联防工作，做好重大活动空气质量保障。积极参与完善武澄沙区域大气污染联防联控机制，推进夏季联合上风向城市开展臭氧污染联防联控。加强污染天气应急响应，落实</w:t>
            </w:r>
            <w:r>
              <w:rPr>
                <w:color w:val="auto"/>
                <w:sz w:val="24"/>
                <w:szCs w:val="24"/>
              </w:rPr>
              <w:t>“</w:t>
            </w:r>
            <w:r>
              <w:rPr>
                <w:rFonts w:hint="eastAsia"/>
                <w:color w:val="auto"/>
                <w:sz w:val="24"/>
                <w:szCs w:val="24"/>
              </w:rPr>
              <w:t>一行一策</w:t>
            </w:r>
            <w:r>
              <w:rPr>
                <w:color w:val="auto"/>
                <w:sz w:val="24"/>
                <w:szCs w:val="24"/>
              </w:rPr>
              <w:t>”</w:t>
            </w:r>
            <w:r>
              <w:rPr>
                <w:rFonts w:hint="eastAsia"/>
                <w:color w:val="auto"/>
                <w:sz w:val="24"/>
                <w:szCs w:val="24"/>
              </w:rPr>
              <w:t>污染应对、细化应急减排清单、加强技术手段监管，基于环境绩效推动重点行业企业错峰生产，对重点区域、重点领域内工业企业采取更精准、更科学的差异化应急减排措施。探索轻、中度污染天气应急响应的应对机制。</w:t>
            </w:r>
          </w:p>
          <w:p w14:paraId="52C32623">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color w:val="auto"/>
                <w:sz w:val="24"/>
                <w:szCs w:val="24"/>
              </w:rPr>
              <w:t>采取以上措施后，常州市环境空气质量将得到持续改善。</w:t>
            </w:r>
          </w:p>
          <w:p w14:paraId="7E03C3B9">
            <w:pPr>
              <w:pStyle w:val="10"/>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2、地表水环境质量</w:t>
            </w:r>
          </w:p>
          <w:p w14:paraId="12A42B4E">
            <w:pPr>
              <w:pStyle w:val="10"/>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Times New Roman" w:hAnsi="Times New Roman"/>
                <w:color w:val="auto"/>
                <w:sz w:val="24"/>
                <w:szCs w:val="24"/>
              </w:rPr>
            </w:pPr>
            <w:bookmarkStart w:id="59" w:name="_Toc178588521"/>
            <w:bookmarkStart w:id="60" w:name="_Toc233792960"/>
            <w:bookmarkStart w:id="61" w:name="_Toc232928908"/>
            <w:bookmarkStart w:id="62" w:name="_Toc216926467"/>
            <w:bookmarkStart w:id="63" w:name="_Toc178588693"/>
            <w:bookmarkStart w:id="64" w:name="_Toc152581403"/>
            <w:bookmarkStart w:id="65" w:name="_Toc235343726"/>
            <w:bookmarkStart w:id="66" w:name="_Toc178588239"/>
            <w:bookmarkStart w:id="67" w:name="_Toc234835726"/>
            <w:bookmarkStart w:id="68" w:name="_Toc271019109"/>
            <w:r>
              <w:rPr>
                <w:rFonts w:ascii="Times New Roman" w:hAnsi="Times New Roman"/>
                <w:color w:val="auto"/>
                <w:sz w:val="24"/>
                <w:szCs w:val="24"/>
              </w:rPr>
              <w:t>（1）区域水环境公报</w:t>
            </w:r>
          </w:p>
          <w:p w14:paraId="21C64E62">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hint="eastAsia"/>
                <w:color w:val="auto"/>
                <w:sz w:val="24"/>
                <w:szCs w:val="24"/>
              </w:rPr>
              <w:t>根据《202</w:t>
            </w:r>
            <w:r>
              <w:rPr>
                <w:rFonts w:hint="eastAsia"/>
                <w:color w:val="auto"/>
                <w:sz w:val="24"/>
                <w:szCs w:val="24"/>
                <w:lang w:val="en-US" w:eastAsia="zh-CN"/>
              </w:rPr>
              <w:t>4</w:t>
            </w:r>
            <w:r>
              <w:rPr>
                <w:rFonts w:hint="eastAsia"/>
                <w:color w:val="auto"/>
                <w:sz w:val="24"/>
                <w:szCs w:val="24"/>
              </w:rPr>
              <w:t>年常州市生态环境状况公报》，水环境质量如下：</w:t>
            </w:r>
          </w:p>
          <w:p w14:paraId="52CAB70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color w:val="auto"/>
                <w:sz w:val="24"/>
                <w:szCs w:val="24"/>
              </w:rPr>
            </w:pPr>
            <w:r>
              <w:rPr>
                <w:rFonts w:ascii="宋体" w:hAnsi="宋体"/>
                <w:color w:val="auto"/>
                <w:sz w:val="24"/>
                <w:szCs w:val="24"/>
              </w:rPr>
              <w:t>①</w:t>
            </w:r>
            <w:r>
              <w:rPr>
                <w:rFonts w:hint="eastAsia" w:ascii="宋体" w:hAnsi="宋体"/>
                <w:color w:val="auto"/>
                <w:sz w:val="24"/>
                <w:szCs w:val="24"/>
              </w:rPr>
              <w:t>饮用水水源水质</w:t>
            </w:r>
          </w:p>
          <w:p w14:paraId="6BBF7856">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hint="eastAsia" w:ascii="宋体" w:hAnsi="宋体"/>
                <w:color w:val="auto"/>
                <w:sz w:val="24"/>
                <w:szCs w:val="24"/>
              </w:rPr>
              <w:t>常</w:t>
            </w:r>
            <w:r>
              <w:rPr>
                <w:rFonts w:hint="eastAsia"/>
                <w:color w:val="auto"/>
                <w:sz w:val="24"/>
                <w:szCs w:val="24"/>
              </w:rPr>
              <w:t>州市城市饮用水以集中供水为主，根据《江苏省2023年水生态环境保护工作计划》( 苏水治办[2023]1号)，202</w:t>
            </w:r>
            <w:r>
              <w:rPr>
                <w:rFonts w:hint="eastAsia"/>
                <w:color w:val="auto"/>
                <w:sz w:val="24"/>
                <w:szCs w:val="24"/>
                <w:lang w:val="en-US" w:eastAsia="zh-CN"/>
              </w:rPr>
              <w:t>4</w:t>
            </w:r>
            <w:r>
              <w:rPr>
                <w:rFonts w:hint="eastAsia"/>
                <w:color w:val="auto"/>
                <w:sz w:val="24"/>
                <w:szCs w:val="24"/>
              </w:rPr>
              <w:t>年全市5个县级及以上城市集中式饮用水水源地（含备用），取水总量为5.</w:t>
            </w:r>
            <w:r>
              <w:rPr>
                <w:rFonts w:hint="eastAsia"/>
                <w:color w:val="auto"/>
                <w:sz w:val="24"/>
                <w:szCs w:val="24"/>
                <w:lang w:val="en-US" w:eastAsia="zh-CN"/>
              </w:rPr>
              <w:t>23</w:t>
            </w:r>
            <w:r>
              <w:rPr>
                <w:rFonts w:hint="eastAsia"/>
                <w:color w:val="auto"/>
                <w:sz w:val="24"/>
                <w:szCs w:val="24"/>
              </w:rPr>
              <w:t>亿吨，全年各次监测均达标。</w:t>
            </w:r>
          </w:p>
          <w:p w14:paraId="5E3C49B6">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ascii="宋体" w:hAnsi="宋体"/>
                <w:color w:val="auto"/>
                <w:sz w:val="24"/>
                <w:szCs w:val="24"/>
              </w:rPr>
              <w:t>②</w:t>
            </w:r>
            <w:r>
              <w:rPr>
                <w:rFonts w:hint="eastAsia"/>
                <w:color w:val="auto"/>
                <w:sz w:val="24"/>
                <w:szCs w:val="24"/>
              </w:rPr>
              <w:t>国省考断面</w:t>
            </w:r>
          </w:p>
          <w:p w14:paraId="448F9E3F">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hint="eastAsia"/>
                <w:color w:val="auto"/>
                <w:sz w:val="24"/>
                <w:szCs w:val="24"/>
              </w:rPr>
              <w:t>2024年，常州市纳入“十四五”国家地表水环境质量考核的20个断面，年均水质达到或好于《地表水环境质量标准》(GB3838-2002)川类标准的断面比例为85%，无V类断面。纳入江苏省“十四五”水环境质量目标考核的51个断面，年均水质达到或好于川类的比例为94.1%，无劣V类断面。</w:t>
            </w:r>
          </w:p>
          <w:p w14:paraId="2F6F692A">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ascii="宋体" w:hAnsi="宋体"/>
                <w:color w:val="auto"/>
                <w:sz w:val="24"/>
                <w:szCs w:val="24"/>
              </w:rPr>
              <w:t>③</w:t>
            </w:r>
            <w:r>
              <w:rPr>
                <w:rFonts w:hint="eastAsia"/>
                <w:color w:val="auto"/>
                <w:sz w:val="24"/>
                <w:szCs w:val="24"/>
              </w:rPr>
              <w:t>太湖及入太河流</w:t>
            </w:r>
          </w:p>
          <w:p w14:paraId="37BE1D84">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hint="eastAsia"/>
                <w:color w:val="auto"/>
                <w:sz w:val="24"/>
                <w:szCs w:val="24"/>
              </w:rPr>
              <w:t>2024年，太湖水质自2007年蓝藻事件以来首次达川、重回“良好”湖泊，其中我市椒山点位首次达到川类，太湖常州水域总磷同比改善24%，对全湖总磷改善幅度贡献率达182%，位列环湖城市第一，太湖入湖河道通量最大的百港总磷同比下降17.6%。</w:t>
            </w:r>
          </w:p>
          <w:p w14:paraId="0D6D7226">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ascii="宋体" w:hAnsi="宋体"/>
                <w:color w:val="auto"/>
                <w:sz w:val="24"/>
                <w:szCs w:val="24"/>
              </w:rPr>
              <w:t>④</w:t>
            </w:r>
            <w:r>
              <w:rPr>
                <w:rFonts w:hint="eastAsia"/>
                <w:color w:val="auto"/>
                <w:sz w:val="24"/>
                <w:szCs w:val="24"/>
              </w:rPr>
              <w:t>长江流域常州段及主要通江支流</w:t>
            </w:r>
          </w:p>
          <w:p w14:paraId="2C82746B">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hint="eastAsia"/>
                <w:color w:val="auto"/>
                <w:sz w:val="24"/>
                <w:szCs w:val="24"/>
              </w:rPr>
              <w:t>202</w:t>
            </w:r>
            <w:r>
              <w:rPr>
                <w:rFonts w:hint="eastAsia"/>
                <w:color w:val="auto"/>
                <w:sz w:val="24"/>
                <w:szCs w:val="24"/>
                <w:lang w:val="en-US" w:eastAsia="zh-CN"/>
              </w:rPr>
              <w:t>4</w:t>
            </w:r>
            <w:r>
              <w:rPr>
                <w:rFonts w:hint="eastAsia"/>
                <w:color w:val="auto"/>
                <w:sz w:val="24"/>
                <w:szCs w:val="24"/>
              </w:rPr>
              <w:t>年，长江干流魏村(右岸)断面水质连续六年达到</w:t>
            </w:r>
            <w:r>
              <w:rPr>
                <w:color w:val="auto"/>
                <w:sz w:val="24"/>
                <w:szCs w:val="24"/>
              </w:rPr>
              <w:t>Ⅱ</w:t>
            </w:r>
            <w:r>
              <w:rPr>
                <w:rFonts w:hint="eastAsia"/>
                <w:color w:val="auto"/>
                <w:sz w:val="24"/>
                <w:szCs w:val="24"/>
              </w:rPr>
              <w:t>类；新孟河、德胜河、澡港河等3条主要通江支流上5个国省考断面年均水质均达到或优于</w:t>
            </w:r>
            <w:r>
              <w:rPr>
                <w:color w:val="auto"/>
                <w:sz w:val="24"/>
                <w:szCs w:val="24"/>
              </w:rPr>
              <w:t>Ⅲ</w:t>
            </w:r>
            <w:r>
              <w:rPr>
                <w:rFonts w:hint="eastAsia"/>
                <w:color w:val="auto"/>
                <w:sz w:val="24"/>
                <w:szCs w:val="24"/>
              </w:rPr>
              <w:t>类。</w:t>
            </w:r>
          </w:p>
          <w:p w14:paraId="31713DD7">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ascii="宋体" w:hAnsi="宋体"/>
                <w:color w:val="auto"/>
                <w:sz w:val="24"/>
                <w:szCs w:val="24"/>
              </w:rPr>
              <w:t>⑤</w:t>
            </w:r>
            <w:r>
              <w:rPr>
                <w:rFonts w:hint="eastAsia"/>
                <w:color w:val="auto"/>
                <w:sz w:val="24"/>
                <w:szCs w:val="24"/>
              </w:rPr>
              <w:t>京杭大运河常州段</w:t>
            </w:r>
          </w:p>
          <w:p w14:paraId="22BEF36B">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rFonts w:hint="eastAsia"/>
                <w:color w:val="auto"/>
                <w:sz w:val="24"/>
                <w:szCs w:val="24"/>
              </w:rPr>
              <w:t>202</w:t>
            </w:r>
            <w:r>
              <w:rPr>
                <w:rFonts w:hint="eastAsia"/>
                <w:color w:val="auto"/>
                <w:sz w:val="24"/>
                <w:szCs w:val="24"/>
                <w:lang w:val="en-US" w:eastAsia="zh-CN"/>
              </w:rPr>
              <w:t>4</w:t>
            </w:r>
            <w:r>
              <w:rPr>
                <w:rFonts w:hint="eastAsia"/>
                <w:color w:val="auto"/>
                <w:sz w:val="24"/>
                <w:szCs w:val="24"/>
              </w:rPr>
              <w:t>年，京杭大运河（常州段）沿线五牧、连江桥下、戚墅堰等3个国省考断面水质均达到或好于</w:t>
            </w:r>
            <w:r>
              <w:rPr>
                <w:color w:val="auto"/>
                <w:sz w:val="24"/>
                <w:szCs w:val="24"/>
              </w:rPr>
              <w:t>Ⅲ</w:t>
            </w:r>
            <w:r>
              <w:rPr>
                <w:rFonts w:hint="eastAsia"/>
                <w:color w:val="auto"/>
                <w:sz w:val="24"/>
                <w:szCs w:val="24"/>
              </w:rPr>
              <w:t>类。</w:t>
            </w:r>
          </w:p>
          <w:p w14:paraId="549C8CE7">
            <w:pPr>
              <w:pStyle w:val="10"/>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Times New Roman" w:hAnsi="Times New Roman"/>
                <w:color w:val="auto"/>
                <w:sz w:val="24"/>
                <w:szCs w:val="24"/>
              </w:rPr>
            </w:pPr>
            <w:r>
              <w:rPr>
                <w:rFonts w:ascii="Times New Roman" w:hAnsi="Times New Roman"/>
                <w:color w:val="auto"/>
                <w:sz w:val="24"/>
                <w:szCs w:val="24"/>
              </w:rPr>
              <w:t>（2）地表水环境质量现状引用结果及评价</w:t>
            </w:r>
          </w:p>
          <w:bookmarkEnd w:id="59"/>
          <w:bookmarkEnd w:id="60"/>
          <w:bookmarkEnd w:id="61"/>
          <w:bookmarkEnd w:id="62"/>
          <w:bookmarkEnd w:id="63"/>
          <w:bookmarkEnd w:id="64"/>
          <w:bookmarkEnd w:id="65"/>
          <w:bookmarkEnd w:id="66"/>
          <w:bookmarkEnd w:id="67"/>
          <w:bookmarkEnd w:id="68"/>
          <w:p w14:paraId="1B7F0007">
            <w:pPr>
              <w:keepNext w:val="0"/>
              <w:keepLines w:val="0"/>
              <w:pageBreakBefore w:val="0"/>
              <w:widowControl w:val="0"/>
              <w:kinsoku/>
              <w:wordWrap/>
              <w:overflowPunct/>
              <w:topLinePunct w:val="0"/>
              <w:autoSpaceDE/>
              <w:autoSpaceDN/>
              <w:bidi w:val="0"/>
              <w:spacing w:line="480" w:lineRule="exact"/>
              <w:ind w:firstLine="480" w:firstLineChars="200"/>
              <w:textAlignment w:val="auto"/>
              <w:rPr>
                <w:color w:val="auto"/>
                <w:sz w:val="24"/>
                <w:szCs w:val="24"/>
              </w:rPr>
            </w:pPr>
            <w:r>
              <w:rPr>
                <w:color w:val="auto"/>
                <w:sz w:val="24"/>
                <w:szCs w:val="24"/>
              </w:rPr>
              <w:t>根据《江苏省地表水（环境）功能区划（2021-2030年）》，</w:t>
            </w:r>
            <w:r>
              <w:rPr>
                <w:rFonts w:hint="eastAsia"/>
                <w:color w:val="auto"/>
                <w:sz w:val="24"/>
                <w:szCs w:val="24"/>
              </w:rPr>
              <w:t>尧塘河</w:t>
            </w:r>
            <w:r>
              <w:rPr>
                <w:color w:val="auto"/>
                <w:sz w:val="24"/>
                <w:szCs w:val="24"/>
              </w:rPr>
              <w:t>水环境功能为Ⅲ类。</w:t>
            </w:r>
          </w:p>
          <w:p w14:paraId="708A81E6">
            <w:pPr>
              <w:pStyle w:val="10"/>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color w:val="auto"/>
                <w:sz w:val="24"/>
                <w:szCs w:val="24"/>
              </w:rPr>
            </w:pPr>
            <w:r>
              <w:rPr>
                <w:rFonts w:hint="eastAsia" w:ascii="Times New Roman" w:hAnsi="Times New Roman"/>
                <w:color w:val="auto"/>
                <w:sz w:val="24"/>
                <w:szCs w:val="24"/>
              </w:rPr>
              <w:t>本次地表水环境质量现状评价</w:t>
            </w:r>
            <w:r>
              <w:rPr>
                <w:rFonts w:hint="eastAsia" w:ascii="Times New Roman" w:hAnsi="Times New Roman"/>
                <w:color w:val="000000" w:themeColor="text1"/>
                <w:sz w:val="24"/>
                <w:szCs w:val="24"/>
                <w:lang w:val="en-US" w:eastAsia="zh-CN"/>
                <w14:textFill>
                  <w14:solidFill>
                    <w14:schemeClr w14:val="tx1"/>
                  </w14:solidFill>
                </w14:textFill>
              </w:rPr>
              <w:t>引用2025年1月6日-8日监测数据，</w:t>
            </w:r>
            <w:r>
              <w:rPr>
                <w:rFonts w:hint="eastAsia" w:ascii="Times New Roman" w:hAnsi="Times New Roman"/>
                <w:color w:val="auto"/>
                <w:sz w:val="24"/>
                <w:szCs w:val="24"/>
              </w:rPr>
              <w:t>布设2个引用断面，W1、W2分别位于尧塘河常州金坛区第二污水处理有限公司排口上游500m和尧塘河常州金坛区第二污水处理有限公司排口下游2000m处，连续3天，每天2次，报告编号：</w:t>
            </w:r>
            <w:r>
              <w:rPr>
                <w:rFonts w:hint="eastAsia" w:ascii="Times New Roman" w:hAnsi="Times New Roman"/>
                <w:color w:val="auto"/>
                <w:sz w:val="24"/>
                <w:szCs w:val="24"/>
                <w:lang w:val="en-US" w:eastAsia="zh-CN"/>
              </w:rPr>
              <w:t>TST202501060</w:t>
            </w:r>
            <w:r>
              <w:rPr>
                <w:rFonts w:hint="eastAsia" w:ascii="Times New Roman" w:hAnsi="Times New Roman"/>
                <w:color w:val="auto"/>
                <w:sz w:val="24"/>
                <w:szCs w:val="24"/>
              </w:rPr>
              <w:t>。</w:t>
            </w:r>
          </w:p>
          <w:p w14:paraId="07C2E9D4">
            <w:pPr>
              <w:pStyle w:val="10"/>
              <w:keepNext w:val="0"/>
              <w:keepLines w:val="0"/>
              <w:pageBreakBefore w:val="0"/>
              <w:widowControl w:val="0"/>
              <w:kinsoku/>
              <w:wordWrap/>
              <w:overflowPunct/>
              <w:topLinePunct w:val="0"/>
              <w:autoSpaceDE/>
              <w:autoSpaceDN/>
              <w:bidi w:val="0"/>
              <w:spacing w:line="480" w:lineRule="exact"/>
              <w:ind w:firstLine="480" w:firstLineChars="200"/>
              <w:textAlignment w:val="auto"/>
              <w:rPr>
                <w:b/>
                <w:bCs/>
                <w:color w:val="auto"/>
                <w:sz w:val="21"/>
                <w:szCs w:val="21"/>
              </w:rPr>
            </w:pPr>
            <w:r>
              <w:rPr>
                <w:rFonts w:ascii="Times New Roman" w:hAnsi="Times New Roman"/>
                <w:color w:val="auto"/>
                <w:sz w:val="24"/>
                <w:szCs w:val="24"/>
              </w:rPr>
              <w:t>地表水环境质量现状监测断面具体位置见表3-</w:t>
            </w:r>
            <w:r>
              <w:rPr>
                <w:rFonts w:hint="eastAsia" w:ascii="Times New Roman" w:hAnsi="Times New Roman"/>
                <w:color w:val="auto"/>
                <w:sz w:val="24"/>
                <w:szCs w:val="24"/>
              </w:rPr>
              <w:t>4</w:t>
            </w:r>
            <w:r>
              <w:rPr>
                <w:rFonts w:ascii="Times New Roman" w:hAnsi="Times New Roman"/>
                <w:color w:val="auto"/>
                <w:sz w:val="24"/>
                <w:szCs w:val="24"/>
              </w:rPr>
              <w:t>，监测结果汇总见表3-</w:t>
            </w:r>
            <w:r>
              <w:rPr>
                <w:rFonts w:hint="eastAsia" w:ascii="Times New Roman" w:hAnsi="Times New Roman"/>
                <w:color w:val="auto"/>
                <w:sz w:val="24"/>
                <w:szCs w:val="24"/>
              </w:rPr>
              <w:t>5</w:t>
            </w:r>
            <w:r>
              <w:rPr>
                <w:rFonts w:ascii="Times New Roman" w:hAnsi="Times New Roman"/>
                <w:color w:val="auto"/>
                <w:sz w:val="24"/>
                <w:szCs w:val="24"/>
              </w:rPr>
              <w:t>。</w:t>
            </w:r>
          </w:p>
          <w:p w14:paraId="7D33B1A8">
            <w:pPr>
              <w:spacing w:line="360" w:lineRule="exact"/>
              <w:jc w:val="center"/>
              <w:rPr>
                <w:b/>
                <w:bCs/>
                <w:color w:val="auto"/>
                <w:sz w:val="21"/>
                <w:szCs w:val="21"/>
              </w:rPr>
            </w:pPr>
            <w:r>
              <w:rPr>
                <w:b/>
                <w:bCs/>
                <w:color w:val="auto"/>
                <w:sz w:val="21"/>
                <w:szCs w:val="21"/>
              </w:rPr>
              <w:t>表3-</w:t>
            </w:r>
            <w:r>
              <w:rPr>
                <w:rFonts w:hint="eastAsia"/>
                <w:b/>
                <w:bCs/>
                <w:color w:val="auto"/>
                <w:sz w:val="21"/>
                <w:szCs w:val="21"/>
              </w:rPr>
              <w:t>4</w:t>
            </w:r>
            <w:r>
              <w:rPr>
                <w:b/>
                <w:bCs/>
                <w:color w:val="auto"/>
                <w:sz w:val="21"/>
                <w:szCs w:val="21"/>
              </w:rPr>
              <w:t xml:space="preserve">  地表水环境质量现状监测断面</w:t>
            </w:r>
          </w:p>
          <w:tbl>
            <w:tblPr>
              <w:tblStyle w:val="22"/>
              <w:tblW w:w="0" w:type="auto"/>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013"/>
              <w:gridCol w:w="987"/>
              <w:gridCol w:w="2686"/>
              <w:gridCol w:w="1168"/>
              <w:gridCol w:w="1442"/>
              <w:gridCol w:w="966"/>
            </w:tblGrid>
            <w:tr w14:paraId="4086276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013" w:type="dxa"/>
                  <w:tcBorders>
                    <w:top w:val="single" w:color="auto" w:sz="12" w:space="0"/>
                  </w:tcBorders>
                  <w:noWrap w:val="0"/>
                  <w:vAlign w:val="center"/>
                </w:tcPr>
                <w:p w14:paraId="1464A872">
                  <w:pPr>
                    <w:spacing w:line="280" w:lineRule="exact"/>
                    <w:jc w:val="center"/>
                    <w:rPr>
                      <w:b/>
                      <w:bCs/>
                      <w:color w:val="auto"/>
                      <w:sz w:val="21"/>
                      <w:szCs w:val="21"/>
                    </w:rPr>
                  </w:pPr>
                  <w:r>
                    <w:rPr>
                      <w:b/>
                      <w:bCs/>
                      <w:color w:val="auto"/>
                      <w:sz w:val="21"/>
                      <w:szCs w:val="21"/>
                    </w:rPr>
                    <w:t>河流名称</w:t>
                  </w:r>
                </w:p>
              </w:tc>
              <w:tc>
                <w:tcPr>
                  <w:tcW w:w="987" w:type="dxa"/>
                  <w:tcBorders>
                    <w:top w:val="single" w:color="auto" w:sz="12" w:space="0"/>
                  </w:tcBorders>
                  <w:noWrap w:val="0"/>
                  <w:vAlign w:val="center"/>
                </w:tcPr>
                <w:p w14:paraId="54D2F9DC">
                  <w:pPr>
                    <w:spacing w:line="280" w:lineRule="exact"/>
                    <w:jc w:val="center"/>
                    <w:rPr>
                      <w:b/>
                      <w:bCs/>
                      <w:color w:val="auto"/>
                      <w:sz w:val="21"/>
                      <w:szCs w:val="21"/>
                    </w:rPr>
                  </w:pPr>
                  <w:r>
                    <w:rPr>
                      <w:b/>
                      <w:bCs/>
                      <w:color w:val="auto"/>
                      <w:sz w:val="21"/>
                      <w:szCs w:val="21"/>
                    </w:rPr>
                    <w:t>引用断面</w:t>
                  </w:r>
                </w:p>
              </w:tc>
              <w:tc>
                <w:tcPr>
                  <w:tcW w:w="2686" w:type="dxa"/>
                  <w:tcBorders>
                    <w:top w:val="single" w:color="auto" w:sz="12" w:space="0"/>
                  </w:tcBorders>
                  <w:noWrap w:val="0"/>
                  <w:vAlign w:val="center"/>
                </w:tcPr>
                <w:p w14:paraId="4D0AF312">
                  <w:pPr>
                    <w:spacing w:line="280" w:lineRule="exact"/>
                    <w:jc w:val="center"/>
                    <w:rPr>
                      <w:b/>
                      <w:bCs/>
                      <w:color w:val="auto"/>
                      <w:sz w:val="21"/>
                      <w:szCs w:val="21"/>
                    </w:rPr>
                  </w:pPr>
                  <w:r>
                    <w:rPr>
                      <w:b/>
                      <w:bCs/>
                      <w:color w:val="auto"/>
                      <w:sz w:val="21"/>
                      <w:szCs w:val="21"/>
                    </w:rPr>
                    <w:t>断面位置</w:t>
                  </w:r>
                </w:p>
              </w:tc>
              <w:tc>
                <w:tcPr>
                  <w:tcW w:w="1168" w:type="dxa"/>
                  <w:tcBorders>
                    <w:top w:val="single" w:color="auto" w:sz="12" w:space="0"/>
                  </w:tcBorders>
                  <w:noWrap w:val="0"/>
                  <w:vAlign w:val="center"/>
                </w:tcPr>
                <w:p w14:paraId="6D126289">
                  <w:pPr>
                    <w:spacing w:line="280" w:lineRule="exact"/>
                    <w:jc w:val="center"/>
                    <w:rPr>
                      <w:b/>
                      <w:bCs/>
                      <w:color w:val="auto"/>
                      <w:sz w:val="21"/>
                      <w:szCs w:val="21"/>
                    </w:rPr>
                  </w:pPr>
                  <w:r>
                    <w:rPr>
                      <w:b/>
                      <w:bCs/>
                      <w:color w:val="auto"/>
                      <w:sz w:val="21"/>
                      <w:szCs w:val="21"/>
                    </w:rPr>
                    <w:t>断面位置</w:t>
                  </w:r>
                </w:p>
              </w:tc>
              <w:tc>
                <w:tcPr>
                  <w:tcW w:w="1442" w:type="dxa"/>
                  <w:tcBorders>
                    <w:top w:val="single" w:color="auto" w:sz="12" w:space="0"/>
                  </w:tcBorders>
                  <w:noWrap w:val="0"/>
                  <w:vAlign w:val="center"/>
                </w:tcPr>
                <w:p w14:paraId="6D550F9B">
                  <w:pPr>
                    <w:spacing w:line="280" w:lineRule="exact"/>
                    <w:jc w:val="center"/>
                    <w:rPr>
                      <w:b/>
                      <w:bCs/>
                      <w:color w:val="auto"/>
                      <w:sz w:val="21"/>
                      <w:szCs w:val="21"/>
                    </w:rPr>
                  </w:pPr>
                  <w:r>
                    <w:rPr>
                      <w:b/>
                      <w:bCs/>
                      <w:color w:val="auto"/>
                      <w:sz w:val="21"/>
                      <w:szCs w:val="21"/>
                    </w:rPr>
                    <w:t>引用因子</w:t>
                  </w:r>
                </w:p>
              </w:tc>
              <w:tc>
                <w:tcPr>
                  <w:tcW w:w="966" w:type="dxa"/>
                  <w:tcBorders>
                    <w:top w:val="single" w:color="auto" w:sz="12" w:space="0"/>
                  </w:tcBorders>
                  <w:noWrap w:val="0"/>
                  <w:vAlign w:val="center"/>
                </w:tcPr>
                <w:p w14:paraId="0A29A643">
                  <w:pPr>
                    <w:spacing w:line="280" w:lineRule="exact"/>
                    <w:jc w:val="center"/>
                    <w:rPr>
                      <w:b/>
                      <w:bCs/>
                      <w:color w:val="auto"/>
                      <w:sz w:val="21"/>
                      <w:szCs w:val="21"/>
                    </w:rPr>
                  </w:pPr>
                  <w:r>
                    <w:rPr>
                      <w:b/>
                      <w:bCs/>
                      <w:color w:val="auto"/>
                      <w:sz w:val="21"/>
                      <w:szCs w:val="21"/>
                    </w:rPr>
                    <w:t>环境功能</w:t>
                  </w:r>
                </w:p>
              </w:tc>
            </w:tr>
            <w:tr w14:paraId="6C9063E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013" w:type="dxa"/>
                  <w:vMerge w:val="restart"/>
                  <w:noWrap w:val="0"/>
                  <w:vAlign w:val="center"/>
                </w:tcPr>
                <w:p w14:paraId="02DF3943">
                  <w:pPr>
                    <w:spacing w:line="280" w:lineRule="exact"/>
                    <w:jc w:val="center"/>
                    <w:rPr>
                      <w:rFonts w:hint="eastAsia"/>
                      <w:color w:val="auto"/>
                      <w:sz w:val="21"/>
                      <w:szCs w:val="21"/>
                    </w:rPr>
                  </w:pPr>
                  <w:r>
                    <w:rPr>
                      <w:rFonts w:hint="eastAsia"/>
                      <w:color w:val="auto"/>
                      <w:sz w:val="21"/>
                      <w:szCs w:val="21"/>
                    </w:rPr>
                    <w:t>尧塘河</w:t>
                  </w:r>
                </w:p>
              </w:tc>
              <w:tc>
                <w:tcPr>
                  <w:tcW w:w="987" w:type="dxa"/>
                  <w:noWrap w:val="0"/>
                  <w:vAlign w:val="center"/>
                </w:tcPr>
                <w:p w14:paraId="16685292">
                  <w:pPr>
                    <w:spacing w:line="280" w:lineRule="exact"/>
                    <w:jc w:val="center"/>
                    <w:rPr>
                      <w:color w:val="auto"/>
                      <w:sz w:val="21"/>
                      <w:szCs w:val="21"/>
                    </w:rPr>
                  </w:pPr>
                  <w:r>
                    <w:rPr>
                      <w:color w:val="auto"/>
                      <w:sz w:val="21"/>
                      <w:szCs w:val="21"/>
                    </w:rPr>
                    <w:t>W1</w:t>
                  </w:r>
                </w:p>
              </w:tc>
              <w:tc>
                <w:tcPr>
                  <w:tcW w:w="2686" w:type="dxa"/>
                  <w:noWrap w:val="0"/>
                  <w:vAlign w:val="center"/>
                </w:tcPr>
                <w:p w14:paraId="0544CE47">
                  <w:pPr>
                    <w:spacing w:line="280" w:lineRule="exact"/>
                    <w:jc w:val="center"/>
                    <w:rPr>
                      <w:color w:val="auto"/>
                      <w:sz w:val="21"/>
                      <w:szCs w:val="21"/>
                    </w:rPr>
                  </w:pPr>
                  <w:r>
                    <w:rPr>
                      <w:rFonts w:hint="eastAsia"/>
                      <w:color w:val="auto"/>
                      <w:sz w:val="21"/>
                      <w:szCs w:val="21"/>
                    </w:rPr>
                    <w:t>常州金坛区第二污水处理有限公司</w:t>
                  </w:r>
                  <w:r>
                    <w:rPr>
                      <w:color w:val="auto"/>
                      <w:sz w:val="21"/>
                      <w:szCs w:val="21"/>
                    </w:rPr>
                    <w:t>排口上游500m</w:t>
                  </w:r>
                </w:p>
              </w:tc>
              <w:tc>
                <w:tcPr>
                  <w:tcW w:w="1168" w:type="dxa"/>
                  <w:vMerge w:val="restart"/>
                  <w:noWrap w:val="0"/>
                  <w:vAlign w:val="center"/>
                </w:tcPr>
                <w:p w14:paraId="7E382B52">
                  <w:pPr>
                    <w:spacing w:line="280" w:lineRule="exact"/>
                    <w:jc w:val="center"/>
                    <w:rPr>
                      <w:color w:val="auto"/>
                      <w:sz w:val="21"/>
                      <w:szCs w:val="21"/>
                    </w:rPr>
                  </w:pPr>
                  <w:r>
                    <w:rPr>
                      <w:color w:val="auto"/>
                      <w:sz w:val="21"/>
                      <w:szCs w:val="21"/>
                    </w:rPr>
                    <w:t>河道</w:t>
                  </w:r>
                </w:p>
                <w:p w14:paraId="63AAD1F9">
                  <w:pPr>
                    <w:spacing w:line="280" w:lineRule="exact"/>
                    <w:jc w:val="center"/>
                    <w:rPr>
                      <w:color w:val="auto"/>
                      <w:sz w:val="21"/>
                      <w:szCs w:val="21"/>
                    </w:rPr>
                  </w:pPr>
                  <w:r>
                    <w:rPr>
                      <w:color w:val="auto"/>
                      <w:sz w:val="21"/>
                      <w:szCs w:val="21"/>
                    </w:rPr>
                    <w:t>中央</w:t>
                  </w:r>
                </w:p>
              </w:tc>
              <w:tc>
                <w:tcPr>
                  <w:tcW w:w="1442" w:type="dxa"/>
                  <w:vMerge w:val="restart"/>
                  <w:noWrap w:val="0"/>
                  <w:vAlign w:val="center"/>
                </w:tcPr>
                <w:p w14:paraId="73E5A3D6">
                  <w:pPr>
                    <w:spacing w:line="280" w:lineRule="exact"/>
                    <w:jc w:val="center"/>
                    <w:rPr>
                      <w:color w:val="auto"/>
                      <w:sz w:val="21"/>
                      <w:szCs w:val="21"/>
                    </w:rPr>
                  </w:pPr>
                  <w:bookmarkStart w:id="69" w:name="_Toc420308855"/>
                  <w:r>
                    <w:rPr>
                      <w:color w:val="auto"/>
                      <w:sz w:val="21"/>
                      <w:szCs w:val="21"/>
                    </w:rPr>
                    <w:t>pH、</w:t>
                  </w:r>
                  <w:bookmarkEnd w:id="69"/>
                  <w:r>
                    <w:rPr>
                      <w:color w:val="auto"/>
                      <w:sz w:val="21"/>
                      <w:szCs w:val="21"/>
                    </w:rPr>
                    <w:t>COD、氨氮、总磷</w:t>
                  </w:r>
                  <w:r>
                    <w:rPr>
                      <w:rFonts w:hint="eastAsia"/>
                      <w:color w:val="auto"/>
                      <w:sz w:val="21"/>
                      <w:szCs w:val="21"/>
                    </w:rPr>
                    <w:t>、总氮</w:t>
                  </w:r>
                </w:p>
              </w:tc>
              <w:tc>
                <w:tcPr>
                  <w:tcW w:w="966" w:type="dxa"/>
                  <w:vMerge w:val="restart"/>
                  <w:noWrap w:val="0"/>
                  <w:vAlign w:val="center"/>
                </w:tcPr>
                <w:p w14:paraId="6AD42186">
                  <w:pPr>
                    <w:spacing w:line="280" w:lineRule="exact"/>
                    <w:jc w:val="center"/>
                    <w:rPr>
                      <w:color w:val="auto"/>
                      <w:sz w:val="21"/>
                      <w:szCs w:val="21"/>
                    </w:rPr>
                  </w:pPr>
                  <w:r>
                    <w:rPr>
                      <w:color w:val="auto"/>
                      <w:sz w:val="21"/>
                      <w:szCs w:val="21"/>
                    </w:rPr>
                    <w:t>Ⅲ类</w:t>
                  </w:r>
                </w:p>
              </w:tc>
            </w:tr>
            <w:tr w14:paraId="355DF70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013" w:type="dxa"/>
                  <w:vMerge w:val="continue"/>
                  <w:tcBorders>
                    <w:bottom w:val="single" w:color="auto" w:sz="12" w:space="0"/>
                  </w:tcBorders>
                  <w:noWrap w:val="0"/>
                  <w:vAlign w:val="center"/>
                </w:tcPr>
                <w:p w14:paraId="0D890905">
                  <w:pPr>
                    <w:widowControl/>
                    <w:spacing w:line="280" w:lineRule="exact"/>
                    <w:jc w:val="left"/>
                    <w:rPr>
                      <w:color w:val="auto"/>
                      <w:sz w:val="21"/>
                      <w:szCs w:val="21"/>
                    </w:rPr>
                  </w:pPr>
                </w:p>
              </w:tc>
              <w:tc>
                <w:tcPr>
                  <w:tcW w:w="987" w:type="dxa"/>
                  <w:tcBorders>
                    <w:bottom w:val="single" w:color="auto" w:sz="12" w:space="0"/>
                  </w:tcBorders>
                  <w:noWrap w:val="0"/>
                  <w:vAlign w:val="center"/>
                </w:tcPr>
                <w:p w14:paraId="0C3587AD">
                  <w:pPr>
                    <w:spacing w:line="280" w:lineRule="exact"/>
                    <w:jc w:val="center"/>
                    <w:rPr>
                      <w:color w:val="auto"/>
                      <w:sz w:val="21"/>
                      <w:szCs w:val="21"/>
                    </w:rPr>
                  </w:pPr>
                  <w:r>
                    <w:rPr>
                      <w:color w:val="auto"/>
                      <w:sz w:val="21"/>
                      <w:szCs w:val="21"/>
                    </w:rPr>
                    <w:t>W2</w:t>
                  </w:r>
                </w:p>
              </w:tc>
              <w:tc>
                <w:tcPr>
                  <w:tcW w:w="2686" w:type="dxa"/>
                  <w:tcBorders>
                    <w:bottom w:val="single" w:color="auto" w:sz="12" w:space="0"/>
                  </w:tcBorders>
                  <w:noWrap w:val="0"/>
                  <w:vAlign w:val="center"/>
                </w:tcPr>
                <w:p w14:paraId="3A0E4DE5">
                  <w:pPr>
                    <w:spacing w:line="280" w:lineRule="exact"/>
                    <w:jc w:val="center"/>
                    <w:rPr>
                      <w:color w:val="auto"/>
                      <w:sz w:val="21"/>
                      <w:szCs w:val="21"/>
                    </w:rPr>
                  </w:pPr>
                  <w:r>
                    <w:rPr>
                      <w:rFonts w:hint="eastAsia"/>
                      <w:color w:val="auto"/>
                      <w:sz w:val="21"/>
                      <w:szCs w:val="21"/>
                    </w:rPr>
                    <w:t>常州金坛区第二污水处理有限公司</w:t>
                  </w:r>
                  <w:r>
                    <w:rPr>
                      <w:color w:val="auto"/>
                      <w:sz w:val="21"/>
                      <w:szCs w:val="21"/>
                    </w:rPr>
                    <w:t>排口下游2000m</w:t>
                  </w:r>
                </w:p>
              </w:tc>
              <w:tc>
                <w:tcPr>
                  <w:tcW w:w="1168" w:type="dxa"/>
                  <w:vMerge w:val="continue"/>
                  <w:tcBorders>
                    <w:bottom w:val="single" w:color="auto" w:sz="12" w:space="0"/>
                  </w:tcBorders>
                  <w:noWrap w:val="0"/>
                  <w:vAlign w:val="center"/>
                </w:tcPr>
                <w:p w14:paraId="249758E1">
                  <w:pPr>
                    <w:widowControl/>
                    <w:spacing w:line="280" w:lineRule="exact"/>
                    <w:jc w:val="left"/>
                    <w:rPr>
                      <w:color w:val="auto"/>
                      <w:sz w:val="21"/>
                      <w:szCs w:val="21"/>
                    </w:rPr>
                  </w:pPr>
                </w:p>
              </w:tc>
              <w:tc>
                <w:tcPr>
                  <w:tcW w:w="1442" w:type="dxa"/>
                  <w:vMerge w:val="continue"/>
                  <w:tcBorders>
                    <w:bottom w:val="single" w:color="auto" w:sz="12" w:space="0"/>
                  </w:tcBorders>
                  <w:noWrap w:val="0"/>
                  <w:vAlign w:val="center"/>
                </w:tcPr>
                <w:p w14:paraId="15602E43">
                  <w:pPr>
                    <w:widowControl/>
                    <w:spacing w:line="280" w:lineRule="exact"/>
                    <w:jc w:val="left"/>
                    <w:rPr>
                      <w:color w:val="auto"/>
                      <w:sz w:val="21"/>
                      <w:szCs w:val="21"/>
                    </w:rPr>
                  </w:pPr>
                </w:p>
              </w:tc>
              <w:tc>
                <w:tcPr>
                  <w:tcW w:w="966" w:type="dxa"/>
                  <w:vMerge w:val="continue"/>
                  <w:tcBorders>
                    <w:bottom w:val="single" w:color="auto" w:sz="12" w:space="0"/>
                  </w:tcBorders>
                  <w:noWrap w:val="0"/>
                  <w:vAlign w:val="center"/>
                </w:tcPr>
                <w:p w14:paraId="7A60A152">
                  <w:pPr>
                    <w:widowControl/>
                    <w:spacing w:line="280" w:lineRule="exact"/>
                    <w:jc w:val="left"/>
                    <w:rPr>
                      <w:color w:val="auto"/>
                      <w:sz w:val="21"/>
                      <w:szCs w:val="21"/>
                    </w:rPr>
                  </w:pPr>
                </w:p>
              </w:tc>
            </w:tr>
          </w:tbl>
          <w:p w14:paraId="1F2E71B8">
            <w:pPr>
              <w:spacing w:line="360" w:lineRule="exact"/>
              <w:jc w:val="center"/>
              <w:rPr>
                <w:b/>
                <w:bCs/>
                <w:color w:val="auto"/>
                <w:sz w:val="21"/>
                <w:szCs w:val="21"/>
              </w:rPr>
            </w:pPr>
            <w:r>
              <w:rPr>
                <w:b/>
                <w:bCs/>
                <w:color w:val="auto"/>
                <w:sz w:val="21"/>
                <w:szCs w:val="21"/>
              </w:rPr>
              <w:t>表3-</w:t>
            </w:r>
            <w:r>
              <w:rPr>
                <w:rFonts w:hint="eastAsia"/>
                <w:b/>
                <w:bCs/>
                <w:color w:val="auto"/>
                <w:sz w:val="21"/>
                <w:szCs w:val="21"/>
              </w:rPr>
              <w:t>5</w:t>
            </w:r>
            <w:r>
              <w:rPr>
                <w:b/>
                <w:bCs/>
                <w:color w:val="auto"/>
                <w:sz w:val="21"/>
                <w:szCs w:val="21"/>
              </w:rPr>
              <w:t xml:space="preserve">  地表水质量引用结果汇总表 （mg/L）  </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857"/>
              <w:gridCol w:w="1163"/>
              <w:gridCol w:w="1527"/>
              <w:gridCol w:w="1499"/>
              <w:gridCol w:w="1398"/>
            </w:tblGrid>
            <w:tr w14:paraId="7B487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noWrap w:val="0"/>
                  <w:vAlign w:val="center"/>
                </w:tcPr>
                <w:p w14:paraId="1707744B">
                  <w:pPr>
                    <w:spacing w:line="260" w:lineRule="exact"/>
                    <w:jc w:val="center"/>
                    <w:rPr>
                      <w:b/>
                      <w:bCs/>
                      <w:color w:val="auto"/>
                      <w:sz w:val="21"/>
                      <w:szCs w:val="21"/>
                    </w:rPr>
                  </w:pPr>
                  <w:r>
                    <w:rPr>
                      <w:b/>
                      <w:bCs/>
                      <w:color w:val="auto"/>
                      <w:sz w:val="21"/>
                      <w:szCs w:val="21"/>
                    </w:rPr>
                    <w:t>断面</w:t>
                  </w:r>
                </w:p>
              </w:tc>
              <w:tc>
                <w:tcPr>
                  <w:tcW w:w="1123" w:type="pct"/>
                  <w:noWrap w:val="0"/>
                  <w:vAlign w:val="center"/>
                </w:tcPr>
                <w:p w14:paraId="2E2B14DD">
                  <w:pPr>
                    <w:spacing w:line="260" w:lineRule="exact"/>
                    <w:jc w:val="center"/>
                    <w:rPr>
                      <w:b/>
                      <w:bCs/>
                      <w:color w:val="auto"/>
                      <w:sz w:val="21"/>
                      <w:szCs w:val="21"/>
                    </w:rPr>
                  </w:pPr>
                  <w:r>
                    <w:rPr>
                      <w:b/>
                      <w:bCs/>
                      <w:color w:val="auto"/>
                      <w:sz w:val="21"/>
                      <w:szCs w:val="21"/>
                    </w:rPr>
                    <w:t>项目</w:t>
                  </w:r>
                </w:p>
              </w:tc>
              <w:tc>
                <w:tcPr>
                  <w:tcW w:w="704" w:type="pct"/>
                  <w:noWrap w:val="0"/>
                  <w:vAlign w:val="center"/>
                </w:tcPr>
                <w:p w14:paraId="5E049871">
                  <w:pPr>
                    <w:pStyle w:val="52"/>
                    <w:widowControl w:val="0"/>
                    <w:pBdr>
                      <w:bottom w:val="none" w:color="auto" w:sz="0" w:space="0"/>
                    </w:pBdr>
                    <w:spacing w:before="0" w:after="0" w:line="260" w:lineRule="exact"/>
                    <w:rPr>
                      <w:rFonts w:ascii="Times New Roman" w:hAnsi="Times New Roman"/>
                      <w:b/>
                      <w:bCs/>
                      <w:color w:val="auto"/>
                      <w:sz w:val="21"/>
                      <w:szCs w:val="21"/>
                    </w:rPr>
                  </w:pPr>
                  <w:r>
                    <w:rPr>
                      <w:rFonts w:ascii="Times New Roman" w:hAnsi="Times New Roman"/>
                      <w:b/>
                      <w:bCs/>
                      <w:color w:val="auto"/>
                      <w:sz w:val="21"/>
                      <w:szCs w:val="21"/>
                    </w:rPr>
                    <w:t>pH</w:t>
                  </w:r>
                </w:p>
              </w:tc>
              <w:tc>
                <w:tcPr>
                  <w:tcW w:w="924" w:type="pct"/>
                  <w:noWrap w:val="0"/>
                  <w:vAlign w:val="center"/>
                </w:tcPr>
                <w:p w14:paraId="6C0AFCF1">
                  <w:pPr>
                    <w:spacing w:line="260" w:lineRule="exact"/>
                    <w:jc w:val="center"/>
                    <w:rPr>
                      <w:b/>
                      <w:bCs/>
                      <w:color w:val="auto"/>
                      <w:sz w:val="21"/>
                      <w:szCs w:val="21"/>
                    </w:rPr>
                  </w:pPr>
                  <w:r>
                    <w:rPr>
                      <w:b/>
                      <w:bCs/>
                      <w:color w:val="auto"/>
                      <w:sz w:val="21"/>
                      <w:szCs w:val="21"/>
                    </w:rPr>
                    <w:t>化学需氧量</w:t>
                  </w:r>
                </w:p>
              </w:tc>
              <w:tc>
                <w:tcPr>
                  <w:tcW w:w="907" w:type="pct"/>
                  <w:noWrap w:val="0"/>
                  <w:vAlign w:val="center"/>
                </w:tcPr>
                <w:p w14:paraId="156405ED">
                  <w:pPr>
                    <w:spacing w:line="260" w:lineRule="exact"/>
                    <w:jc w:val="center"/>
                    <w:rPr>
                      <w:b/>
                      <w:bCs/>
                      <w:color w:val="auto"/>
                      <w:sz w:val="21"/>
                      <w:szCs w:val="21"/>
                    </w:rPr>
                  </w:pPr>
                  <w:r>
                    <w:rPr>
                      <w:b/>
                      <w:bCs/>
                      <w:color w:val="auto"/>
                      <w:sz w:val="21"/>
                      <w:szCs w:val="21"/>
                    </w:rPr>
                    <w:t>氨氮</w:t>
                  </w:r>
                </w:p>
              </w:tc>
              <w:tc>
                <w:tcPr>
                  <w:tcW w:w="846" w:type="pct"/>
                  <w:tcBorders>
                    <w:right w:val="single" w:color="auto" w:sz="2" w:space="0"/>
                  </w:tcBorders>
                  <w:noWrap w:val="0"/>
                  <w:vAlign w:val="center"/>
                </w:tcPr>
                <w:p w14:paraId="1BF4C033">
                  <w:pPr>
                    <w:spacing w:line="260" w:lineRule="exact"/>
                    <w:jc w:val="center"/>
                    <w:rPr>
                      <w:b/>
                      <w:bCs/>
                      <w:color w:val="auto"/>
                      <w:sz w:val="21"/>
                      <w:szCs w:val="21"/>
                    </w:rPr>
                  </w:pPr>
                  <w:r>
                    <w:rPr>
                      <w:b/>
                      <w:bCs/>
                      <w:color w:val="auto"/>
                      <w:sz w:val="21"/>
                      <w:szCs w:val="21"/>
                    </w:rPr>
                    <w:t>总磷</w:t>
                  </w:r>
                </w:p>
              </w:tc>
            </w:tr>
            <w:tr w14:paraId="737BC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restart"/>
                  <w:noWrap w:val="0"/>
                  <w:vAlign w:val="center"/>
                </w:tcPr>
                <w:p w14:paraId="5CDF1FDD">
                  <w:pPr>
                    <w:spacing w:line="260" w:lineRule="exact"/>
                    <w:jc w:val="center"/>
                    <w:rPr>
                      <w:color w:val="auto"/>
                      <w:sz w:val="21"/>
                      <w:szCs w:val="21"/>
                    </w:rPr>
                  </w:pPr>
                  <w:r>
                    <w:rPr>
                      <w:color w:val="auto"/>
                      <w:sz w:val="21"/>
                      <w:szCs w:val="21"/>
                    </w:rPr>
                    <w:t>W1</w:t>
                  </w:r>
                </w:p>
              </w:tc>
              <w:tc>
                <w:tcPr>
                  <w:tcW w:w="1123" w:type="pct"/>
                  <w:noWrap w:val="0"/>
                  <w:vAlign w:val="center"/>
                </w:tcPr>
                <w:p w14:paraId="25043C62">
                  <w:pPr>
                    <w:spacing w:line="260" w:lineRule="exact"/>
                    <w:jc w:val="center"/>
                    <w:rPr>
                      <w:color w:val="auto"/>
                      <w:sz w:val="21"/>
                      <w:szCs w:val="21"/>
                    </w:rPr>
                  </w:pPr>
                  <w:r>
                    <w:rPr>
                      <w:color w:val="auto"/>
                      <w:sz w:val="21"/>
                      <w:szCs w:val="21"/>
                    </w:rPr>
                    <w:t>浓度范围mg/L</w:t>
                  </w:r>
                </w:p>
              </w:tc>
              <w:tc>
                <w:tcPr>
                  <w:tcW w:w="704" w:type="pct"/>
                  <w:noWrap w:val="0"/>
                  <w:vAlign w:val="center"/>
                </w:tcPr>
                <w:p w14:paraId="5F05EDCA">
                  <w:pPr>
                    <w:spacing w:line="260" w:lineRule="exact"/>
                    <w:jc w:val="center"/>
                    <w:rPr>
                      <w:color w:val="auto"/>
                      <w:sz w:val="21"/>
                      <w:szCs w:val="21"/>
                    </w:rPr>
                  </w:pPr>
                  <w:r>
                    <w:rPr>
                      <w:rFonts w:hint="eastAsia"/>
                      <w:color w:val="auto"/>
                      <w:sz w:val="21"/>
                      <w:szCs w:val="21"/>
                    </w:rPr>
                    <w:t>7.</w:t>
                  </w:r>
                  <w:r>
                    <w:rPr>
                      <w:rFonts w:hint="eastAsia"/>
                      <w:color w:val="auto"/>
                      <w:sz w:val="21"/>
                      <w:szCs w:val="21"/>
                      <w:lang w:val="en-US" w:eastAsia="zh-CN"/>
                    </w:rPr>
                    <w:t>8</w:t>
                  </w:r>
                  <w:r>
                    <w:rPr>
                      <w:rFonts w:hint="eastAsia"/>
                      <w:color w:val="auto"/>
                      <w:sz w:val="21"/>
                      <w:szCs w:val="21"/>
                    </w:rPr>
                    <w:t>~</w:t>
                  </w:r>
                  <w:r>
                    <w:rPr>
                      <w:rFonts w:hint="eastAsia"/>
                      <w:color w:val="auto"/>
                      <w:sz w:val="21"/>
                      <w:szCs w:val="21"/>
                      <w:lang w:val="en-US" w:eastAsia="zh-CN"/>
                    </w:rPr>
                    <w:t xml:space="preserve"> 8</w:t>
                  </w:r>
                  <w:r>
                    <w:rPr>
                      <w:rFonts w:hint="eastAsia"/>
                      <w:color w:val="auto"/>
                      <w:sz w:val="21"/>
                      <w:szCs w:val="21"/>
                    </w:rPr>
                    <w:t>.1</w:t>
                  </w:r>
                </w:p>
              </w:tc>
              <w:tc>
                <w:tcPr>
                  <w:tcW w:w="924" w:type="pct"/>
                  <w:noWrap w:val="0"/>
                  <w:vAlign w:val="center"/>
                </w:tcPr>
                <w:p w14:paraId="46B58C2A">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16</w:t>
                  </w:r>
                  <w:r>
                    <w:rPr>
                      <w:rFonts w:hint="eastAsia"/>
                      <w:color w:val="auto"/>
                      <w:sz w:val="21"/>
                      <w:szCs w:val="21"/>
                    </w:rPr>
                    <w:t>~</w:t>
                  </w:r>
                  <w:r>
                    <w:rPr>
                      <w:rFonts w:hint="eastAsia"/>
                      <w:color w:val="auto"/>
                      <w:sz w:val="21"/>
                      <w:szCs w:val="21"/>
                      <w:lang w:val="en-US" w:eastAsia="zh-CN"/>
                    </w:rPr>
                    <w:t>19</w:t>
                  </w:r>
                </w:p>
              </w:tc>
              <w:tc>
                <w:tcPr>
                  <w:tcW w:w="907" w:type="pct"/>
                  <w:noWrap w:val="0"/>
                  <w:vAlign w:val="center"/>
                </w:tcPr>
                <w:p w14:paraId="1A69A0DA">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0.149</w:t>
                  </w:r>
                  <w:r>
                    <w:rPr>
                      <w:rFonts w:hint="eastAsia"/>
                      <w:color w:val="auto"/>
                      <w:sz w:val="21"/>
                      <w:szCs w:val="21"/>
                    </w:rPr>
                    <w:t>~</w:t>
                  </w:r>
                  <w:r>
                    <w:rPr>
                      <w:rFonts w:hint="eastAsia"/>
                      <w:color w:val="auto"/>
                      <w:sz w:val="21"/>
                      <w:szCs w:val="21"/>
                      <w:lang w:val="en-US" w:eastAsia="zh-CN"/>
                    </w:rPr>
                    <w:t>0.350</w:t>
                  </w:r>
                </w:p>
              </w:tc>
              <w:tc>
                <w:tcPr>
                  <w:tcW w:w="846" w:type="pct"/>
                  <w:tcBorders>
                    <w:right w:val="single" w:color="auto" w:sz="2" w:space="0"/>
                  </w:tcBorders>
                  <w:noWrap w:val="0"/>
                  <w:vAlign w:val="center"/>
                </w:tcPr>
                <w:p w14:paraId="0E508ABF">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0.08</w:t>
                  </w:r>
                  <w:r>
                    <w:rPr>
                      <w:rFonts w:hint="eastAsia"/>
                      <w:color w:val="auto"/>
                      <w:sz w:val="21"/>
                      <w:szCs w:val="21"/>
                    </w:rPr>
                    <w:t>~</w:t>
                  </w:r>
                  <w:r>
                    <w:rPr>
                      <w:rFonts w:hint="eastAsia"/>
                      <w:color w:val="auto"/>
                      <w:sz w:val="21"/>
                      <w:szCs w:val="21"/>
                      <w:lang w:val="en-US" w:eastAsia="zh-CN"/>
                    </w:rPr>
                    <w:t>0.09</w:t>
                  </w:r>
                </w:p>
              </w:tc>
            </w:tr>
            <w:tr w14:paraId="04D65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93" w:type="pct"/>
                  <w:vMerge w:val="continue"/>
                  <w:noWrap w:val="0"/>
                  <w:vAlign w:val="center"/>
                </w:tcPr>
                <w:p w14:paraId="4BC8A4CC">
                  <w:pPr>
                    <w:spacing w:line="260" w:lineRule="exact"/>
                    <w:jc w:val="center"/>
                    <w:rPr>
                      <w:color w:val="auto"/>
                      <w:sz w:val="21"/>
                      <w:szCs w:val="21"/>
                    </w:rPr>
                  </w:pPr>
                </w:p>
              </w:tc>
              <w:tc>
                <w:tcPr>
                  <w:tcW w:w="1123" w:type="pct"/>
                  <w:noWrap w:val="0"/>
                  <w:vAlign w:val="center"/>
                </w:tcPr>
                <w:p w14:paraId="74D721DE">
                  <w:pPr>
                    <w:spacing w:line="260" w:lineRule="exact"/>
                    <w:jc w:val="center"/>
                    <w:rPr>
                      <w:color w:val="auto"/>
                      <w:sz w:val="21"/>
                      <w:szCs w:val="21"/>
                    </w:rPr>
                  </w:pPr>
                  <w:r>
                    <w:rPr>
                      <w:rFonts w:hint="eastAsia"/>
                      <w:color w:val="auto"/>
                      <w:sz w:val="21"/>
                      <w:szCs w:val="21"/>
                    </w:rPr>
                    <w:t>最大污染指数</w:t>
                  </w:r>
                </w:p>
              </w:tc>
              <w:tc>
                <w:tcPr>
                  <w:tcW w:w="704" w:type="pct"/>
                  <w:noWrap w:val="0"/>
                  <w:vAlign w:val="center"/>
                </w:tcPr>
                <w:p w14:paraId="04535082">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0.00</w:t>
                  </w:r>
                  <w:r>
                    <w:rPr>
                      <w:rFonts w:hint="eastAsia"/>
                      <w:color w:val="auto"/>
                      <w:spacing w:val="-11"/>
                      <w:sz w:val="21"/>
                      <w:szCs w:val="21"/>
                    </w:rPr>
                    <w:t>~0.10</w:t>
                  </w:r>
                </w:p>
              </w:tc>
              <w:tc>
                <w:tcPr>
                  <w:tcW w:w="924" w:type="pct"/>
                  <w:noWrap w:val="0"/>
                  <w:vAlign w:val="center"/>
                </w:tcPr>
                <w:p w14:paraId="1999A548">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0.8~0.95</w:t>
                  </w:r>
                </w:p>
              </w:tc>
              <w:tc>
                <w:tcPr>
                  <w:tcW w:w="907" w:type="pct"/>
                  <w:noWrap w:val="0"/>
                  <w:vAlign w:val="center"/>
                </w:tcPr>
                <w:p w14:paraId="64565DF4">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0.149</w:t>
                  </w:r>
                  <w:r>
                    <w:rPr>
                      <w:rFonts w:hint="eastAsia"/>
                      <w:color w:val="auto"/>
                      <w:sz w:val="21"/>
                      <w:szCs w:val="21"/>
                    </w:rPr>
                    <w:t>~</w:t>
                  </w:r>
                  <w:r>
                    <w:rPr>
                      <w:rFonts w:hint="eastAsia"/>
                      <w:color w:val="auto"/>
                      <w:sz w:val="21"/>
                      <w:szCs w:val="21"/>
                      <w:lang w:val="en-US" w:eastAsia="zh-CN"/>
                    </w:rPr>
                    <w:t>0.350</w:t>
                  </w:r>
                </w:p>
              </w:tc>
              <w:tc>
                <w:tcPr>
                  <w:tcW w:w="846" w:type="pct"/>
                  <w:tcBorders>
                    <w:right w:val="single" w:color="auto" w:sz="2" w:space="0"/>
                  </w:tcBorders>
                  <w:noWrap w:val="0"/>
                  <w:vAlign w:val="center"/>
                </w:tcPr>
                <w:p w14:paraId="1053E506">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0.4~0.45</w:t>
                  </w:r>
                </w:p>
              </w:tc>
            </w:tr>
            <w:tr w14:paraId="18BBA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93" w:type="pct"/>
                  <w:vMerge w:val="continue"/>
                  <w:noWrap w:val="0"/>
                  <w:vAlign w:val="center"/>
                </w:tcPr>
                <w:p w14:paraId="37D15EA3">
                  <w:pPr>
                    <w:spacing w:line="260" w:lineRule="exact"/>
                    <w:jc w:val="center"/>
                    <w:rPr>
                      <w:color w:val="auto"/>
                      <w:sz w:val="21"/>
                      <w:szCs w:val="21"/>
                    </w:rPr>
                  </w:pPr>
                </w:p>
              </w:tc>
              <w:tc>
                <w:tcPr>
                  <w:tcW w:w="1123" w:type="pct"/>
                  <w:noWrap w:val="0"/>
                  <w:vAlign w:val="center"/>
                </w:tcPr>
                <w:p w14:paraId="013B104D">
                  <w:pPr>
                    <w:spacing w:line="260" w:lineRule="exact"/>
                    <w:jc w:val="center"/>
                    <w:rPr>
                      <w:color w:val="auto"/>
                      <w:sz w:val="21"/>
                      <w:szCs w:val="21"/>
                    </w:rPr>
                  </w:pPr>
                  <w:r>
                    <w:rPr>
                      <w:color w:val="auto"/>
                      <w:sz w:val="21"/>
                      <w:szCs w:val="21"/>
                    </w:rPr>
                    <w:t>超标率％</w:t>
                  </w:r>
                </w:p>
              </w:tc>
              <w:tc>
                <w:tcPr>
                  <w:tcW w:w="704" w:type="pct"/>
                  <w:noWrap w:val="0"/>
                  <w:vAlign w:val="center"/>
                </w:tcPr>
                <w:p w14:paraId="5EB83CAA">
                  <w:pPr>
                    <w:spacing w:line="260" w:lineRule="exact"/>
                    <w:jc w:val="center"/>
                    <w:rPr>
                      <w:rFonts w:hint="eastAsia"/>
                      <w:color w:val="auto"/>
                      <w:sz w:val="21"/>
                      <w:szCs w:val="21"/>
                    </w:rPr>
                  </w:pPr>
                  <w:r>
                    <w:rPr>
                      <w:rFonts w:hint="eastAsia"/>
                      <w:color w:val="auto"/>
                      <w:sz w:val="21"/>
                      <w:szCs w:val="21"/>
                    </w:rPr>
                    <w:t>0</w:t>
                  </w:r>
                </w:p>
              </w:tc>
              <w:tc>
                <w:tcPr>
                  <w:tcW w:w="924" w:type="pct"/>
                  <w:noWrap w:val="0"/>
                  <w:vAlign w:val="center"/>
                </w:tcPr>
                <w:p w14:paraId="5A445061">
                  <w:pPr>
                    <w:spacing w:line="260" w:lineRule="exact"/>
                    <w:jc w:val="center"/>
                    <w:rPr>
                      <w:rFonts w:hint="eastAsia"/>
                      <w:color w:val="auto"/>
                      <w:sz w:val="21"/>
                      <w:szCs w:val="21"/>
                    </w:rPr>
                  </w:pPr>
                  <w:r>
                    <w:rPr>
                      <w:rFonts w:hint="eastAsia"/>
                      <w:color w:val="auto"/>
                      <w:sz w:val="21"/>
                      <w:szCs w:val="21"/>
                    </w:rPr>
                    <w:t>0</w:t>
                  </w:r>
                </w:p>
              </w:tc>
              <w:tc>
                <w:tcPr>
                  <w:tcW w:w="907" w:type="pct"/>
                  <w:noWrap w:val="0"/>
                  <w:vAlign w:val="center"/>
                </w:tcPr>
                <w:p w14:paraId="11AEFEF8">
                  <w:pPr>
                    <w:spacing w:line="260" w:lineRule="exact"/>
                    <w:jc w:val="center"/>
                    <w:rPr>
                      <w:rFonts w:hint="eastAsia"/>
                      <w:color w:val="auto"/>
                      <w:sz w:val="21"/>
                      <w:szCs w:val="21"/>
                    </w:rPr>
                  </w:pPr>
                  <w:r>
                    <w:rPr>
                      <w:rFonts w:hint="eastAsia"/>
                      <w:color w:val="auto"/>
                      <w:sz w:val="21"/>
                      <w:szCs w:val="21"/>
                    </w:rPr>
                    <w:t>0</w:t>
                  </w:r>
                </w:p>
              </w:tc>
              <w:tc>
                <w:tcPr>
                  <w:tcW w:w="846" w:type="pct"/>
                  <w:tcBorders>
                    <w:right w:val="single" w:color="auto" w:sz="2" w:space="0"/>
                  </w:tcBorders>
                  <w:noWrap w:val="0"/>
                  <w:vAlign w:val="center"/>
                </w:tcPr>
                <w:p w14:paraId="7D82D5CD">
                  <w:pPr>
                    <w:spacing w:line="260" w:lineRule="exact"/>
                    <w:jc w:val="center"/>
                    <w:rPr>
                      <w:rFonts w:hint="eastAsia"/>
                      <w:color w:val="auto"/>
                      <w:sz w:val="21"/>
                      <w:szCs w:val="21"/>
                    </w:rPr>
                  </w:pPr>
                  <w:r>
                    <w:rPr>
                      <w:rFonts w:hint="eastAsia"/>
                      <w:color w:val="auto"/>
                      <w:sz w:val="21"/>
                      <w:szCs w:val="21"/>
                    </w:rPr>
                    <w:t>0</w:t>
                  </w:r>
                </w:p>
              </w:tc>
            </w:tr>
            <w:tr w14:paraId="0EF68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noWrap w:val="0"/>
                  <w:vAlign w:val="center"/>
                </w:tcPr>
                <w:p w14:paraId="2E4C64A4">
                  <w:pPr>
                    <w:spacing w:line="260" w:lineRule="exact"/>
                    <w:jc w:val="center"/>
                    <w:rPr>
                      <w:color w:val="auto"/>
                      <w:sz w:val="21"/>
                      <w:szCs w:val="21"/>
                    </w:rPr>
                  </w:pPr>
                </w:p>
              </w:tc>
              <w:tc>
                <w:tcPr>
                  <w:tcW w:w="1123" w:type="pct"/>
                  <w:noWrap w:val="0"/>
                  <w:vAlign w:val="center"/>
                </w:tcPr>
                <w:p w14:paraId="16EE35D1">
                  <w:pPr>
                    <w:spacing w:line="260" w:lineRule="exact"/>
                    <w:jc w:val="center"/>
                    <w:rPr>
                      <w:color w:val="auto"/>
                      <w:sz w:val="21"/>
                      <w:szCs w:val="21"/>
                    </w:rPr>
                  </w:pPr>
                  <w:r>
                    <w:rPr>
                      <w:color w:val="auto"/>
                      <w:sz w:val="21"/>
                      <w:szCs w:val="21"/>
                    </w:rPr>
                    <w:t>最大超标倍数</w:t>
                  </w:r>
                </w:p>
              </w:tc>
              <w:tc>
                <w:tcPr>
                  <w:tcW w:w="704" w:type="pct"/>
                  <w:noWrap w:val="0"/>
                  <w:vAlign w:val="center"/>
                </w:tcPr>
                <w:p w14:paraId="74C5B6B4">
                  <w:pPr>
                    <w:spacing w:line="260" w:lineRule="exact"/>
                    <w:jc w:val="center"/>
                    <w:rPr>
                      <w:rFonts w:hint="eastAsia"/>
                      <w:color w:val="auto"/>
                      <w:sz w:val="21"/>
                      <w:szCs w:val="21"/>
                    </w:rPr>
                  </w:pPr>
                  <w:r>
                    <w:rPr>
                      <w:rFonts w:hint="eastAsia"/>
                      <w:color w:val="auto"/>
                      <w:sz w:val="21"/>
                      <w:szCs w:val="21"/>
                    </w:rPr>
                    <w:t>0</w:t>
                  </w:r>
                </w:p>
              </w:tc>
              <w:tc>
                <w:tcPr>
                  <w:tcW w:w="924" w:type="pct"/>
                  <w:noWrap w:val="0"/>
                  <w:vAlign w:val="center"/>
                </w:tcPr>
                <w:p w14:paraId="3D884EF2">
                  <w:pPr>
                    <w:spacing w:line="260" w:lineRule="exact"/>
                    <w:jc w:val="center"/>
                    <w:rPr>
                      <w:rFonts w:hint="eastAsia"/>
                      <w:color w:val="auto"/>
                      <w:sz w:val="21"/>
                      <w:szCs w:val="21"/>
                    </w:rPr>
                  </w:pPr>
                  <w:r>
                    <w:rPr>
                      <w:rFonts w:hint="eastAsia"/>
                      <w:color w:val="auto"/>
                      <w:sz w:val="21"/>
                      <w:szCs w:val="21"/>
                    </w:rPr>
                    <w:t>0</w:t>
                  </w:r>
                </w:p>
              </w:tc>
              <w:tc>
                <w:tcPr>
                  <w:tcW w:w="907" w:type="pct"/>
                  <w:noWrap w:val="0"/>
                  <w:vAlign w:val="center"/>
                </w:tcPr>
                <w:p w14:paraId="7C60DD6B">
                  <w:pPr>
                    <w:spacing w:line="260" w:lineRule="exact"/>
                    <w:jc w:val="center"/>
                    <w:rPr>
                      <w:rFonts w:hint="eastAsia"/>
                      <w:color w:val="auto"/>
                      <w:sz w:val="21"/>
                      <w:szCs w:val="21"/>
                    </w:rPr>
                  </w:pPr>
                  <w:r>
                    <w:rPr>
                      <w:rFonts w:hint="eastAsia"/>
                      <w:color w:val="auto"/>
                      <w:sz w:val="21"/>
                      <w:szCs w:val="21"/>
                    </w:rPr>
                    <w:t>0</w:t>
                  </w:r>
                </w:p>
              </w:tc>
              <w:tc>
                <w:tcPr>
                  <w:tcW w:w="846" w:type="pct"/>
                  <w:tcBorders>
                    <w:right w:val="single" w:color="auto" w:sz="2" w:space="0"/>
                  </w:tcBorders>
                  <w:noWrap w:val="0"/>
                  <w:vAlign w:val="center"/>
                </w:tcPr>
                <w:p w14:paraId="0A125019">
                  <w:pPr>
                    <w:spacing w:line="260" w:lineRule="exact"/>
                    <w:jc w:val="center"/>
                    <w:rPr>
                      <w:rFonts w:hint="eastAsia"/>
                      <w:color w:val="auto"/>
                      <w:sz w:val="21"/>
                      <w:szCs w:val="21"/>
                    </w:rPr>
                  </w:pPr>
                  <w:r>
                    <w:rPr>
                      <w:rFonts w:hint="eastAsia"/>
                      <w:color w:val="auto"/>
                      <w:sz w:val="21"/>
                      <w:szCs w:val="21"/>
                    </w:rPr>
                    <w:t>0</w:t>
                  </w:r>
                </w:p>
              </w:tc>
            </w:tr>
            <w:tr w14:paraId="2E759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restart"/>
                  <w:noWrap w:val="0"/>
                  <w:vAlign w:val="center"/>
                </w:tcPr>
                <w:p w14:paraId="2AD2341C">
                  <w:pPr>
                    <w:spacing w:line="260" w:lineRule="exact"/>
                    <w:jc w:val="center"/>
                    <w:rPr>
                      <w:color w:val="auto"/>
                      <w:sz w:val="21"/>
                      <w:szCs w:val="21"/>
                    </w:rPr>
                  </w:pPr>
                  <w:r>
                    <w:rPr>
                      <w:color w:val="auto"/>
                      <w:sz w:val="21"/>
                      <w:szCs w:val="21"/>
                    </w:rPr>
                    <w:t>W2</w:t>
                  </w:r>
                </w:p>
              </w:tc>
              <w:tc>
                <w:tcPr>
                  <w:tcW w:w="1123" w:type="pct"/>
                  <w:noWrap w:val="0"/>
                  <w:vAlign w:val="center"/>
                </w:tcPr>
                <w:p w14:paraId="4B556A45">
                  <w:pPr>
                    <w:spacing w:line="260" w:lineRule="exact"/>
                    <w:jc w:val="center"/>
                    <w:rPr>
                      <w:color w:val="auto"/>
                      <w:sz w:val="21"/>
                      <w:szCs w:val="21"/>
                    </w:rPr>
                  </w:pPr>
                  <w:r>
                    <w:rPr>
                      <w:color w:val="auto"/>
                      <w:sz w:val="21"/>
                      <w:szCs w:val="21"/>
                    </w:rPr>
                    <w:t>浓度范围mg/L</w:t>
                  </w:r>
                </w:p>
              </w:tc>
              <w:tc>
                <w:tcPr>
                  <w:tcW w:w="704" w:type="pct"/>
                  <w:noWrap w:val="0"/>
                  <w:vAlign w:val="center"/>
                </w:tcPr>
                <w:p w14:paraId="6C0D53EF">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7.7</w:t>
                  </w:r>
                  <w:r>
                    <w:rPr>
                      <w:rFonts w:hint="eastAsia"/>
                      <w:color w:val="auto"/>
                      <w:sz w:val="21"/>
                      <w:szCs w:val="21"/>
                    </w:rPr>
                    <w:t>~</w:t>
                  </w:r>
                  <w:r>
                    <w:rPr>
                      <w:rFonts w:hint="eastAsia"/>
                      <w:color w:val="auto"/>
                      <w:sz w:val="21"/>
                      <w:szCs w:val="21"/>
                      <w:lang w:val="en-US" w:eastAsia="zh-CN"/>
                    </w:rPr>
                    <w:t>8.0</w:t>
                  </w:r>
                </w:p>
              </w:tc>
              <w:tc>
                <w:tcPr>
                  <w:tcW w:w="924" w:type="pct"/>
                  <w:noWrap w:val="0"/>
                  <w:vAlign w:val="center"/>
                </w:tcPr>
                <w:p w14:paraId="106FCF3F">
                  <w:pPr>
                    <w:spacing w:line="260" w:lineRule="exact"/>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4~17</w:t>
                  </w:r>
                </w:p>
              </w:tc>
              <w:tc>
                <w:tcPr>
                  <w:tcW w:w="907" w:type="pct"/>
                  <w:noWrap w:val="0"/>
                  <w:vAlign w:val="center"/>
                </w:tcPr>
                <w:p w14:paraId="3D814E8D">
                  <w:pPr>
                    <w:spacing w:line="260" w:lineRule="exact"/>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251</w:t>
                  </w:r>
                  <w:r>
                    <w:rPr>
                      <w:rFonts w:hint="eastAsia"/>
                      <w:color w:val="auto"/>
                      <w:sz w:val="21"/>
                      <w:szCs w:val="21"/>
                    </w:rPr>
                    <w:t>~0.</w:t>
                  </w:r>
                  <w:r>
                    <w:rPr>
                      <w:rFonts w:hint="eastAsia"/>
                      <w:color w:val="auto"/>
                      <w:sz w:val="21"/>
                      <w:szCs w:val="21"/>
                      <w:lang w:val="en-US" w:eastAsia="zh-CN"/>
                    </w:rPr>
                    <w:t>331</w:t>
                  </w:r>
                </w:p>
              </w:tc>
              <w:tc>
                <w:tcPr>
                  <w:tcW w:w="846" w:type="pct"/>
                  <w:tcBorders>
                    <w:right w:val="single" w:color="auto" w:sz="2" w:space="0"/>
                  </w:tcBorders>
                  <w:noWrap w:val="0"/>
                  <w:vAlign w:val="center"/>
                </w:tcPr>
                <w:p w14:paraId="4B57CE29">
                  <w:pPr>
                    <w:spacing w:line="260" w:lineRule="exact"/>
                    <w:jc w:val="center"/>
                    <w:rPr>
                      <w:rFonts w:hint="eastAsia"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08</w:t>
                  </w:r>
                  <w:r>
                    <w:rPr>
                      <w:rFonts w:hint="eastAsia"/>
                      <w:color w:val="auto"/>
                      <w:sz w:val="21"/>
                      <w:szCs w:val="21"/>
                    </w:rPr>
                    <w:t>~0.</w:t>
                  </w:r>
                  <w:r>
                    <w:rPr>
                      <w:rFonts w:hint="eastAsia"/>
                      <w:color w:val="auto"/>
                      <w:sz w:val="21"/>
                      <w:szCs w:val="21"/>
                      <w:lang w:val="en-US" w:eastAsia="zh-CN"/>
                    </w:rPr>
                    <w:t>09</w:t>
                  </w:r>
                </w:p>
              </w:tc>
            </w:tr>
            <w:tr w14:paraId="7952D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noWrap w:val="0"/>
                  <w:vAlign w:val="center"/>
                </w:tcPr>
                <w:p w14:paraId="4A0FE453">
                  <w:pPr>
                    <w:spacing w:line="260" w:lineRule="exact"/>
                    <w:jc w:val="center"/>
                    <w:rPr>
                      <w:color w:val="auto"/>
                      <w:sz w:val="21"/>
                      <w:szCs w:val="21"/>
                    </w:rPr>
                  </w:pPr>
                </w:p>
              </w:tc>
              <w:tc>
                <w:tcPr>
                  <w:tcW w:w="1123" w:type="pct"/>
                  <w:noWrap w:val="0"/>
                  <w:vAlign w:val="center"/>
                </w:tcPr>
                <w:p w14:paraId="4B3CBA9A">
                  <w:pPr>
                    <w:spacing w:line="260" w:lineRule="exact"/>
                    <w:jc w:val="center"/>
                    <w:rPr>
                      <w:color w:val="auto"/>
                      <w:sz w:val="21"/>
                      <w:szCs w:val="21"/>
                    </w:rPr>
                  </w:pPr>
                  <w:r>
                    <w:rPr>
                      <w:rFonts w:hint="eastAsia"/>
                      <w:color w:val="auto"/>
                      <w:sz w:val="21"/>
                      <w:szCs w:val="21"/>
                    </w:rPr>
                    <w:t>最大污染指数</w:t>
                  </w:r>
                </w:p>
              </w:tc>
              <w:tc>
                <w:tcPr>
                  <w:tcW w:w="704" w:type="pct"/>
                  <w:noWrap w:val="0"/>
                  <w:vAlign w:val="center"/>
                </w:tcPr>
                <w:p w14:paraId="286CC737">
                  <w:pPr>
                    <w:spacing w:line="260" w:lineRule="exact"/>
                    <w:jc w:val="center"/>
                    <w:rPr>
                      <w:color w:val="auto"/>
                      <w:sz w:val="21"/>
                      <w:szCs w:val="21"/>
                    </w:rPr>
                  </w:pPr>
                  <w:r>
                    <w:rPr>
                      <w:rFonts w:hint="eastAsia"/>
                      <w:color w:val="auto"/>
                      <w:spacing w:val="-11"/>
                      <w:sz w:val="21"/>
                      <w:szCs w:val="21"/>
                    </w:rPr>
                    <w:t>0.00~0.10</w:t>
                  </w:r>
                </w:p>
              </w:tc>
              <w:tc>
                <w:tcPr>
                  <w:tcW w:w="924" w:type="pct"/>
                  <w:noWrap w:val="0"/>
                  <w:vAlign w:val="center"/>
                </w:tcPr>
                <w:p w14:paraId="7BD30280">
                  <w:pPr>
                    <w:spacing w:line="260" w:lineRule="exact"/>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7~0.85</w:t>
                  </w:r>
                </w:p>
              </w:tc>
              <w:tc>
                <w:tcPr>
                  <w:tcW w:w="907" w:type="pct"/>
                  <w:noWrap w:val="0"/>
                  <w:vAlign w:val="center"/>
                </w:tcPr>
                <w:p w14:paraId="3693A1D2">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0.251~0.331</w:t>
                  </w:r>
                </w:p>
              </w:tc>
              <w:tc>
                <w:tcPr>
                  <w:tcW w:w="846" w:type="pct"/>
                  <w:tcBorders>
                    <w:right w:val="single" w:color="auto" w:sz="2" w:space="0"/>
                  </w:tcBorders>
                  <w:noWrap w:val="0"/>
                  <w:vAlign w:val="center"/>
                </w:tcPr>
                <w:p w14:paraId="1CE08478">
                  <w:pPr>
                    <w:spacing w:line="260" w:lineRule="exact"/>
                    <w:jc w:val="center"/>
                    <w:rPr>
                      <w:color w:val="auto"/>
                      <w:sz w:val="21"/>
                      <w:szCs w:val="21"/>
                    </w:rPr>
                  </w:pPr>
                  <w:r>
                    <w:rPr>
                      <w:rFonts w:hint="eastAsia"/>
                      <w:color w:val="auto"/>
                      <w:sz w:val="21"/>
                      <w:szCs w:val="21"/>
                      <w:lang w:val="en-US" w:eastAsia="zh-CN"/>
                    </w:rPr>
                    <w:t>0.4~0.45</w:t>
                  </w:r>
                </w:p>
              </w:tc>
            </w:tr>
            <w:tr w14:paraId="2E8D0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noWrap w:val="0"/>
                  <w:vAlign w:val="center"/>
                </w:tcPr>
                <w:p w14:paraId="2E0AC945">
                  <w:pPr>
                    <w:spacing w:line="260" w:lineRule="exact"/>
                    <w:jc w:val="center"/>
                    <w:rPr>
                      <w:color w:val="auto"/>
                      <w:sz w:val="21"/>
                      <w:szCs w:val="21"/>
                    </w:rPr>
                  </w:pPr>
                </w:p>
              </w:tc>
              <w:tc>
                <w:tcPr>
                  <w:tcW w:w="1123" w:type="pct"/>
                  <w:noWrap w:val="0"/>
                  <w:vAlign w:val="center"/>
                </w:tcPr>
                <w:p w14:paraId="27CD9D7E">
                  <w:pPr>
                    <w:spacing w:line="260" w:lineRule="exact"/>
                    <w:jc w:val="center"/>
                    <w:rPr>
                      <w:color w:val="auto"/>
                      <w:sz w:val="21"/>
                      <w:szCs w:val="21"/>
                    </w:rPr>
                  </w:pPr>
                  <w:r>
                    <w:rPr>
                      <w:color w:val="auto"/>
                      <w:sz w:val="21"/>
                      <w:szCs w:val="21"/>
                    </w:rPr>
                    <w:t>超标率％</w:t>
                  </w:r>
                </w:p>
              </w:tc>
              <w:tc>
                <w:tcPr>
                  <w:tcW w:w="704" w:type="pct"/>
                  <w:noWrap w:val="0"/>
                  <w:vAlign w:val="center"/>
                </w:tcPr>
                <w:p w14:paraId="4DB164D0">
                  <w:pPr>
                    <w:spacing w:line="260" w:lineRule="exact"/>
                    <w:jc w:val="center"/>
                    <w:rPr>
                      <w:rFonts w:hint="eastAsia"/>
                      <w:color w:val="auto"/>
                      <w:sz w:val="21"/>
                      <w:szCs w:val="21"/>
                    </w:rPr>
                  </w:pPr>
                  <w:r>
                    <w:rPr>
                      <w:rFonts w:hint="eastAsia"/>
                      <w:color w:val="auto"/>
                      <w:sz w:val="21"/>
                      <w:szCs w:val="21"/>
                    </w:rPr>
                    <w:t>0</w:t>
                  </w:r>
                </w:p>
              </w:tc>
              <w:tc>
                <w:tcPr>
                  <w:tcW w:w="924" w:type="pct"/>
                  <w:noWrap w:val="0"/>
                  <w:vAlign w:val="center"/>
                </w:tcPr>
                <w:p w14:paraId="42E8D737">
                  <w:pPr>
                    <w:spacing w:line="260" w:lineRule="exact"/>
                    <w:jc w:val="center"/>
                    <w:rPr>
                      <w:rFonts w:hint="eastAsia"/>
                      <w:color w:val="auto"/>
                      <w:sz w:val="21"/>
                      <w:szCs w:val="21"/>
                    </w:rPr>
                  </w:pPr>
                  <w:r>
                    <w:rPr>
                      <w:rFonts w:hint="eastAsia"/>
                      <w:color w:val="auto"/>
                      <w:sz w:val="21"/>
                      <w:szCs w:val="21"/>
                    </w:rPr>
                    <w:t>0</w:t>
                  </w:r>
                </w:p>
              </w:tc>
              <w:tc>
                <w:tcPr>
                  <w:tcW w:w="907" w:type="pct"/>
                  <w:noWrap w:val="0"/>
                  <w:vAlign w:val="center"/>
                </w:tcPr>
                <w:p w14:paraId="06E4E746">
                  <w:pPr>
                    <w:spacing w:line="260" w:lineRule="exact"/>
                    <w:jc w:val="center"/>
                    <w:rPr>
                      <w:rFonts w:hint="eastAsia"/>
                      <w:color w:val="auto"/>
                      <w:sz w:val="21"/>
                      <w:szCs w:val="21"/>
                    </w:rPr>
                  </w:pPr>
                  <w:r>
                    <w:rPr>
                      <w:rFonts w:hint="eastAsia"/>
                      <w:color w:val="auto"/>
                      <w:sz w:val="21"/>
                      <w:szCs w:val="21"/>
                    </w:rPr>
                    <w:t>0</w:t>
                  </w:r>
                </w:p>
              </w:tc>
              <w:tc>
                <w:tcPr>
                  <w:tcW w:w="846" w:type="pct"/>
                  <w:tcBorders>
                    <w:right w:val="single" w:color="auto" w:sz="2" w:space="0"/>
                  </w:tcBorders>
                  <w:noWrap w:val="0"/>
                  <w:vAlign w:val="center"/>
                </w:tcPr>
                <w:p w14:paraId="33188942">
                  <w:pPr>
                    <w:spacing w:line="260" w:lineRule="exact"/>
                    <w:jc w:val="center"/>
                    <w:rPr>
                      <w:rFonts w:hint="eastAsia"/>
                      <w:color w:val="auto"/>
                      <w:sz w:val="21"/>
                      <w:szCs w:val="21"/>
                    </w:rPr>
                  </w:pPr>
                  <w:r>
                    <w:rPr>
                      <w:rFonts w:hint="eastAsia"/>
                      <w:color w:val="auto"/>
                      <w:sz w:val="21"/>
                      <w:szCs w:val="21"/>
                    </w:rPr>
                    <w:t>0</w:t>
                  </w:r>
                </w:p>
              </w:tc>
            </w:tr>
            <w:tr w14:paraId="5A447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noWrap w:val="0"/>
                  <w:vAlign w:val="center"/>
                </w:tcPr>
                <w:p w14:paraId="25CA0ED1">
                  <w:pPr>
                    <w:spacing w:line="260" w:lineRule="exact"/>
                    <w:jc w:val="center"/>
                    <w:rPr>
                      <w:color w:val="auto"/>
                      <w:sz w:val="21"/>
                      <w:szCs w:val="21"/>
                    </w:rPr>
                  </w:pPr>
                </w:p>
              </w:tc>
              <w:tc>
                <w:tcPr>
                  <w:tcW w:w="1123" w:type="pct"/>
                  <w:noWrap w:val="0"/>
                  <w:vAlign w:val="center"/>
                </w:tcPr>
                <w:p w14:paraId="4D50763E">
                  <w:pPr>
                    <w:spacing w:line="260" w:lineRule="exact"/>
                    <w:jc w:val="center"/>
                    <w:rPr>
                      <w:color w:val="auto"/>
                      <w:sz w:val="21"/>
                      <w:szCs w:val="21"/>
                    </w:rPr>
                  </w:pPr>
                  <w:r>
                    <w:rPr>
                      <w:color w:val="auto"/>
                      <w:sz w:val="21"/>
                      <w:szCs w:val="21"/>
                    </w:rPr>
                    <w:t>最大超标倍数</w:t>
                  </w:r>
                </w:p>
              </w:tc>
              <w:tc>
                <w:tcPr>
                  <w:tcW w:w="704" w:type="pct"/>
                  <w:noWrap w:val="0"/>
                  <w:vAlign w:val="center"/>
                </w:tcPr>
                <w:p w14:paraId="4095B43C">
                  <w:pPr>
                    <w:spacing w:line="260" w:lineRule="exact"/>
                    <w:jc w:val="center"/>
                    <w:rPr>
                      <w:rFonts w:hint="eastAsia"/>
                      <w:color w:val="auto"/>
                      <w:sz w:val="21"/>
                      <w:szCs w:val="21"/>
                    </w:rPr>
                  </w:pPr>
                  <w:r>
                    <w:rPr>
                      <w:rFonts w:hint="eastAsia"/>
                      <w:color w:val="auto"/>
                      <w:sz w:val="21"/>
                      <w:szCs w:val="21"/>
                    </w:rPr>
                    <w:t>0</w:t>
                  </w:r>
                </w:p>
              </w:tc>
              <w:tc>
                <w:tcPr>
                  <w:tcW w:w="924" w:type="pct"/>
                  <w:noWrap w:val="0"/>
                  <w:vAlign w:val="center"/>
                </w:tcPr>
                <w:p w14:paraId="7EC98DE1">
                  <w:pPr>
                    <w:spacing w:line="260" w:lineRule="exact"/>
                    <w:jc w:val="center"/>
                    <w:rPr>
                      <w:rFonts w:hint="eastAsia"/>
                      <w:color w:val="auto"/>
                      <w:sz w:val="21"/>
                      <w:szCs w:val="21"/>
                    </w:rPr>
                  </w:pPr>
                  <w:r>
                    <w:rPr>
                      <w:rFonts w:hint="eastAsia"/>
                      <w:color w:val="auto"/>
                      <w:sz w:val="21"/>
                      <w:szCs w:val="21"/>
                    </w:rPr>
                    <w:t>0</w:t>
                  </w:r>
                </w:p>
              </w:tc>
              <w:tc>
                <w:tcPr>
                  <w:tcW w:w="907" w:type="pct"/>
                  <w:noWrap w:val="0"/>
                  <w:vAlign w:val="center"/>
                </w:tcPr>
                <w:p w14:paraId="63560CEB">
                  <w:pPr>
                    <w:spacing w:line="260" w:lineRule="exact"/>
                    <w:jc w:val="center"/>
                    <w:rPr>
                      <w:rFonts w:hint="eastAsia"/>
                      <w:color w:val="auto"/>
                      <w:sz w:val="21"/>
                      <w:szCs w:val="21"/>
                    </w:rPr>
                  </w:pPr>
                  <w:r>
                    <w:rPr>
                      <w:rFonts w:hint="eastAsia"/>
                      <w:color w:val="auto"/>
                      <w:sz w:val="21"/>
                      <w:szCs w:val="21"/>
                    </w:rPr>
                    <w:t>0</w:t>
                  </w:r>
                </w:p>
              </w:tc>
              <w:tc>
                <w:tcPr>
                  <w:tcW w:w="846" w:type="pct"/>
                  <w:tcBorders>
                    <w:right w:val="single" w:color="auto" w:sz="2" w:space="0"/>
                  </w:tcBorders>
                  <w:noWrap w:val="0"/>
                  <w:vAlign w:val="center"/>
                </w:tcPr>
                <w:p w14:paraId="1BFE8160">
                  <w:pPr>
                    <w:spacing w:line="260" w:lineRule="exact"/>
                    <w:jc w:val="center"/>
                    <w:rPr>
                      <w:rFonts w:hint="eastAsia"/>
                      <w:color w:val="auto"/>
                      <w:sz w:val="21"/>
                      <w:szCs w:val="21"/>
                    </w:rPr>
                  </w:pPr>
                  <w:r>
                    <w:rPr>
                      <w:rFonts w:hint="eastAsia"/>
                      <w:color w:val="auto"/>
                      <w:sz w:val="21"/>
                      <w:szCs w:val="21"/>
                    </w:rPr>
                    <w:t>0</w:t>
                  </w:r>
                </w:p>
              </w:tc>
            </w:tr>
            <w:tr w14:paraId="1E62C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7" w:type="pct"/>
                  <w:gridSpan w:val="2"/>
                  <w:noWrap w:val="0"/>
                  <w:vAlign w:val="center"/>
                </w:tcPr>
                <w:p w14:paraId="2C8C0D66">
                  <w:pPr>
                    <w:spacing w:line="260" w:lineRule="exact"/>
                    <w:jc w:val="center"/>
                    <w:rPr>
                      <w:color w:val="auto"/>
                      <w:sz w:val="21"/>
                      <w:szCs w:val="21"/>
                    </w:rPr>
                  </w:pPr>
                  <w:r>
                    <w:rPr>
                      <w:color w:val="auto"/>
                      <w:sz w:val="21"/>
                      <w:szCs w:val="21"/>
                    </w:rPr>
                    <w:t>地表水Ⅲ类标准</w:t>
                  </w:r>
                </w:p>
              </w:tc>
              <w:tc>
                <w:tcPr>
                  <w:tcW w:w="704" w:type="pct"/>
                  <w:noWrap w:val="0"/>
                  <w:vAlign w:val="center"/>
                </w:tcPr>
                <w:p w14:paraId="7CACD6CA">
                  <w:pPr>
                    <w:spacing w:line="260" w:lineRule="exact"/>
                    <w:jc w:val="center"/>
                    <w:rPr>
                      <w:color w:val="auto"/>
                      <w:sz w:val="21"/>
                      <w:szCs w:val="21"/>
                    </w:rPr>
                  </w:pPr>
                  <w:r>
                    <w:rPr>
                      <w:color w:val="auto"/>
                      <w:sz w:val="21"/>
                      <w:szCs w:val="21"/>
                    </w:rPr>
                    <w:t>6～9</w:t>
                  </w:r>
                </w:p>
              </w:tc>
              <w:tc>
                <w:tcPr>
                  <w:tcW w:w="924" w:type="pct"/>
                  <w:noWrap w:val="0"/>
                  <w:vAlign w:val="center"/>
                </w:tcPr>
                <w:p w14:paraId="599770F7">
                  <w:pPr>
                    <w:spacing w:line="260" w:lineRule="exact"/>
                    <w:jc w:val="center"/>
                    <w:rPr>
                      <w:color w:val="auto"/>
                      <w:sz w:val="21"/>
                      <w:szCs w:val="21"/>
                    </w:rPr>
                  </w:pPr>
                  <w:r>
                    <w:rPr>
                      <w:color w:val="auto"/>
                      <w:sz w:val="21"/>
                      <w:szCs w:val="21"/>
                    </w:rPr>
                    <w:t>20</w:t>
                  </w:r>
                </w:p>
              </w:tc>
              <w:tc>
                <w:tcPr>
                  <w:tcW w:w="907" w:type="pct"/>
                  <w:noWrap w:val="0"/>
                  <w:vAlign w:val="center"/>
                </w:tcPr>
                <w:p w14:paraId="5FB921CA">
                  <w:pPr>
                    <w:spacing w:line="260" w:lineRule="exact"/>
                    <w:jc w:val="center"/>
                    <w:rPr>
                      <w:color w:val="auto"/>
                      <w:sz w:val="21"/>
                      <w:szCs w:val="21"/>
                    </w:rPr>
                  </w:pPr>
                  <w:r>
                    <w:rPr>
                      <w:color w:val="auto"/>
                      <w:sz w:val="21"/>
                      <w:szCs w:val="21"/>
                    </w:rPr>
                    <w:t>1.0</w:t>
                  </w:r>
                </w:p>
              </w:tc>
              <w:tc>
                <w:tcPr>
                  <w:tcW w:w="846" w:type="pct"/>
                  <w:tcBorders>
                    <w:right w:val="single" w:color="auto" w:sz="2" w:space="0"/>
                  </w:tcBorders>
                  <w:noWrap w:val="0"/>
                  <w:vAlign w:val="center"/>
                </w:tcPr>
                <w:p w14:paraId="5C6B648C">
                  <w:pPr>
                    <w:spacing w:line="260" w:lineRule="exact"/>
                    <w:jc w:val="center"/>
                    <w:rPr>
                      <w:color w:val="auto"/>
                      <w:sz w:val="21"/>
                      <w:szCs w:val="21"/>
                    </w:rPr>
                  </w:pPr>
                  <w:r>
                    <w:rPr>
                      <w:color w:val="auto"/>
                      <w:sz w:val="21"/>
                      <w:szCs w:val="21"/>
                    </w:rPr>
                    <w:t>0.2</w:t>
                  </w:r>
                </w:p>
              </w:tc>
            </w:tr>
          </w:tbl>
          <w:p w14:paraId="63E0DA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由表3-</w:t>
            </w:r>
            <w:r>
              <w:rPr>
                <w:rFonts w:hint="eastAsia"/>
                <w:color w:val="auto"/>
                <w:sz w:val="24"/>
                <w:szCs w:val="24"/>
              </w:rPr>
              <w:t>5</w:t>
            </w:r>
            <w:r>
              <w:rPr>
                <w:color w:val="auto"/>
                <w:sz w:val="24"/>
                <w:szCs w:val="24"/>
              </w:rPr>
              <w:t>可知，地表水水质现状评价结果表明，</w:t>
            </w:r>
            <w:r>
              <w:rPr>
                <w:rFonts w:hint="eastAsia"/>
                <w:color w:val="auto"/>
                <w:sz w:val="24"/>
                <w:szCs w:val="24"/>
              </w:rPr>
              <w:t>尧塘河</w:t>
            </w:r>
            <w:r>
              <w:rPr>
                <w:color w:val="auto"/>
                <w:sz w:val="24"/>
                <w:szCs w:val="24"/>
              </w:rPr>
              <w:t>W1、W2断面的各引用</w:t>
            </w:r>
            <w:r>
              <w:rPr>
                <w:rFonts w:hint="eastAsia"/>
                <w:color w:val="auto"/>
                <w:sz w:val="24"/>
                <w:szCs w:val="24"/>
                <w:lang w:val="en-US" w:eastAsia="zh-CN"/>
              </w:rPr>
              <w:t>的pH、化学需氧量、氨氮、总磷</w:t>
            </w:r>
            <w:r>
              <w:rPr>
                <w:color w:val="auto"/>
                <w:sz w:val="24"/>
                <w:szCs w:val="24"/>
              </w:rPr>
              <w:t>均能达到《地表水环境质量标准》（GB3838-2002）中Ⅲ类地表水标准限值，符合《江苏省地表水（环境）功能区</w:t>
            </w:r>
            <w:r>
              <w:rPr>
                <w:rFonts w:hint="eastAsia"/>
                <w:color w:val="auto"/>
                <w:sz w:val="24"/>
                <w:szCs w:val="24"/>
                <w:lang w:val="en-US" w:eastAsia="zh-CN"/>
              </w:rPr>
              <w:t>规</w:t>
            </w:r>
            <w:r>
              <w:rPr>
                <w:color w:val="auto"/>
                <w:sz w:val="24"/>
                <w:szCs w:val="24"/>
              </w:rPr>
              <w:t>划（2021—2030年）》功能区水质目标。</w:t>
            </w:r>
          </w:p>
          <w:p w14:paraId="01975F8D">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lang w:val="en-US" w:eastAsia="zh-CN"/>
              </w:rPr>
            </w:pPr>
            <w:r>
              <w:rPr>
                <w:rFonts w:hint="eastAsia"/>
                <w:color w:val="auto"/>
                <w:sz w:val="24"/>
                <w:szCs w:val="24"/>
                <w:lang w:val="en-US" w:eastAsia="zh-CN"/>
              </w:rPr>
              <w:t>4、声环境</w:t>
            </w:r>
          </w:p>
          <w:p w14:paraId="72BF94D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本项目50米周边范围内无敏感目标，故不进行声环境质量调查。</w:t>
            </w:r>
          </w:p>
          <w:p w14:paraId="0D4BC20B">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color w:val="auto"/>
                <w:sz w:val="24"/>
                <w:szCs w:val="24"/>
              </w:rPr>
            </w:pPr>
            <w:r>
              <w:rPr>
                <w:rFonts w:hint="eastAsia"/>
                <w:color w:val="auto"/>
                <w:sz w:val="24"/>
                <w:szCs w:val="24"/>
                <w:lang w:val="en-US" w:eastAsia="zh-CN"/>
              </w:rPr>
              <w:t>5、</w:t>
            </w:r>
            <w:r>
              <w:rPr>
                <w:color w:val="auto"/>
                <w:sz w:val="24"/>
                <w:szCs w:val="24"/>
              </w:rPr>
              <w:t>生态环境</w:t>
            </w:r>
          </w:p>
          <w:p w14:paraId="4A2FA4D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本项目</w:t>
            </w:r>
            <w:r>
              <w:rPr>
                <w:rFonts w:hint="eastAsia"/>
                <w:color w:val="auto"/>
                <w:sz w:val="24"/>
                <w:szCs w:val="24"/>
                <w:lang w:val="en-US" w:eastAsia="zh-CN"/>
              </w:rPr>
              <w:t>租用</w:t>
            </w:r>
            <w:r>
              <w:rPr>
                <w:rFonts w:hint="eastAsia"/>
                <w:color w:val="auto"/>
                <w:spacing w:val="-2"/>
                <w:sz w:val="24"/>
                <w:szCs w:val="24"/>
              </w:rPr>
              <w:t>现有厂房</w:t>
            </w:r>
            <w:r>
              <w:rPr>
                <w:color w:val="auto"/>
                <w:sz w:val="24"/>
                <w:szCs w:val="24"/>
              </w:rPr>
              <w:t>进行生产，不涉及新增用地，</w:t>
            </w:r>
            <w:r>
              <w:rPr>
                <w:rFonts w:hint="eastAsia"/>
                <w:color w:val="auto"/>
                <w:sz w:val="24"/>
                <w:szCs w:val="24"/>
                <w:lang w:val="en-US" w:eastAsia="zh-CN"/>
              </w:rPr>
              <w:t>用地范围内无生态环境保护目标，</w:t>
            </w:r>
            <w:r>
              <w:rPr>
                <w:color w:val="auto"/>
                <w:sz w:val="24"/>
                <w:szCs w:val="24"/>
              </w:rPr>
              <w:t>故不进行生态环境现状调查。</w:t>
            </w:r>
          </w:p>
          <w:p w14:paraId="4A1FE235">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color w:val="auto"/>
                <w:sz w:val="24"/>
                <w:szCs w:val="24"/>
              </w:rPr>
            </w:pPr>
            <w:r>
              <w:rPr>
                <w:rFonts w:hint="eastAsia"/>
                <w:color w:val="auto"/>
                <w:sz w:val="24"/>
                <w:szCs w:val="24"/>
                <w:lang w:val="en-US" w:eastAsia="zh-CN"/>
              </w:rPr>
              <w:t>6、</w:t>
            </w:r>
            <w:r>
              <w:rPr>
                <w:color w:val="auto"/>
                <w:sz w:val="24"/>
                <w:szCs w:val="24"/>
              </w:rPr>
              <w:t>电磁辐射</w:t>
            </w:r>
          </w:p>
          <w:p w14:paraId="4A3CC8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本项目</w:t>
            </w:r>
            <w:r>
              <w:rPr>
                <w:rFonts w:hint="eastAsia"/>
                <w:color w:val="auto"/>
                <w:sz w:val="24"/>
                <w:szCs w:val="24"/>
              </w:rPr>
              <w:t>生产</w:t>
            </w:r>
            <w:r>
              <w:rPr>
                <w:color w:val="auto"/>
                <w:sz w:val="24"/>
                <w:szCs w:val="24"/>
              </w:rPr>
              <w:t>过程中不使用含放射性同位素和伴有电磁辐射的设施，故不进行电磁辐射现状监测与评价。</w:t>
            </w:r>
          </w:p>
          <w:p w14:paraId="43E50B18">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color w:val="auto"/>
                <w:sz w:val="24"/>
                <w:szCs w:val="24"/>
              </w:rPr>
            </w:pPr>
            <w:r>
              <w:rPr>
                <w:rFonts w:hint="eastAsia"/>
                <w:color w:val="auto"/>
                <w:sz w:val="24"/>
                <w:szCs w:val="24"/>
                <w:lang w:val="en-US" w:eastAsia="zh-CN"/>
              </w:rPr>
              <w:t>7、</w:t>
            </w:r>
            <w:r>
              <w:rPr>
                <w:color w:val="auto"/>
                <w:sz w:val="24"/>
                <w:szCs w:val="24"/>
              </w:rPr>
              <w:t>地下水、土壤环境质量</w:t>
            </w:r>
          </w:p>
          <w:p w14:paraId="453A3FE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本项目</w:t>
            </w:r>
            <w:r>
              <w:rPr>
                <w:rFonts w:hint="eastAsia"/>
                <w:color w:val="auto"/>
                <w:spacing w:val="-2"/>
                <w:sz w:val="24"/>
                <w:szCs w:val="24"/>
              </w:rPr>
              <w:t>利用现有厂房进行</w:t>
            </w:r>
            <w:r>
              <w:rPr>
                <w:color w:val="auto"/>
                <w:sz w:val="24"/>
                <w:szCs w:val="24"/>
              </w:rPr>
              <w:t>生产，厂房已进行了防腐、防渗措施，</w:t>
            </w:r>
            <w:r>
              <w:rPr>
                <w:rFonts w:hint="eastAsia"/>
                <w:color w:val="auto"/>
                <w:sz w:val="24"/>
                <w:szCs w:val="24"/>
              </w:rPr>
              <w:t>生产</w:t>
            </w:r>
            <w:r>
              <w:rPr>
                <w:color w:val="auto"/>
                <w:sz w:val="24"/>
                <w:szCs w:val="24"/>
              </w:rPr>
              <w:t>过程中基本不会对地下水、土壤造成污染；同时根据《建设项目环境影响报告表编制技术指南（污染影响类）（试行）》原则上不开展地下水、土壤环境质量现状调查。</w:t>
            </w:r>
          </w:p>
        </w:tc>
      </w:tr>
    </w:tbl>
    <w:p w14:paraId="325DB0F2">
      <w:pPr>
        <w:pStyle w:val="18"/>
        <w:spacing w:before="0" w:beforeAutospacing="0" w:after="0" w:afterAutospacing="0"/>
        <w:jc w:val="center"/>
        <w:outlineLvl w:val="0"/>
        <w:rPr>
          <w:rFonts w:ascii="Times New Roman" w:hAnsi="Times New Roman"/>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2762"/>
      </w:tblGrid>
      <w:tr w14:paraId="7B99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center"/>
          </w:tcPr>
          <w:p w14:paraId="418FF061">
            <w:pPr>
              <w:adjustRightInd w:val="0"/>
              <w:snapToGrid w:val="0"/>
              <w:jc w:val="center"/>
              <w:rPr>
                <w:color w:val="auto"/>
                <w:kern w:val="0"/>
                <w:sz w:val="24"/>
                <w:szCs w:val="24"/>
              </w:rPr>
            </w:pPr>
            <w:r>
              <w:rPr>
                <w:color w:val="auto"/>
                <w:kern w:val="0"/>
                <w:sz w:val="24"/>
                <w:szCs w:val="24"/>
              </w:rPr>
              <w:t>环境保</w:t>
            </w:r>
          </w:p>
          <w:p w14:paraId="50C169EB">
            <w:pPr>
              <w:adjustRightInd w:val="0"/>
              <w:snapToGrid w:val="0"/>
              <w:jc w:val="center"/>
              <w:rPr>
                <w:snapToGrid w:val="0"/>
                <w:color w:val="auto"/>
                <w:sz w:val="24"/>
                <w:szCs w:val="24"/>
              </w:rPr>
            </w:pPr>
            <w:r>
              <w:rPr>
                <w:color w:val="auto"/>
                <w:kern w:val="0"/>
                <w:sz w:val="24"/>
                <w:szCs w:val="24"/>
              </w:rPr>
              <w:t>护目标</w:t>
            </w:r>
          </w:p>
        </w:tc>
        <w:tc>
          <w:tcPr>
            <w:tcW w:w="12762" w:type="dxa"/>
            <w:noWrap w:val="0"/>
            <w:vAlign w:val="center"/>
          </w:tcPr>
          <w:p w14:paraId="567E6B5A">
            <w:pPr>
              <w:keepNext w:val="0"/>
              <w:keepLines w:val="0"/>
              <w:pageBreakBefore w:val="0"/>
              <w:widowControl w:val="0"/>
              <w:kinsoku/>
              <w:wordWrap/>
              <w:overflowPunct/>
              <w:topLinePunct w:val="0"/>
              <w:autoSpaceDE/>
              <w:autoSpaceDN/>
              <w:bidi w:val="0"/>
              <w:adjustRightInd w:val="0"/>
              <w:snapToGrid w:val="0"/>
              <w:spacing w:line="480" w:lineRule="exact"/>
              <w:rPr>
                <w:b/>
                <w:color w:val="auto"/>
                <w:sz w:val="24"/>
                <w:szCs w:val="24"/>
              </w:rPr>
            </w:pPr>
            <w:r>
              <w:rPr>
                <w:b/>
                <w:bCs/>
                <w:color w:val="auto"/>
                <w:sz w:val="24"/>
                <w:szCs w:val="24"/>
              </w:rPr>
              <w:t>主要环境保护目标（列出名单及保护级别）</w:t>
            </w:r>
            <w:r>
              <w:rPr>
                <w:b/>
                <w:color w:val="auto"/>
                <w:sz w:val="24"/>
                <w:szCs w:val="24"/>
              </w:rPr>
              <w:t>：</w:t>
            </w:r>
          </w:p>
          <w:p w14:paraId="442A165D">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textAlignment w:val="baseline"/>
              <w:rPr>
                <w:color w:val="auto"/>
                <w:spacing w:val="-2"/>
                <w:kern w:val="28"/>
                <w:sz w:val="24"/>
                <w:szCs w:val="24"/>
              </w:rPr>
            </w:pPr>
            <w:r>
              <w:rPr>
                <w:color w:val="auto"/>
                <w:spacing w:val="-2"/>
                <w:kern w:val="28"/>
                <w:sz w:val="24"/>
                <w:szCs w:val="24"/>
              </w:rPr>
              <w:t>根据对建设项目周边环境现状的踏勘与调查，建设项目附近无文物保护区、风景名胜区、饮用水源地等敏感环境保护目标。</w:t>
            </w:r>
          </w:p>
          <w:p w14:paraId="73CCED77">
            <w:pPr>
              <w:spacing w:line="400" w:lineRule="exact"/>
              <w:jc w:val="center"/>
              <w:rPr>
                <w:b/>
                <w:color w:val="auto"/>
                <w:sz w:val="21"/>
                <w:szCs w:val="21"/>
              </w:rPr>
            </w:pPr>
            <w:r>
              <w:rPr>
                <w:b/>
                <w:color w:val="auto"/>
                <w:sz w:val="21"/>
                <w:szCs w:val="21"/>
              </w:rPr>
              <w:t>表3-</w:t>
            </w:r>
            <w:r>
              <w:rPr>
                <w:rFonts w:hint="eastAsia"/>
                <w:b/>
                <w:color w:val="auto"/>
                <w:sz w:val="21"/>
                <w:szCs w:val="21"/>
                <w:lang w:val="en-US" w:eastAsia="zh-CN"/>
              </w:rPr>
              <w:t>6</w:t>
            </w:r>
            <w:r>
              <w:rPr>
                <w:b/>
                <w:color w:val="auto"/>
                <w:sz w:val="21"/>
                <w:szCs w:val="21"/>
              </w:rPr>
              <w:t>大气环境保护目标</w:t>
            </w:r>
          </w:p>
          <w:tbl>
            <w:tblPr>
              <w:tblStyle w:val="22"/>
              <w:tblW w:w="4996"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98"/>
              <w:gridCol w:w="1568"/>
              <w:gridCol w:w="1257"/>
              <w:gridCol w:w="1305"/>
              <w:gridCol w:w="1969"/>
              <w:gridCol w:w="1417"/>
              <w:gridCol w:w="1365"/>
              <w:gridCol w:w="938"/>
              <w:gridCol w:w="888"/>
              <w:gridCol w:w="1031"/>
            </w:tblGrid>
            <w:tr w14:paraId="030E6A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8" w:type="pct"/>
                  <w:vMerge w:val="restart"/>
                  <w:noWrap w:val="0"/>
                  <w:vAlign w:val="center"/>
                </w:tcPr>
                <w:p w14:paraId="68D2A747">
                  <w:pPr>
                    <w:spacing w:line="300" w:lineRule="exact"/>
                    <w:jc w:val="center"/>
                    <w:rPr>
                      <w:b/>
                      <w:color w:val="auto"/>
                      <w:sz w:val="21"/>
                      <w:szCs w:val="21"/>
                    </w:rPr>
                  </w:pPr>
                  <w:r>
                    <w:rPr>
                      <w:b/>
                      <w:color w:val="auto"/>
                      <w:sz w:val="21"/>
                      <w:szCs w:val="21"/>
                    </w:rPr>
                    <w:t>环境</w:t>
                  </w:r>
                </w:p>
                <w:p w14:paraId="79319E9E">
                  <w:pPr>
                    <w:spacing w:line="300" w:lineRule="exact"/>
                    <w:jc w:val="center"/>
                    <w:rPr>
                      <w:b/>
                      <w:color w:val="auto"/>
                      <w:sz w:val="21"/>
                      <w:szCs w:val="21"/>
                    </w:rPr>
                  </w:pPr>
                  <w:r>
                    <w:rPr>
                      <w:b/>
                      <w:color w:val="auto"/>
                      <w:sz w:val="21"/>
                      <w:szCs w:val="21"/>
                    </w:rPr>
                    <w:t>要素</w:t>
                  </w:r>
                </w:p>
              </w:tc>
              <w:tc>
                <w:tcPr>
                  <w:tcW w:w="625" w:type="pct"/>
                  <w:vMerge w:val="restart"/>
                  <w:noWrap w:val="0"/>
                  <w:vAlign w:val="center"/>
                </w:tcPr>
                <w:p w14:paraId="5BE7562F">
                  <w:pPr>
                    <w:spacing w:line="300" w:lineRule="exact"/>
                    <w:jc w:val="center"/>
                    <w:rPr>
                      <w:b/>
                      <w:color w:val="auto"/>
                      <w:sz w:val="21"/>
                      <w:szCs w:val="21"/>
                    </w:rPr>
                  </w:pPr>
                  <w:r>
                    <w:rPr>
                      <w:b/>
                      <w:color w:val="auto"/>
                      <w:sz w:val="21"/>
                      <w:szCs w:val="21"/>
                    </w:rPr>
                    <w:t>名称</w:t>
                  </w:r>
                </w:p>
              </w:tc>
              <w:tc>
                <w:tcPr>
                  <w:tcW w:w="1021" w:type="pct"/>
                  <w:gridSpan w:val="2"/>
                  <w:noWrap w:val="0"/>
                  <w:vAlign w:val="center"/>
                </w:tcPr>
                <w:p w14:paraId="0CEE3C02">
                  <w:pPr>
                    <w:spacing w:line="300" w:lineRule="exact"/>
                    <w:jc w:val="center"/>
                    <w:rPr>
                      <w:rFonts w:hint="default" w:eastAsia="宋体"/>
                      <w:b/>
                      <w:color w:val="auto"/>
                      <w:sz w:val="21"/>
                      <w:szCs w:val="21"/>
                      <w:lang w:val="en-US" w:eastAsia="zh-CN"/>
                    </w:rPr>
                  </w:pPr>
                  <w:r>
                    <w:rPr>
                      <w:rFonts w:hint="eastAsia"/>
                      <w:b/>
                      <w:color w:val="auto"/>
                      <w:sz w:val="21"/>
                      <w:szCs w:val="21"/>
                      <w:lang w:val="en-US" w:eastAsia="zh-CN"/>
                    </w:rPr>
                    <w:t>经纬度</w:t>
                  </w:r>
                </w:p>
              </w:tc>
              <w:tc>
                <w:tcPr>
                  <w:tcW w:w="785" w:type="pct"/>
                  <w:vMerge w:val="restart"/>
                  <w:noWrap w:val="0"/>
                  <w:vAlign w:val="center"/>
                </w:tcPr>
                <w:p w14:paraId="36D1A12E">
                  <w:pPr>
                    <w:spacing w:line="300" w:lineRule="exact"/>
                    <w:jc w:val="center"/>
                    <w:rPr>
                      <w:b/>
                      <w:color w:val="auto"/>
                      <w:sz w:val="21"/>
                      <w:szCs w:val="21"/>
                    </w:rPr>
                  </w:pPr>
                  <w:r>
                    <w:rPr>
                      <w:b/>
                      <w:color w:val="auto"/>
                      <w:sz w:val="21"/>
                      <w:szCs w:val="21"/>
                    </w:rPr>
                    <w:t>保护对象</w:t>
                  </w:r>
                </w:p>
              </w:tc>
              <w:tc>
                <w:tcPr>
                  <w:tcW w:w="565" w:type="pct"/>
                  <w:vMerge w:val="restart"/>
                  <w:noWrap w:val="0"/>
                  <w:vAlign w:val="center"/>
                </w:tcPr>
                <w:p w14:paraId="5754C082">
                  <w:pPr>
                    <w:spacing w:line="300" w:lineRule="exact"/>
                    <w:jc w:val="center"/>
                    <w:rPr>
                      <w:rFonts w:hint="eastAsia"/>
                      <w:b/>
                      <w:color w:val="auto"/>
                      <w:sz w:val="21"/>
                      <w:szCs w:val="21"/>
                    </w:rPr>
                  </w:pPr>
                  <w:r>
                    <w:rPr>
                      <w:b/>
                      <w:bCs/>
                      <w:color w:val="auto"/>
                      <w:sz w:val="21"/>
                      <w:szCs w:val="21"/>
                    </w:rPr>
                    <w:t>规模</w:t>
                  </w:r>
                  <w:r>
                    <w:rPr>
                      <w:rFonts w:hint="eastAsia"/>
                      <w:b/>
                      <w:bCs/>
                      <w:color w:val="auto"/>
                      <w:sz w:val="21"/>
                      <w:szCs w:val="21"/>
                    </w:rPr>
                    <w:t>（人）</w:t>
                  </w:r>
                </w:p>
              </w:tc>
              <w:tc>
                <w:tcPr>
                  <w:tcW w:w="544" w:type="pct"/>
                  <w:vMerge w:val="restart"/>
                  <w:noWrap w:val="0"/>
                  <w:vAlign w:val="center"/>
                </w:tcPr>
                <w:p w14:paraId="45AA116E">
                  <w:pPr>
                    <w:spacing w:line="300" w:lineRule="exact"/>
                    <w:jc w:val="center"/>
                    <w:rPr>
                      <w:b/>
                      <w:color w:val="auto"/>
                      <w:sz w:val="21"/>
                      <w:szCs w:val="21"/>
                    </w:rPr>
                  </w:pPr>
                  <w:r>
                    <w:rPr>
                      <w:b/>
                      <w:color w:val="auto"/>
                      <w:sz w:val="21"/>
                      <w:szCs w:val="21"/>
                    </w:rPr>
                    <w:t>保护内容</w:t>
                  </w:r>
                </w:p>
              </w:tc>
              <w:tc>
                <w:tcPr>
                  <w:tcW w:w="374" w:type="pct"/>
                  <w:vMerge w:val="restart"/>
                  <w:noWrap w:val="0"/>
                  <w:vAlign w:val="center"/>
                </w:tcPr>
                <w:p w14:paraId="1C54628B">
                  <w:pPr>
                    <w:spacing w:line="300" w:lineRule="exact"/>
                    <w:jc w:val="center"/>
                    <w:rPr>
                      <w:b/>
                      <w:color w:val="auto"/>
                      <w:sz w:val="21"/>
                      <w:szCs w:val="21"/>
                    </w:rPr>
                  </w:pPr>
                  <w:r>
                    <w:rPr>
                      <w:b/>
                      <w:color w:val="auto"/>
                      <w:sz w:val="21"/>
                      <w:szCs w:val="21"/>
                    </w:rPr>
                    <w:t>环境功能区</w:t>
                  </w:r>
                </w:p>
              </w:tc>
              <w:tc>
                <w:tcPr>
                  <w:tcW w:w="354" w:type="pct"/>
                  <w:vMerge w:val="restart"/>
                  <w:noWrap w:val="0"/>
                  <w:vAlign w:val="center"/>
                </w:tcPr>
                <w:p w14:paraId="7613AE03">
                  <w:pPr>
                    <w:spacing w:line="300" w:lineRule="exact"/>
                    <w:jc w:val="center"/>
                    <w:rPr>
                      <w:b/>
                      <w:color w:val="auto"/>
                      <w:sz w:val="21"/>
                      <w:szCs w:val="21"/>
                    </w:rPr>
                  </w:pPr>
                  <w:r>
                    <w:rPr>
                      <w:b/>
                      <w:color w:val="auto"/>
                      <w:sz w:val="21"/>
                      <w:szCs w:val="21"/>
                    </w:rPr>
                    <w:t>相对厂址方位</w:t>
                  </w:r>
                </w:p>
              </w:tc>
              <w:tc>
                <w:tcPr>
                  <w:tcW w:w="411" w:type="pct"/>
                  <w:vMerge w:val="restart"/>
                  <w:noWrap w:val="0"/>
                  <w:vAlign w:val="center"/>
                </w:tcPr>
                <w:p w14:paraId="6B415D19">
                  <w:pPr>
                    <w:spacing w:line="300" w:lineRule="exact"/>
                    <w:jc w:val="center"/>
                    <w:rPr>
                      <w:b/>
                      <w:color w:val="auto"/>
                      <w:sz w:val="21"/>
                      <w:szCs w:val="21"/>
                    </w:rPr>
                  </w:pPr>
                  <w:r>
                    <w:rPr>
                      <w:b/>
                      <w:color w:val="auto"/>
                      <w:spacing w:val="-17"/>
                      <w:sz w:val="21"/>
                      <w:szCs w:val="21"/>
                    </w:rPr>
                    <w:t>相对厂界距离/m</w:t>
                  </w:r>
                </w:p>
              </w:tc>
            </w:tr>
            <w:tr w14:paraId="44A5AE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8" w:type="pct"/>
                  <w:vMerge w:val="continue"/>
                  <w:noWrap w:val="0"/>
                  <w:vAlign w:val="center"/>
                </w:tcPr>
                <w:p w14:paraId="47DF8A9B">
                  <w:pPr>
                    <w:widowControl/>
                    <w:spacing w:line="300" w:lineRule="exact"/>
                    <w:jc w:val="center"/>
                    <w:rPr>
                      <w:b/>
                      <w:color w:val="auto"/>
                      <w:sz w:val="21"/>
                      <w:szCs w:val="21"/>
                    </w:rPr>
                  </w:pPr>
                </w:p>
              </w:tc>
              <w:tc>
                <w:tcPr>
                  <w:tcW w:w="625" w:type="pct"/>
                  <w:vMerge w:val="continue"/>
                  <w:noWrap w:val="0"/>
                  <w:vAlign w:val="center"/>
                </w:tcPr>
                <w:p w14:paraId="53B5B3B3">
                  <w:pPr>
                    <w:widowControl/>
                    <w:spacing w:line="300" w:lineRule="exact"/>
                    <w:jc w:val="center"/>
                    <w:rPr>
                      <w:b/>
                      <w:color w:val="auto"/>
                      <w:sz w:val="21"/>
                      <w:szCs w:val="21"/>
                    </w:rPr>
                  </w:pPr>
                </w:p>
              </w:tc>
              <w:tc>
                <w:tcPr>
                  <w:tcW w:w="501" w:type="pct"/>
                  <w:noWrap w:val="0"/>
                  <w:vAlign w:val="center"/>
                </w:tcPr>
                <w:p w14:paraId="6936B20D">
                  <w:pPr>
                    <w:spacing w:line="300" w:lineRule="exact"/>
                    <w:jc w:val="center"/>
                    <w:rPr>
                      <w:rFonts w:hint="default" w:eastAsia="宋体"/>
                      <w:b/>
                      <w:color w:val="auto"/>
                      <w:sz w:val="21"/>
                      <w:szCs w:val="21"/>
                      <w:lang w:val="en-US" w:eastAsia="zh-CN"/>
                    </w:rPr>
                  </w:pPr>
                  <w:r>
                    <w:rPr>
                      <w:rFonts w:hint="eastAsia"/>
                      <w:b/>
                      <w:color w:val="auto"/>
                      <w:sz w:val="21"/>
                      <w:szCs w:val="21"/>
                      <w:lang w:val="en-US" w:eastAsia="zh-CN"/>
                    </w:rPr>
                    <w:t>经度（</w:t>
                  </w:r>
                  <w:r>
                    <w:rPr>
                      <w:rFonts w:hint="eastAsia" w:ascii="微软雅黑" w:hAnsi="微软雅黑" w:eastAsia="微软雅黑" w:cs="微软雅黑"/>
                      <w:b/>
                      <w:color w:val="auto"/>
                      <w:sz w:val="21"/>
                      <w:szCs w:val="21"/>
                      <w:lang w:val="en-US" w:eastAsia="zh-CN"/>
                    </w:rPr>
                    <w:t>⁰</w:t>
                  </w:r>
                  <w:r>
                    <w:rPr>
                      <w:rFonts w:hint="eastAsia"/>
                      <w:b/>
                      <w:color w:val="auto"/>
                      <w:sz w:val="21"/>
                      <w:szCs w:val="21"/>
                      <w:lang w:val="en-US" w:eastAsia="zh-CN"/>
                    </w:rPr>
                    <w:t>）</w:t>
                  </w:r>
                </w:p>
              </w:tc>
              <w:tc>
                <w:tcPr>
                  <w:tcW w:w="520" w:type="pct"/>
                  <w:noWrap w:val="0"/>
                  <w:vAlign w:val="center"/>
                </w:tcPr>
                <w:p w14:paraId="2C49DA59">
                  <w:pPr>
                    <w:spacing w:line="300" w:lineRule="exact"/>
                    <w:jc w:val="center"/>
                    <w:rPr>
                      <w:rFonts w:hint="eastAsia" w:eastAsia="宋体"/>
                      <w:b/>
                      <w:color w:val="auto"/>
                      <w:sz w:val="21"/>
                      <w:szCs w:val="21"/>
                      <w:lang w:val="en-US" w:eastAsia="zh-CN"/>
                    </w:rPr>
                  </w:pPr>
                  <w:r>
                    <w:rPr>
                      <w:rFonts w:hint="eastAsia"/>
                      <w:b/>
                      <w:color w:val="auto"/>
                      <w:sz w:val="21"/>
                      <w:szCs w:val="21"/>
                      <w:lang w:val="en-US" w:eastAsia="zh-CN"/>
                    </w:rPr>
                    <w:t>维度（</w:t>
                  </w:r>
                  <w:r>
                    <w:rPr>
                      <w:rFonts w:hint="eastAsia" w:ascii="微软雅黑" w:hAnsi="微软雅黑" w:eastAsia="微软雅黑" w:cs="微软雅黑"/>
                      <w:b/>
                      <w:color w:val="auto"/>
                      <w:sz w:val="21"/>
                      <w:szCs w:val="21"/>
                      <w:lang w:val="en-US" w:eastAsia="zh-CN"/>
                    </w:rPr>
                    <w:t>⁰</w:t>
                  </w:r>
                  <w:r>
                    <w:rPr>
                      <w:rFonts w:hint="eastAsia"/>
                      <w:b/>
                      <w:color w:val="auto"/>
                      <w:sz w:val="21"/>
                      <w:szCs w:val="21"/>
                      <w:lang w:val="en-US" w:eastAsia="zh-CN"/>
                    </w:rPr>
                    <w:t>）</w:t>
                  </w:r>
                </w:p>
              </w:tc>
              <w:tc>
                <w:tcPr>
                  <w:tcW w:w="785" w:type="pct"/>
                  <w:vMerge w:val="continue"/>
                  <w:noWrap w:val="0"/>
                  <w:vAlign w:val="center"/>
                </w:tcPr>
                <w:p w14:paraId="5283DEC4">
                  <w:pPr>
                    <w:widowControl/>
                    <w:spacing w:line="300" w:lineRule="exact"/>
                    <w:jc w:val="center"/>
                    <w:rPr>
                      <w:b/>
                      <w:color w:val="auto"/>
                      <w:sz w:val="21"/>
                      <w:szCs w:val="21"/>
                    </w:rPr>
                  </w:pPr>
                </w:p>
              </w:tc>
              <w:tc>
                <w:tcPr>
                  <w:tcW w:w="565" w:type="pct"/>
                  <w:vMerge w:val="continue"/>
                  <w:noWrap w:val="0"/>
                  <w:vAlign w:val="center"/>
                </w:tcPr>
                <w:p w14:paraId="754C9991">
                  <w:pPr>
                    <w:widowControl/>
                    <w:spacing w:line="300" w:lineRule="exact"/>
                    <w:jc w:val="center"/>
                    <w:rPr>
                      <w:b/>
                      <w:color w:val="auto"/>
                      <w:sz w:val="21"/>
                      <w:szCs w:val="21"/>
                    </w:rPr>
                  </w:pPr>
                </w:p>
              </w:tc>
              <w:tc>
                <w:tcPr>
                  <w:tcW w:w="544" w:type="pct"/>
                  <w:vMerge w:val="continue"/>
                  <w:noWrap w:val="0"/>
                  <w:vAlign w:val="center"/>
                </w:tcPr>
                <w:p w14:paraId="4BCDECBC">
                  <w:pPr>
                    <w:widowControl/>
                    <w:spacing w:line="300" w:lineRule="exact"/>
                    <w:jc w:val="center"/>
                    <w:rPr>
                      <w:b/>
                      <w:color w:val="auto"/>
                      <w:sz w:val="21"/>
                      <w:szCs w:val="21"/>
                    </w:rPr>
                  </w:pPr>
                </w:p>
              </w:tc>
              <w:tc>
                <w:tcPr>
                  <w:tcW w:w="374" w:type="pct"/>
                  <w:vMerge w:val="continue"/>
                  <w:noWrap w:val="0"/>
                  <w:vAlign w:val="center"/>
                </w:tcPr>
                <w:p w14:paraId="4014B758">
                  <w:pPr>
                    <w:widowControl/>
                    <w:spacing w:line="300" w:lineRule="exact"/>
                    <w:jc w:val="center"/>
                    <w:rPr>
                      <w:b/>
                      <w:color w:val="auto"/>
                      <w:sz w:val="21"/>
                      <w:szCs w:val="21"/>
                    </w:rPr>
                  </w:pPr>
                </w:p>
              </w:tc>
              <w:tc>
                <w:tcPr>
                  <w:tcW w:w="354" w:type="pct"/>
                  <w:vMerge w:val="continue"/>
                  <w:noWrap w:val="0"/>
                  <w:vAlign w:val="center"/>
                </w:tcPr>
                <w:p w14:paraId="32DD6142">
                  <w:pPr>
                    <w:widowControl/>
                    <w:spacing w:line="300" w:lineRule="exact"/>
                    <w:jc w:val="center"/>
                    <w:rPr>
                      <w:b/>
                      <w:color w:val="auto"/>
                      <w:sz w:val="21"/>
                      <w:szCs w:val="21"/>
                    </w:rPr>
                  </w:pPr>
                </w:p>
              </w:tc>
              <w:tc>
                <w:tcPr>
                  <w:tcW w:w="411" w:type="pct"/>
                  <w:vMerge w:val="continue"/>
                  <w:noWrap w:val="0"/>
                  <w:vAlign w:val="center"/>
                </w:tcPr>
                <w:p w14:paraId="3FE69D95">
                  <w:pPr>
                    <w:widowControl/>
                    <w:spacing w:line="300" w:lineRule="exact"/>
                    <w:jc w:val="center"/>
                    <w:rPr>
                      <w:b/>
                      <w:color w:val="auto"/>
                      <w:sz w:val="21"/>
                      <w:szCs w:val="21"/>
                    </w:rPr>
                  </w:pPr>
                </w:p>
              </w:tc>
            </w:tr>
            <w:tr w14:paraId="623485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3" w:hRule="atLeast"/>
              </w:trPr>
              <w:tc>
                <w:tcPr>
                  <w:tcW w:w="318" w:type="pct"/>
                  <w:vMerge w:val="restart"/>
                  <w:noWrap w:val="0"/>
                  <w:vAlign w:val="center"/>
                </w:tcPr>
                <w:p w14:paraId="0925D780">
                  <w:pPr>
                    <w:pStyle w:val="88"/>
                    <w:spacing w:line="300" w:lineRule="exact"/>
                    <w:rPr>
                      <w:rFonts w:ascii="Times New Roman" w:hAnsi="Times New Roman"/>
                      <w:color w:val="auto"/>
                      <w:sz w:val="21"/>
                      <w:szCs w:val="21"/>
                    </w:rPr>
                  </w:pPr>
                  <w:r>
                    <w:rPr>
                      <w:rFonts w:ascii="Times New Roman" w:hAnsi="Times New Roman"/>
                      <w:color w:val="auto"/>
                      <w:sz w:val="21"/>
                      <w:szCs w:val="21"/>
                    </w:rPr>
                    <w:t>大气</w:t>
                  </w:r>
                </w:p>
                <w:p w14:paraId="4F22AE45">
                  <w:pPr>
                    <w:pStyle w:val="88"/>
                    <w:spacing w:line="300" w:lineRule="exact"/>
                    <w:rPr>
                      <w:rFonts w:ascii="Times New Roman" w:hAnsi="Times New Roman"/>
                      <w:color w:val="auto"/>
                      <w:sz w:val="21"/>
                      <w:szCs w:val="21"/>
                    </w:rPr>
                  </w:pPr>
                  <w:r>
                    <w:rPr>
                      <w:rFonts w:ascii="Times New Roman" w:hAnsi="Times New Roman"/>
                      <w:color w:val="auto"/>
                      <w:sz w:val="21"/>
                      <w:szCs w:val="21"/>
                    </w:rPr>
                    <w:t>环境</w:t>
                  </w:r>
                </w:p>
              </w:tc>
              <w:tc>
                <w:tcPr>
                  <w:tcW w:w="625" w:type="pct"/>
                  <w:noWrap w:val="0"/>
                  <w:vAlign w:val="center"/>
                </w:tcPr>
                <w:p w14:paraId="22787D6E">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上庄别墅</w:t>
                  </w:r>
                </w:p>
              </w:tc>
              <w:tc>
                <w:tcPr>
                  <w:tcW w:w="501" w:type="pct"/>
                  <w:noWrap w:val="0"/>
                  <w:vAlign w:val="center"/>
                </w:tcPr>
                <w:p w14:paraId="198E01F3">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119.563152</w:t>
                  </w:r>
                </w:p>
              </w:tc>
              <w:tc>
                <w:tcPr>
                  <w:tcW w:w="520" w:type="pct"/>
                  <w:noWrap w:val="0"/>
                  <w:vAlign w:val="center"/>
                </w:tcPr>
                <w:p w14:paraId="09B56B5E">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31.760308</w:t>
                  </w:r>
                </w:p>
              </w:tc>
              <w:tc>
                <w:tcPr>
                  <w:tcW w:w="785" w:type="pct"/>
                  <w:noWrap w:val="0"/>
                  <w:vAlign w:val="center"/>
                </w:tcPr>
                <w:p w14:paraId="02D5E092">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上庄别墅</w:t>
                  </w:r>
                </w:p>
              </w:tc>
              <w:tc>
                <w:tcPr>
                  <w:tcW w:w="565" w:type="pct"/>
                  <w:noWrap w:val="0"/>
                  <w:vAlign w:val="top"/>
                </w:tcPr>
                <w:p w14:paraId="7523BB15">
                  <w:pPr>
                    <w:pStyle w:val="88"/>
                    <w:spacing w:line="30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470</w:t>
                  </w:r>
                </w:p>
              </w:tc>
              <w:tc>
                <w:tcPr>
                  <w:tcW w:w="544" w:type="pct"/>
                  <w:noWrap w:val="0"/>
                  <w:vAlign w:val="center"/>
                </w:tcPr>
                <w:p w14:paraId="53C93017">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374" w:type="pct"/>
                  <w:noWrap w:val="0"/>
                  <w:vAlign w:val="center"/>
                </w:tcPr>
                <w:p w14:paraId="6FD07556">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w:t>
                  </w:r>
                </w:p>
              </w:tc>
              <w:tc>
                <w:tcPr>
                  <w:tcW w:w="354" w:type="pct"/>
                  <w:noWrap w:val="0"/>
                  <w:vAlign w:val="center"/>
                </w:tcPr>
                <w:p w14:paraId="08B703D4">
                  <w:pPr>
                    <w:pStyle w:val="88"/>
                    <w:spacing w:line="300" w:lineRule="exact"/>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W</w:t>
                  </w:r>
                </w:p>
              </w:tc>
              <w:tc>
                <w:tcPr>
                  <w:tcW w:w="411" w:type="pct"/>
                  <w:noWrap w:val="0"/>
                  <w:vAlign w:val="center"/>
                </w:tcPr>
                <w:p w14:paraId="5C5B8D5E">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432</w:t>
                  </w:r>
                </w:p>
              </w:tc>
            </w:tr>
            <w:tr w14:paraId="6D13E4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1" w:hRule="atLeast"/>
              </w:trPr>
              <w:tc>
                <w:tcPr>
                  <w:tcW w:w="318" w:type="pct"/>
                  <w:vMerge w:val="continue"/>
                  <w:noWrap w:val="0"/>
                  <w:vAlign w:val="center"/>
                </w:tcPr>
                <w:p w14:paraId="35203AAB">
                  <w:pPr>
                    <w:widowControl/>
                    <w:spacing w:line="300" w:lineRule="exact"/>
                    <w:jc w:val="center"/>
                    <w:rPr>
                      <w:color w:val="auto"/>
                      <w:sz w:val="21"/>
                      <w:szCs w:val="21"/>
                    </w:rPr>
                  </w:pPr>
                </w:p>
              </w:tc>
              <w:tc>
                <w:tcPr>
                  <w:tcW w:w="625" w:type="pct"/>
                  <w:noWrap w:val="0"/>
                  <w:vAlign w:val="center"/>
                </w:tcPr>
                <w:p w14:paraId="45C2FF6A">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元巷村</w:t>
                  </w:r>
                </w:p>
              </w:tc>
              <w:tc>
                <w:tcPr>
                  <w:tcW w:w="501" w:type="pct"/>
                  <w:noWrap w:val="0"/>
                  <w:vAlign w:val="center"/>
                </w:tcPr>
                <w:p w14:paraId="4490246F">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119.564182</w:t>
                  </w:r>
                </w:p>
              </w:tc>
              <w:tc>
                <w:tcPr>
                  <w:tcW w:w="520" w:type="pct"/>
                  <w:noWrap w:val="0"/>
                  <w:vAlign w:val="center"/>
                </w:tcPr>
                <w:p w14:paraId="7494A8C8">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31.762268</w:t>
                  </w:r>
                </w:p>
              </w:tc>
              <w:tc>
                <w:tcPr>
                  <w:tcW w:w="785" w:type="pct"/>
                  <w:noWrap w:val="0"/>
                  <w:vAlign w:val="center"/>
                </w:tcPr>
                <w:p w14:paraId="6F1FA217">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元巷村</w:t>
                  </w:r>
                </w:p>
              </w:tc>
              <w:tc>
                <w:tcPr>
                  <w:tcW w:w="565" w:type="pct"/>
                  <w:noWrap w:val="0"/>
                  <w:vAlign w:val="top"/>
                </w:tcPr>
                <w:p w14:paraId="325D575C">
                  <w:pPr>
                    <w:pStyle w:val="88"/>
                    <w:spacing w:line="30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8750</w:t>
                  </w:r>
                </w:p>
              </w:tc>
              <w:tc>
                <w:tcPr>
                  <w:tcW w:w="544" w:type="pct"/>
                  <w:noWrap w:val="0"/>
                  <w:vAlign w:val="center"/>
                </w:tcPr>
                <w:p w14:paraId="4D694897">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374" w:type="pct"/>
                  <w:noWrap w:val="0"/>
                  <w:vAlign w:val="center"/>
                </w:tcPr>
                <w:p w14:paraId="018B05E4">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w:t>
                  </w:r>
                </w:p>
              </w:tc>
              <w:tc>
                <w:tcPr>
                  <w:tcW w:w="354" w:type="pct"/>
                  <w:noWrap w:val="0"/>
                  <w:vAlign w:val="center"/>
                </w:tcPr>
                <w:p w14:paraId="47F9A0B9">
                  <w:pPr>
                    <w:pStyle w:val="88"/>
                    <w:spacing w:line="300" w:lineRule="exact"/>
                    <w:rPr>
                      <w:rFonts w:hint="eastAsia" w:ascii="Times New Roman" w:hAnsi="Times New Roman" w:eastAsia="宋体" w:cs="Times New Roman"/>
                      <w:color w:val="FF0000"/>
                      <w:sz w:val="21"/>
                      <w:szCs w:val="21"/>
                      <w:lang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W</w:t>
                  </w:r>
                </w:p>
              </w:tc>
              <w:tc>
                <w:tcPr>
                  <w:tcW w:w="411" w:type="pct"/>
                  <w:noWrap w:val="0"/>
                  <w:vAlign w:val="center"/>
                </w:tcPr>
                <w:p w14:paraId="0CD9F5BB">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196</w:t>
                  </w:r>
                </w:p>
              </w:tc>
            </w:tr>
            <w:tr w14:paraId="5330E2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8" w:type="pct"/>
                  <w:vMerge w:val="continue"/>
                  <w:noWrap w:val="0"/>
                  <w:vAlign w:val="center"/>
                </w:tcPr>
                <w:p w14:paraId="721AB41E">
                  <w:pPr>
                    <w:widowControl/>
                    <w:spacing w:line="300" w:lineRule="exact"/>
                    <w:jc w:val="center"/>
                    <w:rPr>
                      <w:color w:val="auto"/>
                      <w:sz w:val="21"/>
                      <w:szCs w:val="21"/>
                    </w:rPr>
                  </w:pPr>
                </w:p>
              </w:tc>
              <w:tc>
                <w:tcPr>
                  <w:tcW w:w="625" w:type="pct"/>
                  <w:noWrap w:val="0"/>
                  <w:vAlign w:val="center"/>
                </w:tcPr>
                <w:p w14:paraId="52F32CB9">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上庄村</w:t>
                  </w:r>
                </w:p>
              </w:tc>
              <w:tc>
                <w:tcPr>
                  <w:tcW w:w="501" w:type="pct"/>
                  <w:noWrap w:val="0"/>
                  <w:vAlign w:val="center"/>
                </w:tcPr>
                <w:p w14:paraId="7BE8BC05">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119.564287</w:t>
                  </w:r>
                </w:p>
              </w:tc>
              <w:tc>
                <w:tcPr>
                  <w:tcW w:w="520" w:type="pct"/>
                  <w:noWrap w:val="0"/>
                  <w:vAlign w:val="center"/>
                </w:tcPr>
                <w:p w14:paraId="56BB33DF">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31.760498</w:t>
                  </w:r>
                </w:p>
              </w:tc>
              <w:tc>
                <w:tcPr>
                  <w:tcW w:w="785" w:type="pct"/>
                  <w:noWrap w:val="0"/>
                  <w:vAlign w:val="center"/>
                </w:tcPr>
                <w:p w14:paraId="32F65A5C">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上庄村</w:t>
                  </w:r>
                </w:p>
              </w:tc>
              <w:tc>
                <w:tcPr>
                  <w:tcW w:w="565" w:type="pct"/>
                  <w:noWrap w:val="0"/>
                  <w:vAlign w:val="top"/>
                </w:tcPr>
                <w:p w14:paraId="7E4A0CCC">
                  <w:pPr>
                    <w:pStyle w:val="88"/>
                    <w:spacing w:line="30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2800（范围内1000）</w:t>
                  </w:r>
                </w:p>
              </w:tc>
              <w:tc>
                <w:tcPr>
                  <w:tcW w:w="544" w:type="pct"/>
                  <w:noWrap w:val="0"/>
                  <w:vAlign w:val="center"/>
                </w:tcPr>
                <w:p w14:paraId="12E2BDF8">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374" w:type="pct"/>
                  <w:noWrap w:val="0"/>
                  <w:vAlign w:val="center"/>
                </w:tcPr>
                <w:p w14:paraId="76A8EFFE">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w:t>
                  </w:r>
                </w:p>
              </w:tc>
              <w:tc>
                <w:tcPr>
                  <w:tcW w:w="354" w:type="pct"/>
                  <w:noWrap w:val="0"/>
                  <w:vAlign w:val="center"/>
                </w:tcPr>
                <w:p w14:paraId="422481A5">
                  <w:pPr>
                    <w:pStyle w:val="88"/>
                    <w:spacing w:line="300" w:lineRule="exact"/>
                    <w:rPr>
                      <w:rFonts w:hint="eastAsia" w:ascii="Times New Roman" w:hAnsi="Times New Roman" w:eastAsia="宋体" w:cs="Times New Roman"/>
                      <w:color w:val="FF0000"/>
                      <w:sz w:val="21"/>
                      <w:szCs w:val="21"/>
                      <w:lang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p>
              </w:tc>
              <w:tc>
                <w:tcPr>
                  <w:tcW w:w="411" w:type="pct"/>
                  <w:noWrap w:val="0"/>
                  <w:vAlign w:val="center"/>
                </w:tcPr>
                <w:p w14:paraId="659E6936">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3</w:t>
                  </w:r>
                  <w:r>
                    <w:rPr>
                      <w:rFonts w:hint="default" w:ascii="Times New Roman" w:hAnsi="Times New Roman" w:cs="Times New Roman"/>
                      <w:color w:val="auto"/>
                      <w:sz w:val="21"/>
                      <w:szCs w:val="21"/>
                      <w:lang w:val="en-US" w:eastAsia="zh-CN"/>
                    </w:rPr>
                    <w:t>70</w:t>
                  </w:r>
                </w:p>
              </w:tc>
            </w:tr>
            <w:tr w14:paraId="3423BF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7" w:hRule="atLeast"/>
              </w:trPr>
              <w:tc>
                <w:tcPr>
                  <w:tcW w:w="318" w:type="pct"/>
                  <w:vMerge w:val="continue"/>
                  <w:noWrap w:val="0"/>
                  <w:vAlign w:val="center"/>
                </w:tcPr>
                <w:p w14:paraId="0E5D7478">
                  <w:pPr>
                    <w:widowControl/>
                    <w:spacing w:line="300" w:lineRule="exact"/>
                    <w:jc w:val="center"/>
                    <w:rPr>
                      <w:color w:val="auto"/>
                      <w:sz w:val="21"/>
                      <w:szCs w:val="21"/>
                    </w:rPr>
                  </w:pPr>
                </w:p>
              </w:tc>
              <w:tc>
                <w:tcPr>
                  <w:tcW w:w="625" w:type="pct"/>
                  <w:noWrap w:val="0"/>
                  <w:vAlign w:val="center"/>
                </w:tcPr>
                <w:p w14:paraId="365DA625">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陈家庄</w:t>
                  </w:r>
                </w:p>
              </w:tc>
              <w:tc>
                <w:tcPr>
                  <w:tcW w:w="501" w:type="pct"/>
                  <w:noWrap w:val="0"/>
                  <w:vAlign w:val="center"/>
                </w:tcPr>
                <w:p w14:paraId="5FA2A531">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119.581341</w:t>
                  </w:r>
                </w:p>
              </w:tc>
              <w:tc>
                <w:tcPr>
                  <w:tcW w:w="520" w:type="pct"/>
                  <w:noWrap w:val="0"/>
                  <w:vAlign w:val="center"/>
                </w:tcPr>
                <w:p w14:paraId="388E6A33">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31.769616</w:t>
                  </w:r>
                </w:p>
              </w:tc>
              <w:tc>
                <w:tcPr>
                  <w:tcW w:w="785" w:type="pct"/>
                  <w:noWrap w:val="0"/>
                  <w:vAlign w:val="center"/>
                </w:tcPr>
                <w:p w14:paraId="40A65335">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陈家庄</w:t>
                  </w:r>
                </w:p>
              </w:tc>
              <w:tc>
                <w:tcPr>
                  <w:tcW w:w="565" w:type="pct"/>
                  <w:noWrap w:val="0"/>
                  <w:vAlign w:val="top"/>
                </w:tcPr>
                <w:p w14:paraId="009E607D">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1700（范围内200）</w:t>
                  </w:r>
                </w:p>
              </w:tc>
              <w:tc>
                <w:tcPr>
                  <w:tcW w:w="544" w:type="pct"/>
                  <w:noWrap w:val="0"/>
                  <w:vAlign w:val="center"/>
                </w:tcPr>
                <w:p w14:paraId="2E4C6A9D">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374" w:type="pct"/>
                  <w:noWrap w:val="0"/>
                  <w:vAlign w:val="center"/>
                </w:tcPr>
                <w:p w14:paraId="1B941A11">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w:t>
                  </w:r>
                </w:p>
              </w:tc>
              <w:tc>
                <w:tcPr>
                  <w:tcW w:w="354" w:type="pct"/>
                  <w:noWrap w:val="0"/>
                  <w:vAlign w:val="center"/>
                </w:tcPr>
                <w:p w14:paraId="2C90DAD6">
                  <w:pPr>
                    <w:pStyle w:val="88"/>
                    <w:spacing w:line="300" w:lineRule="exact"/>
                    <w:rPr>
                      <w:rFonts w:hint="default" w:ascii="Times New Roman" w:hAnsi="Times New Roman" w:cs="Times New Roman"/>
                      <w:color w:val="FF0000"/>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NE</w:t>
                  </w:r>
                </w:p>
              </w:tc>
              <w:tc>
                <w:tcPr>
                  <w:tcW w:w="411" w:type="pct"/>
                  <w:noWrap w:val="0"/>
                  <w:vAlign w:val="center"/>
                </w:tcPr>
                <w:p w14:paraId="569765E3">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433</w:t>
                  </w:r>
                </w:p>
              </w:tc>
            </w:tr>
            <w:tr w14:paraId="3B5094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318" w:type="pct"/>
                  <w:vMerge w:val="continue"/>
                  <w:noWrap w:val="0"/>
                  <w:vAlign w:val="center"/>
                </w:tcPr>
                <w:p w14:paraId="4B1A2415">
                  <w:pPr>
                    <w:widowControl/>
                    <w:spacing w:line="300" w:lineRule="exact"/>
                    <w:jc w:val="center"/>
                    <w:rPr>
                      <w:color w:val="auto"/>
                      <w:sz w:val="21"/>
                      <w:szCs w:val="21"/>
                    </w:rPr>
                  </w:pPr>
                </w:p>
              </w:tc>
              <w:tc>
                <w:tcPr>
                  <w:tcW w:w="625" w:type="pct"/>
                  <w:noWrap w:val="0"/>
                  <w:vAlign w:val="center"/>
                </w:tcPr>
                <w:p w14:paraId="35B4E3E3">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宋庄</w:t>
                  </w:r>
                </w:p>
              </w:tc>
              <w:tc>
                <w:tcPr>
                  <w:tcW w:w="501" w:type="pct"/>
                  <w:noWrap w:val="0"/>
                  <w:vAlign w:val="center"/>
                </w:tcPr>
                <w:p w14:paraId="37288433">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119.573166</w:t>
                  </w:r>
                </w:p>
              </w:tc>
              <w:tc>
                <w:tcPr>
                  <w:tcW w:w="520" w:type="pct"/>
                  <w:noWrap w:val="0"/>
                  <w:vAlign w:val="center"/>
                </w:tcPr>
                <w:p w14:paraId="2538E4D0">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31.769616</w:t>
                  </w:r>
                </w:p>
              </w:tc>
              <w:tc>
                <w:tcPr>
                  <w:tcW w:w="785" w:type="pct"/>
                  <w:noWrap w:val="0"/>
                  <w:vAlign w:val="center"/>
                </w:tcPr>
                <w:p w14:paraId="2AF9305C">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宋庄</w:t>
                  </w:r>
                </w:p>
              </w:tc>
              <w:tc>
                <w:tcPr>
                  <w:tcW w:w="565" w:type="pct"/>
                  <w:noWrap w:val="0"/>
                  <w:vAlign w:val="top"/>
                </w:tcPr>
                <w:p w14:paraId="76EA0793">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2500（范围内1200）</w:t>
                  </w:r>
                </w:p>
              </w:tc>
              <w:tc>
                <w:tcPr>
                  <w:tcW w:w="544" w:type="pct"/>
                  <w:noWrap w:val="0"/>
                  <w:vAlign w:val="center"/>
                </w:tcPr>
                <w:p w14:paraId="4A681D38">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374" w:type="pct"/>
                  <w:noWrap w:val="0"/>
                  <w:vAlign w:val="center"/>
                </w:tcPr>
                <w:p w14:paraId="2E7CD074">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w:t>
                  </w:r>
                </w:p>
              </w:tc>
              <w:tc>
                <w:tcPr>
                  <w:tcW w:w="354" w:type="pct"/>
                  <w:noWrap w:val="0"/>
                  <w:vAlign w:val="center"/>
                </w:tcPr>
                <w:p w14:paraId="54EDA930">
                  <w:pPr>
                    <w:pStyle w:val="88"/>
                    <w:spacing w:line="300" w:lineRule="exact"/>
                    <w:rPr>
                      <w:rFonts w:hint="default" w:ascii="Times New Roman" w:hAnsi="Times New Roman" w:cs="Times New Roman"/>
                      <w:color w:val="FF0000"/>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NW</w:t>
                  </w:r>
                </w:p>
              </w:tc>
              <w:tc>
                <w:tcPr>
                  <w:tcW w:w="411" w:type="pct"/>
                  <w:noWrap w:val="0"/>
                  <w:vAlign w:val="center"/>
                </w:tcPr>
                <w:p w14:paraId="50CF4632">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356</w:t>
                  </w:r>
                </w:p>
              </w:tc>
            </w:tr>
            <w:tr w14:paraId="4ADF31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8" w:type="pct"/>
                  <w:vMerge w:val="continue"/>
                  <w:noWrap w:val="0"/>
                  <w:vAlign w:val="center"/>
                </w:tcPr>
                <w:p w14:paraId="2700FC14">
                  <w:pPr>
                    <w:widowControl/>
                    <w:spacing w:line="300" w:lineRule="exact"/>
                    <w:jc w:val="center"/>
                    <w:rPr>
                      <w:color w:val="auto"/>
                      <w:sz w:val="21"/>
                      <w:szCs w:val="21"/>
                    </w:rPr>
                  </w:pPr>
                </w:p>
              </w:tc>
              <w:tc>
                <w:tcPr>
                  <w:tcW w:w="625" w:type="pct"/>
                  <w:noWrap w:val="0"/>
                  <w:vAlign w:val="center"/>
                </w:tcPr>
                <w:p w14:paraId="2D6B406D">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凤凰城</w:t>
                  </w:r>
                </w:p>
              </w:tc>
              <w:tc>
                <w:tcPr>
                  <w:tcW w:w="501" w:type="pct"/>
                  <w:noWrap w:val="0"/>
                  <w:vAlign w:val="center"/>
                </w:tcPr>
                <w:p w14:paraId="30148E02">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119.570839 </w:t>
                  </w:r>
                </w:p>
              </w:tc>
              <w:tc>
                <w:tcPr>
                  <w:tcW w:w="520" w:type="pct"/>
                  <w:noWrap w:val="0"/>
                  <w:vAlign w:val="center"/>
                </w:tcPr>
                <w:p w14:paraId="79E96CCC">
                  <w:pPr>
                    <w:pStyle w:val="88"/>
                    <w:spacing w:line="30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31.761669</w:t>
                  </w:r>
                </w:p>
              </w:tc>
              <w:tc>
                <w:tcPr>
                  <w:tcW w:w="785" w:type="pct"/>
                  <w:noWrap w:val="0"/>
                  <w:vAlign w:val="center"/>
                </w:tcPr>
                <w:p w14:paraId="4EE87179">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凤凰城</w:t>
                  </w:r>
                </w:p>
              </w:tc>
              <w:tc>
                <w:tcPr>
                  <w:tcW w:w="565" w:type="pct"/>
                  <w:noWrap w:val="0"/>
                  <w:vAlign w:val="top"/>
                </w:tcPr>
                <w:p w14:paraId="1AB6AD40">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1500（范围内100）</w:t>
                  </w:r>
                </w:p>
              </w:tc>
              <w:tc>
                <w:tcPr>
                  <w:tcW w:w="1365" w:type="dxa"/>
                  <w:noWrap w:val="0"/>
                  <w:vAlign w:val="center"/>
                </w:tcPr>
                <w:p w14:paraId="25B4F7BD">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938" w:type="dxa"/>
                  <w:noWrap w:val="0"/>
                  <w:vAlign w:val="center"/>
                </w:tcPr>
                <w:p w14:paraId="1FF7D84C">
                  <w:pPr>
                    <w:pStyle w:val="88"/>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w:t>
                  </w:r>
                </w:p>
              </w:tc>
              <w:tc>
                <w:tcPr>
                  <w:tcW w:w="354" w:type="pct"/>
                  <w:noWrap w:val="0"/>
                  <w:vAlign w:val="center"/>
                </w:tcPr>
                <w:p w14:paraId="6FA1F1E3">
                  <w:pPr>
                    <w:pStyle w:val="88"/>
                    <w:spacing w:line="300" w:lineRule="exact"/>
                    <w:rPr>
                      <w:rFonts w:hint="default" w:ascii="Times New Roman" w:hAnsi="Times New Roman" w:cs="Times New Roman"/>
                      <w:color w:val="FF0000"/>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SE</w:t>
                  </w:r>
                </w:p>
              </w:tc>
              <w:tc>
                <w:tcPr>
                  <w:tcW w:w="411" w:type="pct"/>
                  <w:noWrap w:val="0"/>
                  <w:vAlign w:val="center"/>
                </w:tcPr>
                <w:p w14:paraId="12A1EC27">
                  <w:pPr>
                    <w:pStyle w:val="88"/>
                    <w:spacing w:line="3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462</w:t>
                  </w:r>
                </w:p>
              </w:tc>
            </w:tr>
          </w:tbl>
          <w:p w14:paraId="432C0134">
            <w:pPr>
              <w:rPr>
                <w:b/>
                <w:color w:val="auto"/>
                <w:sz w:val="24"/>
                <w:szCs w:val="24"/>
              </w:rPr>
            </w:pPr>
            <w:r>
              <w:rPr>
                <w:rFonts w:hint="eastAsia"/>
                <w:b/>
                <w:color w:val="auto"/>
                <w:sz w:val="24"/>
                <w:szCs w:val="24"/>
              </w:rPr>
              <w:t>注：</w:t>
            </w:r>
            <w:r>
              <w:rPr>
                <w:rFonts w:hint="eastAsia"/>
                <w:color w:val="auto"/>
                <w:sz w:val="24"/>
                <w:szCs w:val="24"/>
              </w:rPr>
              <w:t>环境空气保护目标坐标取距离厂址最近点位位置。</w:t>
            </w:r>
          </w:p>
          <w:p w14:paraId="3D3E0E07">
            <w:pPr>
              <w:spacing w:line="400" w:lineRule="exact"/>
              <w:jc w:val="center"/>
              <w:rPr>
                <w:b/>
                <w:color w:val="auto"/>
                <w:sz w:val="21"/>
                <w:szCs w:val="21"/>
              </w:rPr>
            </w:pPr>
            <w:r>
              <w:rPr>
                <w:b/>
                <w:color w:val="auto"/>
                <w:sz w:val="21"/>
                <w:szCs w:val="21"/>
              </w:rPr>
              <w:t>表3-</w:t>
            </w:r>
            <w:r>
              <w:rPr>
                <w:rFonts w:hint="eastAsia"/>
                <w:b/>
                <w:color w:val="auto"/>
                <w:sz w:val="21"/>
                <w:szCs w:val="21"/>
                <w:lang w:val="en-US" w:eastAsia="zh-CN"/>
              </w:rPr>
              <w:t>7</w:t>
            </w:r>
            <w:r>
              <w:rPr>
                <w:b/>
                <w:color w:val="auto"/>
                <w:sz w:val="21"/>
                <w:szCs w:val="21"/>
              </w:rPr>
              <w:t>声环境保护目标</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02"/>
              <w:gridCol w:w="2359"/>
              <w:gridCol w:w="707"/>
              <w:gridCol w:w="707"/>
              <w:gridCol w:w="709"/>
              <w:gridCol w:w="2146"/>
              <w:gridCol w:w="812"/>
              <w:gridCol w:w="1614"/>
              <w:gridCol w:w="2777"/>
            </w:tblGrid>
            <w:tr w14:paraId="02A2B8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0" w:type="pct"/>
                  <w:vMerge w:val="restart"/>
                  <w:noWrap w:val="0"/>
                  <w:vAlign w:val="center"/>
                </w:tcPr>
                <w:p w14:paraId="264298A5">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序号</w:t>
                  </w:r>
                </w:p>
              </w:tc>
              <w:tc>
                <w:tcPr>
                  <w:tcW w:w="941" w:type="pct"/>
                  <w:vMerge w:val="restart"/>
                  <w:noWrap w:val="0"/>
                  <w:vAlign w:val="center"/>
                </w:tcPr>
                <w:p w14:paraId="7B956ED7">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声环境保护目标名称</w:t>
                  </w:r>
                </w:p>
              </w:tc>
              <w:tc>
                <w:tcPr>
                  <w:tcW w:w="847" w:type="pct"/>
                  <w:gridSpan w:val="3"/>
                  <w:noWrap w:val="0"/>
                  <w:vAlign w:val="center"/>
                </w:tcPr>
                <w:p w14:paraId="6E0947FD">
                  <w:pPr>
                    <w:pStyle w:val="56"/>
                    <w:spacing w:before="0" w:beforeLines="0" w:line="300" w:lineRule="exact"/>
                    <w:ind w:firstLine="0" w:firstLineChars="0"/>
                    <w:jc w:val="center"/>
                    <w:rPr>
                      <w:b/>
                      <w:color w:val="auto"/>
                      <w:sz w:val="21"/>
                      <w:szCs w:val="21"/>
                      <w:lang w:val="en-US" w:eastAsia="zh-CN"/>
                    </w:rPr>
                  </w:pPr>
                  <w:r>
                    <w:rPr>
                      <w:b/>
                      <w:color w:val="auto"/>
                      <w:spacing w:val="-11"/>
                      <w:sz w:val="21"/>
                      <w:szCs w:val="21"/>
                      <w:lang w:val="en-US" w:eastAsia="zh-CN"/>
                    </w:rPr>
                    <w:t>空间相对位置/m</w:t>
                  </w:r>
                </w:p>
              </w:tc>
              <w:tc>
                <w:tcPr>
                  <w:tcW w:w="856" w:type="pct"/>
                  <w:vMerge w:val="restart"/>
                  <w:noWrap w:val="0"/>
                  <w:vAlign w:val="center"/>
                </w:tcPr>
                <w:p w14:paraId="027120B4">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距厂界最近距离/m</w:t>
                  </w:r>
                </w:p>
              </w:tc>
              <w:tc>
                <w:tcPr>
                  <w:tcW w:w="324" w:type="pct"/>
                  <w:vMerge w:val="restart"/>
                  <w:noWrap w:val="0"/>
                  <w:vAlign w:val="center"/>
                </w:tcPr>
                <w:p w14:paraId="60074A0B">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方位</w:t>
                  </w:r>
                </w:p>
              </w:tc>
              <w:tc>
                <w:tcPr>
                  <w:tcW w:w="644" w:type="pct"/>
                  <w:vMerge w:val="restart"/>
                  <w:noWrap w:val="0"/>
                  <w:vAlign w:val="center"/>
                </w:tcPr>
                <w:p w14:paraId="04EF8F83">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执行标准/</w:t>
                  </w:r>
                </w:p>
                <w:p w14:paraId="0E07CF53">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功能区类别</w:t>
                  </w:r>
                </w:p>
              </w:tc>
              <w:tc>
                <w:tcPr>
                  <w:tcW w:w="1107" w:type="pct"/>
                  <w:vMerge w:val="restart"/>
                  <w:noWrap w:val="0"/>
                  <w:vAlign w:val="center"/>
                </w:tcPr>
                <w:p w14:paraId="6B2EDAF4">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声环境保护目标情况说明</w:t>
                  </w:r>
                </w:p>
              </w:tc>
            </w:tr>
            <w:tr w14:paraId="23B499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87" w:hRule="atLeast"/>
              </w:trPr>
              <w:tc>
                <w:tcPr>
                  <w:tcW w:w="280" w:type="pct"/>
                  <w:vMerge w:val="continue"/>
                  <w:noWrap w:val="0"/>
                  <w:vAlign w:val="center"/>
                </w:tcPr>
                <w:p w14:paraId="4DF2C6F9">
                  <w:pPr>
                    <w:pStyle w:val="56"/>
                    <w:spacing w:before="0" w:beforeLines="0" w:line="300" w:lineRule="exact"/>
                    <w:ind w:firstLine="0" w:firstLineChars="0"/>
                    <w:jc w:val="center"/>
                    <w:rPr>
                      <w:b/>
                      <w:color w:val="auto"/>
                      <w:sz w:val="21"/>
                      <w:szCs w:val="21"/>
                      <w:lang w:val="en-US" w:eastAsia="zh-CN"/>
                    </w:rPr>
                  </w:pPr>
                </w:p>
              </w:tc>
              <w:tc>
                <w:tcPr>
                  <w:tcW w:w="941" w:type="pct"/>
                  <w:vMerge w:val="continue"/>
                  <w:noWrap w:val="0"/>
                  <w:vAlign w:val="center"/>
                </w:tcPr>
                <w:p w14:paraId="219D0492">
                  <w:pPr>
                    <w:pStyle w:val="56"/>
                    <w:spacing w:before="0" w:beforeLines="0" w:line="300" w:lineRule="exact"/>
                    <w:ind w:firstLine="0" w:firstLineChars="0"/>
                    <w:jc w:val="center"/>
                    <w:rPr>
                      <w:b/>
                      <w:color w:val="auto"/>
                      <w:sz w:val="21"/>
                      <w:szCs w:val="21"/>
                      <w:lang w:val="en-US" w:eastAsia="zh-CN"/>
                    </w:rPr>
                  </w:pPr>
                </w:p>
              </w:tc>
              <w:tc>
                <w:tcPr>
                  <w:tcW w:w="282" w:type="pct"/>
                  <w:noWrap w:val="0"/>
                  <w:vAlign w:val="center"/>
                </w:tcPr>
                <w:p w14:paraId="48C3E67F">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X</w:t>
                  </w:r>
                </w:p>
              </w:tc>
              <w:tc>
                <w:tcPr>
                  <w:tcW w:w="282" w:type="pct"/>
                  <w:noWrap w:val="0"/>
                  <w:vAlign w:val="center"/>
                </w:tcPr>
                <w:p w14:paraId="62292656">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Y</w:t>
                  </w:r>
                </w:p>
              </w:tc>
              <w:tc>
                <w:tcPr>
                  <w:tcW w:w="282" w:type="pct"/>
                  <w:noWrap w:val="0"/>
                  <w:vAlign w:val="center"/>
                </w:tcPr>
                <w:p w14:paraId="0389077A">
                  <w:pPr>
                    <w:pStyle w:val="56"/>
                    <w:spacing w:before="0" w:beforeLines="0" w:line="300" w:lineRule="exact"/>
                    <w:ind w:firstLine="0" w:firstLineChars="0"/>
                    <w:jc w:val="center"/>
                    <w:rPr>
                      <w:b/>
                      <w:color w:val="auto"/>
                      <w:sz w:val="21"/>
                      <w:szCs w:val="21"/>
                      <w:lang w:val="en-US" w:eastAsia="zh-CN"/>
                    </w:rPr>
                  </w:pPr>
                  <w:r>
                    <w:rPr>
                      <w:b/>
                      <w:color w:val="auto"/>
                      <w:sz w:val="21"/>
                      <w:szCs w:val="21"/>
                      <w:lang w:val="en-US" w:eastAsia="zh-CN"/>
                    </w:rPr>
                    <w:t>Z</w:t>
                  </w:r>
                </w:p>
              </w:tc>
              <w:tc>
                <w:tcPr>
                  <w:tcW w:w="856" w:type="pct"/>
                  <w:vMerge w:val="continue"/>
                  <w:noWrap w:val="0"/>
                  <w:vAlign w:val="center"/>
                </w:tcPr>
                <w:p w14:paraId="50E82EF9">
                  <w:pPr>
                    <w:pStyle w:val="56"/>
                    <w:spacing w:before="0" w:beforeLines="0" w:line="300" w:lineRule="exact"/>
                    <w:ind w:firstLine="0" w:firstLineChars="0"/>
                    <w:jc w:val="center"/>
                    <w:rPr>
                      <w:b/>
                      <w:color w:val="auto"/>
                      <w:sz w:val="21"/>
                      <w:szCs w:val="21"/>
                      <w:lang w:val="en-US" w:eastAsia="zh-CN"/>
                    </w:rPr>
                  </w:pPr>
                </w:p>
              </w:tc>
              <w:tc>
                <w:tcPr>
                  <w:tcW w:w="324" w:type="pct"/>
                  <w:vMerge w:val="continue"/>
                  <w:noWrap w:val="0"/>
                  <w:vAlign w:val="center"/>
                </w:tcPr>
                <w:p w14:paraId="7D6C2826">
                  <w:pPr>
                    <w:pStyle w:val="56"/>
                    <w:spacing w:before="0" w:beforeLines="0" w:line="300" w:lineRule="exact"/>
                    <w:ind w:firstLine="0" w:firstLineChars="0"/>
                    <w:jc w:val="center"/>
                    <w:rPr>
                      <w:b/>
                      <w:color w:val="auto"/>
                      <w:sz w:val="21"/>
                      <w:szCs w:val="21"/>
                      <w:lang w:val="en-US" w:eastAsia="zh-CN"/>
                    </w:rPr>
                  </w:pPr>
                </w:p>
              </w:tc>
              <w:tc>
                <w:tcPr>
                  <w:tcW w:w="644" w:type="pct"/>
                  <w:vMerge w:val="continue"/>
                  <w:noWrap w:val="0"/>
                  <w:vAlign w:val="center"/>
                </w:tcPr>
                <w:p w14:paraId="1075EDDE">
                  <w:pPr>
                    <w:pStyle w:val="56"/>
                    <w:spacing w:before="0" w:beforeLines="0" w:line="300" w:lineRule="exact"/>
                    <w:ind w:firstLine="0" w:firstLineChars="0"/>
                    <w:jc w:val="center"/>
                    <w:rPr>
                      <w:b/>
                      <w:color w:val="auto"/>
                      <w:sz w:val="21"/>
                      <w:szCs w:val="21"/>
                      <w:lang w:val="en-US" w:eastAsia="zh-CN"/>
                    </w:rPr>
                  </w:pPr>
                </w:p>
              </w:tc>
              <w:tc>
                <w:tcPr>
                  <w:tcW w:w="1107" w:type="pct"/>
                  <w:vMerge w:val="continue"/>
                  <w:noWrap w:val="0"/>
                  <w:vAlign w:val="center"/>
                </w:tcPr>
                <w:p w14:paraId="7789A196">
                  <w:pPr>
                    <w:pStyle w:val="56"/>
                    <w:spacing w:before="0" w:beforeLines="0" w:line="300" w:lineRule="exact"/>
                    <w:ind w:firstLine="0" w:firstLineChars="0"/>
                    <w:jc w:val="center"/>
                    <w:rPr>
                      <w:b/>
                      <w:color w:val="auto"/>
                      <w:sz w:val="21"/>
                      <w:szCs w:val="21"/>
                      <w:lang w:val="en-US" w:eastAsia="zh-CN"/>
                    </w:rPr>
                  </w:pPr>
                </w:p>
              </w:tc>
            </w:tr>
            <w:tr w14:paraId="2C09A5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0" w:type="pct"/>
                  <w:noWrap w:val="0"/>
                  <w:vAlign w:val="center"/>
                </w:tcPr>
                <w:p w14:paraId="700D5BDB">
                  <w:pPr>
                    <w:pStyle w:val="56"/>
                    <w:spacing w:before="0" w:beforeLines="0" w:line="300" w:lineRule="exact"/>
                    <w:ind w:firstLine="0" w:firstLineChars="0"/>
                    <w:jc w:val="center"/>
                    <w:rPr>
                      <w:bCs/>
                      <w:color w:val="auto"/>
                      <w:sz w:val="21"/>
                      <w:szCs w:val="21"/>
                      <w:lang w:val="en-US" w:eastAsia="zh-CN"/>
                    </w:rPr>
                  </w:pPr>
                  <w:r>
                    <w:rPr>
                      <w:bCs/>
                      <w:color w:val="auto"/>
                      <w:sz w:val="21"/>
                      <w:szCs w:val="21"/>
                      <w:lang w:val="en-US" w:eastAsia="zh-CN"/>
                    </w:rPr>
                    <w:t>1</w:t>
                  </w:r>
                </w:p>
              </w:tc>
              <w:tc>
                <w:tcPr>
                  <w:tcW w:w="4719" w:type="pct"/>
                  <w:gridSpan w:val="8"/>
                  <w:noWrap w:val="0"/>
                  <w:vAlign w:val="center"/>
                </w:tcPr>
                <w:p w14:paraId="10AFE043">
                  <w:pPr>
                    <w:pStyle w:val="56"/>
                    <w:spacing w:before="0" w:beforeLines="0" w:line="300" w:lineRule="exact"/>
                    <w:ind w:firstLine="0" w:firstLineChars="0"/>
                    <w:jc w:val="center"/>
                    <w:rPr>
                      <w:bCs/>
                      <w:color w:val="auto"/>
                      <w:sz w:val="21"/>
                      <w:szCs w:val="21"/>
                      <w:lang w:val="en-US" w:eastAsia="zh-CN"/>
                    </w:rPr>
                  </w:pPr>
                  <w:r>
                    <w:rPr>
                      <w:color w:val="auto"/>
                      <w:sz w:val="21"/>
                      <w:szCs w:val="21"/>
                      <w:lang w:val="en-US" w:eastAsia="zh-CN"/>
                    </w:rPr>
                    <w:t>本项目厂界外50m范围内无声环境保护目标</w:t>
                  </w:r>
                </w:p>
              </w:tc>
            </w:tr>
          </w:tbl>
          <w:p w14:paraId="4808A05A">
            <w:pPr>
              <w:spacing w:line="400" w:lineRule="exact"/>
              <w:jc w:val="center"/>
              <w:rPr>
                <w:b/>
                <w:color w:val="auto"/>
                <w:sz w:val="21"/>
                <w:szCs w:val="21"/>
              </w:rPr>
            </w:pPr>
            <w:r>
              <w:rPr>
                <w:b/>
                <w:color w:val="auto"/>
                <w:sz w:val="21"/>
                <w:szCs w:val="21"/>
              </w:rPr>
              <w:t>表3-</w:t>
            </w:r>
            <w:r>
              <w:rPr>
                <w:rFonts w:hint="eastAsia"/>
                <w:b/>
                <w:color w:val="auto"/>
                <w:sz w:val="21"/>
                <w:szCs w:val="21"/>
                <w:lang w:val="en-US" w:eastAsia="zh-CN"/>
              </w:rPr>
              <w:t>8</w:t>
            </w:r>
            <w:r>
              <w:rPr>
                <w:b/>
                <w:color w:val="auto"/>
                <w:sz w:val="21"/>
                <w:szCs w:val="21"/>
              </w:rPr>
              <w:t>其他环境要素环境保护目标</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75"/>
              <w:gridCol w:w="3331"/>
              <w:gridCol w:w="1031"/>
              <w:gridCol w:w="3429"/>
              <w:gridCol w:w="2972"/>
            </w:tblGrid>
            <w:tr w14:paraId="68D09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4" w:hRule="atLeast"/>
                <w:tblHeader/>
                <w:jc w:val="center"/>
              </w:trPr>
              <w:tc>
                <w:tcPr>
                  <w:tcW w:w="708" w:type="pct"/>
                  <w:noWrap w:val="0"/>
                  <w:tcMar>
                    <w:left w:w="28" w:type="dxa"/>
                    <w:right w:w="28" w:type="dxa"/>
                  </w:tcMar>
                  <w:vAlign w:val="center"/>
                </w:tcPr>
                <w:p w14:paraId="3A4EBCE7">
                  <w:pPr>
                    <w:tabs>
                      <w:tab w:val="left" w:pos="4500"/>
                    </w:tabs>
                    <w:spacing w:line="300" w:lineRule="exact"/>
                    <w:jc w:val="center"/>
                    <w:rPr>
                      <w:b/>
                      <w:bCs/>
                      <w:color w:val="auto"/>
                      <w:sz w:val="21"/>
                      <w:szCs w:val="21"/>
                    </w:rPr>
                  </w:pPr>
                  <w:r>
                    <w:rPr>
                      <w:b/>
                      <w:bCs/>
                      <w:color w:val="auto"/>
                      <w:sz w:val="21"/>
                      <w:szCs w:val="21"/>
                    </w:rPr>
                    <w:t>环境要素</w:t>
                  </w:r>
                </w:p>
              </w:tc>
              <w:tc>
                <w:tcPr>
                  <w:tcW w:w="1328" w:type="pct"/>
                  <w:noWrap w:val="0"/>
                  <w:tcMar>
                    <w:left w:w="28" w:type="dxa"/>
                    <w:right w:w="28" w:type="dxa"/>
                  </w:tcMar>
                  <w:vAlign w:val="center"/>
                </w:tcPr>
                <w:p w14:paraId="212433D5">
                  <w:pPr>
                    <w:tabs>
                      <w:tab w:val="left" w:pos="4500"/>
                    </w:tabs>
                    <w:spacing w:line="300" w:lineRule="exact"/>
                    <w:jc w:val="center"/>
                    <w:rPr>
                      <w:b/>
                      <w:bCs/>
                      <w:color w:val="auto"/>
                      <w:sz w:val="21"/>
                      <w:szCs w:val="21"/>
                    </w:rPr>
                  </w:pPr>
                  <w:r>
                    <w:rPr>
                      <w:b/>
                      <w:bCs/>
                      <w:color w:val="auto"/>
                      <w:sz w:val="21"/>
                      <w:szCs w:val="21"/>
                    </w:rPr>
                    <w:t>环境保护对象</w:t>
                  </w:r>
                </w:p>
              </w:tc>
              <w:tc>
                <w:tcPr>
                  <w:tcW w:w="411" w:type="pct"/>
                  <w:noWrap w:val="0"/>
                  <w:tcMar>
                    <w:left w:w="28" w:type="dxa"/>
                    <w:right w:w="28" w:type="dxa"/>
                  </w:tcMar>
                  <w:vAlign w:val="center"/>
                </w:tcPr>
                <w:p w14:paraId="55405051">
                  <w:pPr>
                    <w:tabs>
                      <w:tab w:val="left" w:pos="4500"/>
                    </w:tabs>
                    <w:spacing w:line="300" w:lineRule="exact"/>
                    <w:jc w:val="center"/>
                    <w:rPr>
                      <w:b/>
                      <w:bCs/>
                      <w:color w:val="auto"/>
                      <w:sz w:val="21"/>
                      <w:szCs w:val="21"/>
                    </w:rPr>
                  </w:pPr>
                  <w:r>
                    <w:rPr>
                      <w:b/>
                      <w:bCs/>
                      <w:color w:val="auto"/>
                      <w:sz w:val="21"/>
                      <w:szCs w:val="21"/>
                    </w:rPr>
                    <w:t>方位</w:t>
                  </w:r>
                </w:p>
              </w:tc>
              <w:tc>
                <w:tcPr>
                  <w:tcW w:w="1367" w:type="pct"/>
                  <w:noWrap w:val="0"/>
                  <w:tcMar>
                    <w:left w:w="28" w:type="dxa"/>
                    <w:right w:w="28" w:type="dxa"/>
                  </w:tcMar>
                  <w:vAlign w:val="center"/>
                </w:tcPr>
                <w:p w14:paraId="255E2688">
                  <w:pPr>
                    <w:tabs>
                      <w:tab w:val="left" w:pos="4500"/>
                    </w:tabs>
                    <w:spacing w:line="300" w:lineRule="exact"/>
                    <w:jc w:val="center"/>
                    <w:rPr>
                      <w:b/>
                      <w:bCs/>
                      <w:color w:val="auto"/>
                      <w:sz w:val="21"/>
                      <w:szCs w:val="21"/>
                    </w:rPr>
                  </w:pPr>
                  <w:r>
                    <w:rPr>
                      <w:b/>
                      <w:bCs/>
                      <w:color w:val="auto"/>
                      <w:sz w:val="21"/>
                      <w:szCs w:val="21"/>
                    </w:rPr>
                    <w:t>距离（m）</w:t>
                  </w:r>
                </w:p>
              </w:tc>
              <w:tc>
                <w:tcPr>
                  <w:tcW w:w="1184" w:type="pct"/>
                  <w:noWrap w:val="0"/>
                  <w:tcMar>
                    <w:left w:w="28" w:type="dxa"/>
                    <w:right w:w="28" w:type="dxa"/>
                  </w:tcMar>
                  <w:vAlign w:val="center"/>
                </w:tcPr>
                <w:p w14:paraId="331E9049">
                  <w:pPr>
                    <w:tabs>
                      <w:tab w:val="left" w:pos="4500"/>
                    </w:tabs>
                    <w:spacing w:line="300" w:lineRule="exact"/>
                    <w:jc w:val="center"/>
                    <w:rPr>
                      <w:b/>
                      <w:bCs/>
                      <w:color w:val="auto"/>
                      <w:sz w:val="21"/>
                      <w:szCs w:val="21"/>
                    </w:rPr>
                  </w:pPr>
                  <w:r>
                    <w:rPr>
                      <w:b/>
                      <w:bCs/>
                      <w:color w:val="auto"/>
                      <w:sz w:val="21"/>
                      <w:szCs w:val="21"/>
                    </w:rPr>
                    <w:t>环境保护目标（环境功能要求）</w:t>
                  </w:r>
                </w:p>
              </w:tc>
            </w:tr>
            <w:tr w14:paraId="3EE29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4" w:hRule="atLeast"/>
                <w:tblHeader/>
                <w:jc w:val="center"/>
              </w:trPr>
              <w:tc>
                <w:tcPr>
                  <w:tcW w:w="708" w:type="pct"/>
                  <w:noWrap w:val="0"/>
                  <w:tcMar>
                    <w:left w:w="28" w:type="dxa"/>
                    <w:right w:w="28" w:type="dxa"/>
                  </w:tcMar>
                  <w:vAlign w:val="center"/>
                </w:tcPr>
                <w:p w14:paraId="259995C6">
                  <w:pPr>
                    <w:tabs>
                      <w:tab w:val="left" w:pos="4500"/>
                    </w:tabs>
                    <w:spacing w:line="300" w:lineRule="exact"/>
                    <w:jc w:val="center"/>
                    <w:rPr>
                      <w:bCs/>
                      <w:color w:val="auto"/>
                      <w:sz w:val="21"/>
                      <w:szCs w:val="21"/>
                    </w:rPr>
                  </w:pPr>
                  <w:r>
                    <w:rPr>
                      <w:bCs/>
                      <w:color w:val="auto"/>
                      <w:sz w:val="21"/>
                      <w:szCs w:val="21"/>
                    </w:rPr>
                    <w:t>地下水环境</w:t>
                  </w:r>
                </w:p>
              </w:tc>
              <w:tc>
                <w:tcPr>
                  <w:tcW w:w="4291" w:type="pct"/>
                  <w:gridSpan w:val="4"/>
                  <w:noWrap w:val="0"/>
                  <w:tcMar>
                    <w:left w:w="28" w:type="dxa"/>
                    <w:right w:w="28" w:type="dxa"/>
                  </w:tcMar>
                  <w:vAlign w:val="center"/>
                </w:tcPr>
                <w:p w14:paraId="01A66791">
                  <w:pPr>
                    <w:tabs>
                      <w:tab w:val="left" w:pos="4500"/>
                    </w:tabs>
                    <w:spacing w:line="300" w:lineRule="exact"/>
                    <w:jc w:val="center"/>
                    <w:rPr>
                      <w:color w:val="auto"/>
                      <w:sz w:val="21"/>
                      <w:szCs w:val="21"/>
                    </w:rPr>
                  </w:pPr>
                  <w:r>
                    <w:rPr>
                      <w:color w:val="auto"/>
                      <w:sz w:val="21"/>
                      <w:szCs w:val="21"/>
                    </w:rPr>
                    <w:t>本项目厂界外500m范围内无地下水集中式饮用水水源和热水、矿泉水、温泉等特殊地下水资源</w:t>
                  </w:r>
                </w:p>
              </w:tc>
            </w:tr>
            <w:tr w14:paraId="238E9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708" w:type="pct"/>
                  <w:vMerge w:val="restart"/>
                  <w:noWrap w:val="0"/>
                  <w:tcMar>
                    <w:left w:w="28" w:type="dxa"/>
                    <w:right w:w="28" w:type="dxa"/>
                  </w:tcMar>
                  <w:vAlign w:val="center"/>
                </w:tcPr>
                <w:p w14:paraId="5B012651">
                  <w:pPr>
                    <w:tabs>
                      <w:tab w:val="left" w:pos="4500"/>
                    </w:tabs>
                    <w:spacing w:line="300" w:lineRule="exact"/>
                    <w:jc w:val="center"/>
                    <w:rPr>
                      <w:bCs/>
                      <w:color w:val="auto"/>
                      <w:sz w:val="21"/>
                      <w:szCs w:val="21"/>
                    </w:rPr>
                  </w:pPr>
                  <w:r>
                    <w:rPr>
                      <w:bCs/>
                      <w:color w:val="auto"/>
                      <w:sz w:val="21"/>
                      <w:szCs w:val="21"/>
                    </w:rPr>
                    <w:t>生态环境</w:t>
                  </w:r>
                </w:p>
              </w:tc>
              <w:tc>
                <w:tcPr>
                  <w:tcW w:w="1328" w:type="pct"/>
                  <w:noWrap w:val="0"/>
                  <w:tcMar>
                    <w:left w:w="28" w:type="dxa"/>
                    <w:right w:w="28" w:type="dxa"/>
                  </w:tcMar>
                  <w:vAlign w:val="center"/>
                </w:tcPr>
                <w:p w14:paraId="7459E781">
                  <w:pPr>
                    <w:pStyle w:val="63"/>
                    <w:spacing w:line="300" w:lineRule="exact"/>
                    <w:ind w:left="7" w:hanging="55"/>
                    <w:rPr>
                      <w:color w:val="auto"/>
                      <w:sz w:val="21"/>
                      <w:szCs w:val="21"/>
                    </w:rPr>
                  </w:pPr>
                  <w:r>
                    <w:rPr>
                      <w:rFonts w:hint="eastAsia"/>
                      <w:color w:val="auto"/>
                      <w:sz w:val="21"/>
                      <w:szCs w:val="21"/>
                    </w:rPr>
                    <w:t>钱资荡重要湿地</w:t>
                  </w:r>
                </w:p>
              </w:tc>
              <w:tc>
                <w:tcPr>
                  <w:tcW w:w="411" w:type="pct"/>
                  <w:noWrap w:val="0"/>
                  <w:tcMar>
                    <w:left w:w="28" w:type="dxa"/>
                    <w:right w:w="28" w:type="dxa"/>
                  </w:tcMar>
                  <w:vAlign w:val="center"/>
                </w:tcPr>
                <w:p w14:paraId="73917DDB">
                  <w:pPr>
                    <w:pStyle w:val="63"/>
                    <w:spacing w:line="300" w:lineRule="exact"/>
                    <w:ind w:left="7" w:hanging="55"/>
                    <w:rPr>
                      <w:rFonts w:hint="eastAsia" w:eastAsia="宋体"/>
                      <w:color w:val="FF0000"/>
                      <w:sz w:val="21"/>
                      <w:szCs w:val="21"/>
                      <w:lang w:eastAsia="zh-CN"/>
                    </w:rPr>
                  </w:pPr>
                  <w:r>
                    <w:rPr>
                      <w:rFonts w:hint="eastAsia"/>
                      <w:color w:val="000000" w:themeColor="text1"/>
                      <w:sz w:val="21"/>
                      <w:szCs w:val="21"/>
                      <w:lang w:val="en-US" w:eastAsia="zh-CN"/>
                      <w14:textFill>
                        <w14:solidFill>
                          <w14:schemeClr w14:val="tx1"/>
                        </w14:solidFill>
                      </w14:textFill>
                    </w:rPr>
                    <w:t>S</w:t>
                  </w:r>
                </w:p>
              </w:tc>
              <w:tc>
                <w:tcPr>
                  <w:tcW w:w="1367" w:type="pct"/>
                  <w:noWrap w:val="0"/>
                  <w:tcMar>
                    <w:left w:w="28" w:type="dxa"/>
                    <w:right w:w="28" w:type="dxa"/>
                  </w:tcMar>
                  <w:vAlign w:val="center"/>
                </w:tcPr>
                <w:p w14:paraId="41CF1FC1">
                  <w:pPr>
                    <w:pStyle w:val="63"/>
                    <w:spacing w:line="300" w:lineRule="exact"/>
                    <w:ind w:left="7" w:hanging="55"/>
                    <w:rPr>
                      <w:color w:val="auto"/>
                      <w:sz w:val="21"/>
                      <w:szCs w:val="21"/>
                    </w:rPr>
                  </w:pPr>
                  <w:r>
                    <w:rPr>
                      <w:rFonts w:hint="eastAsia"/>
                      <w:color w:val="auto"/>
                      <w:sz w:val="21"/>
                      <w:szCs w:val="21"/>
                      <w:lang w:val="en-US" w:eastAsia="zh-CN"/>
                    </w:rPr>
                    <w:t>5</w:t>
                  </w:r>
                  <w:r>
                    <w:rPr>
                      <w:rFonts w:hint="eastAsia"/>
                      <w:color w:val="auto"/>
                      <w:sz w:val="21"/>
                      <w:szCs w:val="21"/>
                    </w:rPr>
                    <w:t>500</w:t>
                  </w:r>
                  <w:r>
                    <w:rPr>
                      <w:color w:val="auto"/>
                      <w:sz w:val="21"/>
                      <w:szCs w:val="21"/>
                    </w:rPr>
                    <w:t>（生态空间管控区）</w:t>
                  </w:r>
                </w:p>
              </w:tc>
              <w:tc>
                <w:tcPr>
                  <w:tcW w:w="1184" w:type="pct"/>
                  <w:noWrap w:val="0"/>
                  <w:tcMar>
                    <w:left w:w="28" w:type="dxa"/>
                    <w:right w:w="28" w:type="dxa"/>
                  </w:tcMar>
                  <w:vAlign w:val="center"/>
                </w:tcPr>
                <w:p w14:paraId="74D8F0D2">
                  <w:pPr>
                    <w:pStyle w:val="63"/>
                    <w:spacing w:line="300" w:lineRule="exact"/>
                    <w:ind w:left="7" w:hanging="55"/>
                    <w:rPr>
                      <w:color w:val="auto"/>
                      <w:sz w:val="21"/>
                      <w:szCs w:val="21"/>
                    </w:rPr>
                  </w:pPr>
                  <w:r>
                    <w:rPr>
                      <w:color w:val="auto"/>
                      <w:sz w:val="21"/>
                      <w:szCs w:val="21"/>
                      <w:lang w:bidi="ar"/>
                    </w:rPr>
                    <w:t>湿地生态系统保护</w:t>
                  </w:r>
                </w:p>
              </w:tc>
            </w:tr>
            <w:tr w14:paraId="1A13C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708" w:type="pct"/>
                  <w:vMerge w:val="continue"/>
                  <w:noWrap w:val="0"/>
                  <w:tcMar>
                    <w:left w:w="28" w:type="dxa"/>
                    <w:right w:w="28" w:type="dxa"/>
                  </w:tcMar>
                  <w:vAlign w:val="center"/>
                </w:tcPr>
                <w:p w14:paraId="37655F61">
                  <w:pPr>
                    <w:tabs>
                      <w:tab w:val="left" w:pos="4500"/>
                    </w:tabs>
                    <w:spacing w:line="300" w:lineRule="exact"/>
                    <w:jc w:val="center"/>
                    <w:rPr>
                      <w:bCs/>
                      <w:color w:val="auto"/>
                      <w:sz w:val="21"/>
                      <w:szCs w:val="21"/>
                    </w:rPr>
                  </w:pPr>
                </w:p>
              </w:tc>
              <w:tc>
                <w:tcPr>
                  <w:tcW w:w="1328" w:type="pct"/>
                  <w:noWrap w:val="0"/>
                  <w:tcMar>
                    <w:left w:w="28" w:type="dxa"/>
                    <w:right w:w="28" w:type="dxa"/>
                  </w:tcMar>
                  <w:vAlign w:val="center"/>
                </w:tcPr>
                <w:p w14:paraId="7B29676F">
                  <w:pPr>
                    <w:pStyle w:val="63"/>
                    <w:spacing w:line="300" w:lineRule="exact"/>
                    <w:ind w:left="7" w:hanging="55"/>
                    <w:rPr>
                      <w:color w:val="auto"/>
                      <w:sz w:val="21"/>
                      <w:szCs w:val="21"/>
                    </w:rPr>
                  </w:pPr>
                  <w:r>
                    <w:rPr>
                      <w:rFonts w:hint="eastAsia"/>
                      <w:color w:val="auto"/>
                      <w:sz w:val="21"/>
                      <w:szCs w:val="21"/>
                    </w:rPr>
                    <w:t>丹金溧漕河洪水调蓄区</w:t>
                  </w:r>
                </w:p>
              </w:tc>
              <w:tc>
                <w:tcPr>
                  <w:tcW w:w="411" w:type="pct"/>
                  <w:noWrap w:val="0"/>
                  <w:tcMar>
                    <w:left w:w="28" w:type="dxa"/>
                    <w:right w:w="28" w:type="dxa"/>
                  </w:tcMar>
                  <w:vAlign w:val="center"/>
                </w:tcPr>
                <w:p w14:paraId="4905D620">
                  <w:pPr>
                    <w:pStyle w:val="63"/>
                    <w:spacing w:line="300" w:lineRule="exact"/>
                    <w:ind w:left="7" w:hanging="55"/>
                    <w:rPr>
                      <w:rFonts w:hint="eastAsia" w:eastAsia="宋体"/>
                      <w:color w:val="FF0000"/>
                      <w:sz w:val="21"/>
                      <w:szCs w:val="21"/>
                      <w:lang w:eastAsia="zh-CN"/>
                    </w:rPr>
                  </w:pPr>
                  <w:r>
                    <w:rPr>
                      <w:rFonts w:hint="eastAsia"/>
                      <w:color w:val="000000" w:themeColor="text1"/>
                      <w:sz w:val="21"/>
                      <w:szCs w:val="21"/>
                      <w:lang w:val="en-US" w:eastAsia="zh-CN"/>
                      <w14:textFill>
                        <w14:solidFill>
                          <w14:schemeClr w14:val="tx1"/>
                        </w14:solidFill>
                      </w14:textFill>
                    </w:rPr>
                    <w:t>W</w:t>
                  </w:r>
                </w:p>
              </w:tc>
              <w:tc>
                <w:tcPr>
                  <w:tcW w:w="1367" w:type="pct"/>
                  <w:noWrap w:val="0"/>
                  <w:tcMar>
                    <w:left w:w="28" w:type="dxa"/>
                    <w:right w:w="28" w:type="dxa"/>
                  </w:tcMar>
                  <w:vAlign w:val="center"/>
                </w:tcPr>
                <w:p w14:paraId="7466C858">
                  <w:pPr>
                    <w:pStyle w:val="63"/>
                    <w:spacing w:line="300" w:lineRule="exact"/>
                    <w:ind w:left="7" w:hanging="55"/>
                    <w:rPr>
                      <w:color w:val="auto"/>
                      <w:sz w:val="21"/>
                      <w:szCs w:val="21"/>
                    </w:rPr>
                  </w:pPr>
                  <w:r>
                    <w:rPr>
                      <w:rFonts w:hint="eastAsia"/>
                      <w:color w:val="auto"/>
                      <w:sz w:val="21"/>
                      <w:szCs w:val="21"/>
                      <w:lang w:val="en-US" w:eastAsia="zh-CN"/>
                    </w:rPr>
                    <w:t>30</w:t>
                  </w:r>
                  <w:r>
                    <w:rPr>
                      <w:rFonts w:hint="eastAsia"/>
                      <w:color w:val="auto"/>
                      <w:sz w:val="21"/>
                      <w:szCs w:val="21"/>
                    </w:rPr>
                    <w:t>00</w:t>
                  </w:r>
                  <w:r>
                    <w:rPr>
                      <w:color w:val="auto"/>
                      <w:sz w:val="21"/>
                      <w:szCs w:val="21"/>
                    </w:rPr>
                    <w:t>（生态空间管控区）</w:t>
                  </w:r>
                </w:p>
              </w:tc>
              <w:tc>
                <w:tcPr>
                  <w:tcW w:w="1184" w:type="pct"/>
                  <w:noWrap w:val="0"/>
                  <w:tcMar>
                    <w:left w:w="28" w:type="dxa"/>
                    <w:right w:w="28" w:type="dxa"/>
                  </w:tcMar>
                  <w:vAlign w:val="center"/>
                </w:tcPr>
                <w:p w14:paraId="017061AD">
                  <w:pPr>
                    <w:pStyle w:val="63"/>
                    <w:spacing w:line="300" w:lineRule="exact"/>
                    <w:ind w:left="7" w:hanging="55"/>
                    <w:rPr>
                      <w:color w:val="auto"/>
                      <w:sz w:val="21"/>
                      <w:szCs w:val="21"/>
                    </w:rPr>
                  </w:pPr>
                  <w:r>
                    <w:rPr>
                      <w:color w:val="auto"/>
                      <w:sz w:val="21"/>
                      <w:szCs w:val="21"/>
                      <w:lang w:bidi="ar"/>
                    </w:rPr>
                    <w:t>洪水调蓄</w:t>
                  </w:r>
                </w:p>
              </w:tc>
            </w:tr>
            <w:tr w14:paraId="4CD22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708" w:type="pct"/>
                  <w:vMerge w:val="continue"/>
                  <w:noWrap w:val="0"/>
                  <w:tcMar>
                    <w:left w:w="28" w:type="dxa"/>
                    <w:right w:w="28" w:type="dxa"/>
                  </w:tcMar>
                  <w:vAlign w:val="center"/>
                </w:tcPr>
                <w:p w14:paraId="79BAD642">
                  <w:pPr>
                    <w:tabs>
                      <w:tab w:val="left" w:pos="4500"/>
                    </w:tabs>
                    <w:spacing w:line="300" w:lineRule="exact"/>
                    <w:jc w:val="center"/>
                    <w:rPr>
                      <w:bCs/>
                      <w:color w:val="auto"/>
                      <w:sz w:val="21"/>
                      <w:szCs w:val="21"/>
                    </w:rPr>
                  </w:pPr>
                </w:p>
              </w:tc>
              <w:tc>
                <w:tcPr>
                  <w:tcW w:w="1328" w:type="pct"/>
                  <w:noWrap w:val="0"/>
                  <w:tcMar>
                    <w:left w:w="28" w:type="dxa"/>
                    <w:right w:w="28" w:type="dxa"/>
                  </w:tcMar>
                  <w:vAlign w:val="center"/>
                </w:tcPr>
                <w:p w14:paraId="3BD87D48">
                  <w:pPr>
                    <w:pStyle w:val="63"/>
                    <w:spacing w:line="300" w:lineRule="exact"/>
                    <w:ind w:left="7" w:hanging="55"/>
                    <w:rPr>
                      <w:color w:val="auto"/>
                      <w:sz w:val="21"/>
                      <w:szCs w:val="21"/>
                    </w:rPr>
                  </w:pPr>
                  <w:r>
                    <w:rPr>
                      <w:rFonts w:hint="eastAsia"/>
                      <w:color w:val="auto"/>
                      <w:sz w:val="21"/>
                      <w:szCs w:val="21"/>
                    </w:rPr>
                    <w:t>天荒湖重要渔业水域</w:t>
                  </w:r>
                </w:p>
              </w:tc>
              <w:tc>
                <w:tcPr>
                  <w:tcW w:w="411" w:type="pct"/>
                  <w:noWrap w:val="0"/>
                  <w:tcMar>
                    <w:left w:w="28" w:type="dxa"/>
                    <w:right w:w="28" w:type="dxa"/>
                  </w:tcMar>
                  <w:vAlign w:val="center"/>
                </w:tcPr>
                <w:p w14:paraId="7A359EF7">
                  <w:pPr>
                    <w:pStyle w:val="63"/>
                    <w:spacing w:line="300" w:lineRule="exact"/>
                    <w:ind w:left="7" w:hanging="55"/>
                    <w:rPr>
                      <w:rFonts w:hint="eastAsia"/>
                      <w:color w:val="FF0000"/>
                      <w:sz w:val="21"/>
                      <w:szCs w:val="21"/>
                    </w:rPr>
                  </w:pPr>
                  <w:r>
                    <w:rPr>
                      <w:color w:val="000000" w:themeColor="text1"/>
                      <w:sz w:val="21"/>
                      <w:szCs w:val="21"/>
                      <w14:textFill>
                        <w14:solidFill>
                          <w14:schemeClr w14:val="tx1"/>
                        </w14:solidFill>
                      </w14:textFill>
                    </w:rPr>
                    <w:t>S</w:t>
                  </w:r>
                  <w:r>
                    <w:rPr>
                      <w:rFonts w:hint="eastAsia"/>
                      <w:color w:val="000000" w:themeColor="text1"/>
                      <w:sz w:val="21"/>
                      <w:szCs w:val="21"/>
                      <w14:textFill>
                        <w14:solidFill>
                          <w14:schemeClr w14:val="tx1"/>
                        </w14:solidFill>
                      </w14:textFill>
                    </w:rPr>
                    <w:t>W</w:t>
                  </w:r>
                </w:p>
              </w:tc>
              <w:tc>
                <w:tcPr>
                  <w:tcW w:w="1367" w:type="pct"/>
                  <w:noWrap w:val="0"/>
                  <w:tcMar>
                    <w:left w:w="28" w:type="dxa"/>
                    <w:right w:w="28" w:type="dxa"/>
                  </w:tcMar>
                  <w:vAlign w:val="center"/>
                </w:tcPr>
                <w:p w14:paraId="5C30ACF6">
                  <w:pPr>
                    <w:pStyle w:val="63"/>
                    <w:spacing w:line="300" w:lineRule="exact"/>
                    <w:ind w:left="7" w:hanging="55"/>
                    <w:rPr>
                      <w:color w:val="auto"/>
                      <w:sz w:val="21"/>
                      <w:szCs w:val="21"/>
                    </w:rPr>
                  </w:pPr>
                  <w:r>
                    <w:rPr>
                      <w:rFonts w:hint="eastAsia"/>
                      <w:color w:val="auto"/>
                      <w:sz w:val="21"/>
                      <w:szCs w:val="21"/>
                      <w:lang w:val="en-US" w:eastAsia="zh-CN"/>
                    </w:rPr>
                    <w:t>3</w:t>
                  </w:r>
                  <w:r>
                    <w:rPr>
                      <w:rFonts w:hint="eastAsia"/>
                      <w:color w:val="auto"/>
                      <w:sz w:val="21"/>
                      <w:szCs w:val="21"/>
                    </w:rPr>
                    <w:t>500</w:t>
                  </w:r>
                  <w:r>
                    <w:rPr>
                      <w:color w:val="auto"/>
                      <w:sz w:val="21"/>
                      <w:szCs w:val="21"/>
                    </w:rPr>
                    <w:t>（生态空间管控区）</w:t>
                  </w:r>
                </w:p>
              </w:tc>
              <w:tc>
                <w:tcPr>
                  <w:tcW w:w="1184" w:type="pct"/>
                  <w:noWrap w:val="0"/>
                  <w:tcMar>
                    <w:left w:w="28" w:type="dxa"/>
                    <w:right w:w="28" w:type="dxa"/>
                  </w:tcMar>
                  <w:vAlign w:val="center"/>
                </w:tcPr>
                <w:p w14:paraId="100B5A37">
                  <w:pPr>
                    <w:pStyle w:val="63"/>
                    <w:spacing w:line="300" w:lineRule="exact"/>
                    <w:ind w:left="7" w:hanging="55"/>
                    <w:rPr>
                      <w:color w:val="auto"/>
                      <w:sz w:val="21"/>
                      <w:szCs w:val="21"/>
                    </w:rPr>
                  </w:pPr>
                  <w:r>
                    <w:rPr>
                      <w:color w:val="auto"/>
                      <w:sz w:val="21"/>
                      <w:szCs w:val="21"/>
                      <w:lang w:bidi="ar"/>
                    </w:rPr>
                    <w:t>渔业资源保护</w:t>
                  </w:r>
                </w:p>
              </w:tc>
            </w:tr>
          </w:tbl>
          <w:p w14:paraId="533FA621">
            <w:pPr>
              <w:pStyle w:val="18"/>
              <w:spacing w:before="0" w:beforeAutospacing="0" w:after="0" w:afterAutospacing="0"/>
              <w:jc w:val="both"/>
              <w:outlineLvl w:val="0"/>
              <w:rPr>
                <w:rFonts w:ascii="Times New Roman" w:hAnsi="Times New Roman"/>
                <w:snapToGrid w:val="0"/>
                <w:color w:val="auto"/>
                <w:sz w:val="24"/>
                <w:szCs w:val="24"/>
                <w:lang w:val="en-US" w:eastAsia="zh-CN"/>
              </w:rPr>
            </w:pPr>
          </w:p>
        </w:tc>
      </w:tr>
    </w:tbl>
    <w:p w14:paraId="1D612E63">
      <w:pPr>
        <w:pStyle w:val="18"/>
        <w:spacing w:before="0" w:beforeAutospacing="0" w:after="0" w:afterAutospacing="0"/>
        <w:jc w:val="center"/>
        <w:outlineLvl w:val="0"/>
        <w:rPr>
          <w:rFonts w:ascii="Times New Roman" w:hAnsi="Times New Roman"/>
          <w:snapToGrid w:val="0"/>
          <w:color w:val="auto"/>
          <w:sz w:val="36"/>
          <w:szCs w:val="36"/>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594"/>
      </w:tblGrid>
      <w:tr w14:paraId="0A61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3" w:hRule="atLeast"/>
        </w:trPr>
        <w:tc>
          <w:tcPr>
            <w:tcW w:w="467" w:type="dxa"/>
            <w:noWrap w:val="0"/>
            <w:vAlign w:val="center"/>
          </w:tcPr>
          <w:p w14:paraId="2E088A37">
            <w:pPr>
              <w:adjustRightInd w:val="0"/>
              <w:snapToGrid w:val="0"/>
              <w:jc w:val="center"/>
              <w:rPr>
                <w:color w:val="auto"/>
                <w:kern w:val="0"/>
                <w:sz w:val="24"/>
                <w:szCs w:val="24"/>
              </w:rPr>
            </w:pPr>
            <w:r>
              <w:rPr>
                <w:color w:val="auto"/>
                <w:kern w:val="0"/>
                <w:sz w:val="24"/>
                <w:szCs w:val="24"/>
              </w:rPr>
              <w:t>污染</w:t>
            </w:r>
          </w:p>
          <w:p w14:paraId="10875A50">
            <w:pPr>
              <w:adjustRightInd w:val="0"/>
              <w:snapToGrid w:val="0"/>
              <w:jc w:val="center"/>
              <w:rPr>
                <w:color w:val="auto"/>
                <w:kern w:val="0"/>
                <w:sz w:val="24"/>
                <w:szCs w:val="24"/>
              </w:rPr>
            </w:pPr>
            <w:r>
              <w:rPr>
                <w:color w:val="auto"/>
                <w:kern w:val="0"/>
                <w:sz w:val="24"/>
                <w:szCs w:val="24"/>
              </w:rPr>
              <w:t>物排</w:t>
            </w:r>
          </w:p>
          <w:p w14:paraId="6644FDF1">
            <w:pPr>
              <w:adjustRightInd w:val="0"/>
              <w:snapToGrid w:val="0"/>
              <w:jc w:val="center"/>
              <w:rPr>
                <w:color w:val="auto"/>
                <w:kern w:val="0"/>
                <w:sz w:val="24"/>
                <w:szCs w:val="24"/>
              </w:rPr>
            </w:pPr>
            <w:r>
              <w:rPr>
                <w:color w:val="auto"/>
                <w:kern w:val="0"/>
                <w:sz w:val="24"/>
                <w:szCs w:val="24"/>
              </w:rPr>
              <w:t>放控</w:t>
            </w:r>
          </w:p>
          <w:p w14:paraId="4CFBA298">
            <w:pPr>
              <w:adjustRightInd w:val="0"/>
              <w:snapToGrid w:val="0"/>
              <w:jc w:val="center"/>
              <w:rPr>
                <w:color w:val="auto"/>
                <w:kern w:val="0"/>
                <w:sz w:val="24"/>
                <w:szCs w:val="24"/>
              </w:rPr>
            </w:pPr>
            <w:r>
              <w:rPr>
                <w:color w:val="auto"/>
                <w:kern w:val="0"/>
                <w:sz w:val="24"/>
                <w:szCs w:val="24"/>
              </w:rPr>
              <w:t>制标</w:t>
            </w:r>
          </w:p>
          <w:p w14:paraId="490A79D5">
            <w:pPr>
              <w:pStyle w:val="18"/>
              <w:spacing w:before="0" w:beforeAutospacing="0" w:after="0" w:afterAutospacing="0"/>
              <w:jc w:val="center"/>
              <w:outlineLvl w:val="0"/>
              <w:rPr>
                <w:color w:val="auto"/>
                <w:sz w:val="24"/>
                <w:szCs w:val="24"/>
                <w:lang w:val="en-US" w:eastAsia="zh-CN"/>
              </w:rPr>
            </w:pPr>
            <w:r>
              <w:rPr>
                <w:color w:val="auto"/>
                <w:sz w:val="24"/>
                <w:szCs w:val="24"/>
                <w:lang w:val="en-US" w:eastAsia="zh-CN"/>
              </w:rPr>
              <w:t>准</w:t>
            </w:r>
          </w:p>
          <w:p w14:paraId="63AB6FC4">
            <w:pPr>
              <w:adjustRightInd w:val="0"/>
              <w:snapToGrid w:val="0"/>
              <w:jc w:val="center"/>
              <w:rPr>
                <w:color w:val="auto"/>
                <w:kern w:val="0"/>
                <w:sz w:val="24"/>
                <w:szCs w:val="24"/>
              </w:rPr>
            </w:pPr>
          </w:p>
        </w:tc>
        <w:tc>
          <w:tcPr>
            <w:tcW w:w="8594" w:type="dxa"/>
            <w:noWrap w:val="0"/>
            <w:vAlign w:val="center"/>
          </w:tcPr>
          <w:p w14:paraId="2D17FE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snapToGrid w:val="0"/>
                <w:color w:val="auto"/>
                <w:sz w:val="24"/>
                <w:szCs w:val="24"/>
                <w:lang w:val="en-US" w:eastAsia="zh-CN"/>
              </w:rPr>
            </w:pPr>
            <w:r>
              <w:rPr>
                <w:color w:val="auto"/>
                <w:sz w:val="24"/>
                <w:szCs w:val="24"/>
              </w:rPr>
              <w:t>1、大气污染物排放标准</w:t>
            </w:r>
          </w:p>
          <w:p w14:paraId="160924B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无组织废气</w:t>
            </w:r>
          </w:p>
          <w:p w14:paraId="1F58CF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厂界非甲烷总烃</w:t>
            </w:r>
            <w:r>
              <w:rPr>
                <w:rFonts w:hint="eastAsia" w:cs="Times New Roman"/>
                <w:color w:val="auto"/>
                <w:sz w:val="24"/>
                <w:szCs w:val="24"/>
                <w:lang w:val="en-US" w:eastAsia="zh-CN"/>
              </w:rPr>
              <w:t>、颗粒物</w:t>
            </w:r>
            <w:r>
              <w:rPr>
                <w:rFonts w:hint="default" w:ascii="Times New Roman" w:hAnsi="Times New Roman" w:cs="Times New Roman"/>
                <w:color w:val="auto"/>
                <w:sz w:val="24"/>
                <w:szCs w:val="24"/>
                <w:lang w:val="en-US" w:eastAsia="zh-CN"/>
              </w:rPr>
              <w:t>执行《大气污染物综合排放标准》(DB32/4041-2021)表3中单位边界大气污染物排放监控浓度限值</w:t>
            </w:r>
            <w:r>
              <w:rPr>
                <w:rFonts w:hint="eastAsia" w:cs="Times New Roman"/>
                <w:color w:val="auto"/>
                <w:sz w:val="24"/>
                <w:szCs w:val="24"/>
                <w:lang w:val="en-US" w:eastAsia="zh-CN"/>
              </w:rPr>
              <w:t>，</w:t>
            </w:r>
            <w:r>
              <w:rPr>
                <w:rFonts w:hint="eastAsia" w:cs="Times New Roman"/>
                <w:color w:val="000000" w:themeColor="text1"/>
                <w:sz w:val="24"/>
                <w:szCs w:val="24"/>
                <w:lang w:val="en-US" w:eastAsia="zh-CN"/>
                <w14:textFill>
                  <w14:solidFill>
                    <w14:schemeClr w14:val="tx1"/>
                  </w14:solidFill>
                </w14:textFill>
              </w:rPr>
              <w:t>氨、</w:t>
            </w:r>
            <w:r>
              <w:rPr>
                <w:rFonts w:hint="eastAsia" w:cs="Times New Roman"/>
                <w:color w:val="auto"/>
                <w:sz w:val="24"/>
                <w:szCs w:val="24"/>
                <w:lang w:val="en-US" w:eastAsia="zh-CN"/>
              </w:rPr>
              <w:t>臭气浓度执行《恶臭污染物排放标准》(GB14554-93)表1标准</w:t>
            </w:r>
            <w:r>
              <w:rPr>
                <w:rFonts w:hint="eastAsia" w:ascii="Times New Roman" w:hAnsi="Times New Roman" w:cs="Times New Roman"/>
                <w:color w:val="auto"/>
                <w:sz w:val="24"/>
                <w:szCs w:val="24"/>
                <w:lang w:val="en-US" w:eastAsia="zh-CN"/>
              </w:rPr>
              <w:t>；厂</w:t>
            </w:r>
            <w:r>
              <w:rPr>
                <w:rFonts w:hint="default" w:ascii="Times New Roman" w:hAnsi="Times New Roman" w:cs="Times New Roman"/>
                <w:color w:val="auto"/>
                <w:sz w:val="24"/>
                <w:szCs w:val="24"/>
                <w:lang w:val="en-US" w:eastAsia="zh-CN"/>
              </w:rPr>
              <w:t>区内非甲烷总烃无组织排放浓度参照执行《大气污染物综合排放标准》(DB32/4041-2021)表2中厂区内VOCs无组织排放限值。</w:t>
            </w:r>
          </w:p>
          <w:p w14:paraId="7F9BF7DB">
            <w:pPr>
              <w:spacing w:line="360" w:lineRule="exact"/>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表</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lang w:val="zh-CN"/>
              </w:rPr>
              <w:t>-</w:t>
            </w:r>
            <w:r>
              <w:rPr>
                <w:rFonts w:hint="eastAsia" w:cs="Times New Roman"/>
                <w:b/>
                <w:color w:val="auto"/>
                <w:sz w:val="21"/>
                <w:szCs w:val="21"/>
                <w:lang w:val="en-US" w:eastAsia="zh-CN"/>
              </w:rPr>
              <w:t>10</w:t>
            </w:r>
            <w:r>
              <w:rPr>
                <w:rFonts w:hint="default" w:ascii="Times New Roman" w:hAnsi="Times New Roman" w:cs="Times New Roman"/>
                <w:b/>
                <w:color w:val="auto"/>
                <w:sz w:val="21"/>
                <w:szCs w:val="21"/>
                <w:lang w:val="zh-CN"/>
              </w:rPr>
              <w:t xml:space="preserve">  厂界无组织废气污染物排放监控浓度限值</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370"/>
              <w:gridCol w:w="1985"/>
              <w:gridCol w:w="2072"/>
              <w:gridCol w:w="2946"/>
            </w:tblGrid>
            <w:tr w14:paraId="2664D2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8" w:type="pct"/>
                  <w:vMerge w:val="restart"/>
                  <w:noWrap w:val="0"/>
                  <w:vAlign w:val="center"/>
                </w:tcPr>
                <w:p w14:paraId="22AB49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污染物名称</w:t>
                  </w:r>
                </w:p>
              </w:tc>
              <w:tc>
                <w:tcPr>
                  <w:tcW w:w="2422" w:type="pct"/>
                  <w:gridSpan w:val="2"/>
                  <w:noWrap w:val="0"/>
                  <w:vAlign w:val="center"/>
                </w:tcPr>
                <w:p w14:paraId="4A12A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无组织排放监控浓度限值</w:t>
                  </w:r>
                </w:p>
              </w:tc>
              <w:tc>
                <w:tcPr>
                  <w:tcW w:w="1759" w:type="pct"/>
                  <w:vMerge w:val="restart"/>
                  <w:noWrap w:val="0"/>
                  <w:vAlign w:val="center"/>
                </w:tcPr>
                <w:p w14:paraId="5BB0D4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4"/>
                      <w:lang w:val="zh-CN" w:eastAsia="zh-CN" w:bidi="ar-SA"/>
                    </w:rPr>
                  </w:pPr>
                  <w:r>
                    <w:rPr>
                      <w:rFonts w:hint="default" w:ascii="Times New Roman" w:hAnsi="Times New Roman" w:cs="Times New Roman"/>
                      <w:b/>
                      <w:bCs/>
                      <w:color w:val="auto"/>
                      <w:sz w:val="21"/>
                      <w:szCs w:val="21"/>
                      <w:lang w:val="zh-CN"/>
                    </w:rPr>
                    <w:t>标准</w:t>
                  </w:r>
                </w:p>
              </w:tc>
            </w:tr>
            <w:tr w14:paraId="530314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8" w:type="pct"/>
                  <w:vMerge w:val="continue"/>
                  <w:noWrap w:val="0"/>
                  <w:vAlign w:val="center"/>
                </w:tcPr>
                <w:p w14:paraId="7837C7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zh-CN"/>
                    </w:rPr>
                  </w:pPr>
                </w:p>
              </w:tc>
              <w:tc>
                <w:tcPr>
                  <w:tcW w:w="1185" w:type="pct"/>
                  <w:tcBorders>
                    <w:bottom w:val="single" w:color="auto" w:sz="4" w:space="0"/>
                  </w:tcBorders>
                  <w:noWrap w:val="0"/>
                  <w:vAlign w:val="center"/>
                </w:tcPr>
                <w:p w14:paraId="6D9E8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监控位置</w:t>
                  </w:r>
                </w:p>
              </w:tc>
              <w:tc>
                <w:tcPr>
                  <w:tcW w:w="1237" w:type="pct"/>
                  <w:tcBorders>
                    <w:bottom w:val="single" w:color="auto" w:sz="4" w:space="0"/>
                  </w:tcBorders>
                  <w:noWrap w:val="0"/>
                  <w:vAlign w:val="center"/>
                </w:tcPr>
                <w:p w14:paraId="34352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浓度（mg/m</w:t>
                  </w:r>
                  <w:r>
                    <w:rPr>
                      <w:rFonts w:hint="default" w:ascii="Times New Roman" w:hAnsi="Times New Roman" w:cs="Times New Roman"/>
                      <w:b/>
                      <w:bCs/>
                      <w:color w:val="auto"/>
                      <w:sz w:val="21"/>
                      <w:szCs w:val="21"/>
                      <w:vertAlign w:val="superscript"/>
                      <w:lang w:val="zh-CN"/>
                    </w:rPr>
                    <w:t>3</w:t>
                  </w:r>
                  <w:r>
                    <w:rPr>
                      <w:rFonts w:hint="default" w:ascii="Times New Roman" w:hAnsi="Times New Roman" w:cs="Times New Roman"/>
                      <w:b/>
                      <w:bCs/>
                      <w:color w:val="auto"/>
                      <w:sz w:val="21"/>
                      <w:szCs w:val="21"/>
                      <w:lang w:val="zh-CN"/>
                    </w:rPr>
                    <w:t>）</w:t>
                  </w:r>
                </w:p>
              </w:tc>
              <w:tc>
                <w:tcPr>
                  <w:tcW w:w="1759" w:type="pct"/>
                  <w:vMerge w:val="continue"/>
                  <w:tcBorders>
                    <w:bottom w:val="single" w:color="auto" w:sz="4" w:space="0"/>
                  </w:tcBorders>
                  <w:noWrap w:val="0"/>
                  <w:vAlign w:val="center"/>
                </w:tcPr>
                <w:p w14:paraId="02680F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zh-CN"/>
                    </w:rPr>
                  </w:pPr>
                </w:p>
              </w:tc>
            </w:tr>
            <w:tr w14:paraId="7D898B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544" w:hRule="atLeast"/>
                <w:jc w:val="center"/>
              </w:trPr>
              <w:tc>
                <w:tcPr>
                  <w:tcW w:w="818" w:type="pct"/>
                  <w:noWrap w:val="0"/>
                  <w:vAlign w:val="center"/>
                </w:tcPr>
                <w:p w14:paraId="786C91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非甲烷总烃</w:t>
                  </w:r>
                </w:p>
              </w:tc>
              <w:tc>
                <w:tcPr>
                  <w:tcW w:w="1185" w:type="pct"/>
                  <w:vMerge w:val="restart"/>
                  <w:noWrap w:val="0"/>
                  <w:vAlign w:val="center"/>
                </w:tcPr>
                <w:p w14:paraId="69FC1F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边界外浓度最高点</w:t>
                  </w:r>
                </w:p>
              </w:tc>
              <w:tc>
                <w:tcPr>
                  <w:tcW w:w="1237" w:type="pct"/>
                  <w:noWrap w:val="0"/>
                  <w:vAlign w:val="center"/>
                </w:tcPr>
                <w:p w14:paraId="545BE5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en-US" w:eastAsia="zh-CN"/>
                    </w:rPr>
                    <w:t>4</w:t>
                  </w:r>
                </w:p>
              </w:tc>
              <w:tc>
                <w:tcPr>
                  <w:tcW w:w="1759" w:type="pct"/>
                  <w:vMerge w:val="restart"/>
                  <w:noWrap w:val="0"/>
                  <w:vAlign w:val="center"/>
                </w:tcPr>
                <w:p w14:paraId="7B9C4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zh-CN"/>
                    </w:rPr>
                  </w:pPr>
                  <w:r>
                    <w:rPr>
                      <w:rFonts w:hint="eastAsia" w:ascii="Times New Roman" w:hAnsi="Times New Roman" w:cs="Times New Roman"/>
                      <w:color w:val="auto"/>
                      <w:sz w:val="21"/>
                      <w:szCs w:val="21"/>
                      <w:lang w:val="zh-CN" w:eastAsia="zh-CN"/>
                    </w:rPr>
                    <w:t>《</w:t>
                  </w:r>
                  <w:r>
                    <w:rPr>
                      <w:rFonts w:hint="default" w:ascii="Times New Roman" w:hAnsi="Times New Roman" w:cs="Times New Roman"/>
                      <w:color w:val="auto"/>
                      <w:sz w:val="21"/>
                      <w:szCs w:val="21"/>
                      <w:lang w:val="zh-CN"/>
                    </w:rPr>
                    <w:t>大气污染物综合排放标准》(DB32/4041-2021)表3中单位边界大气污染物排放监控浓度限值</w:t>
                  </w:r>
                </w:p>
              </w:tc>
            </w:tr>
            <w:tr w14:paraId="734E97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544" w:hRule="atLeast"/>
                <w:jc w:val="center"/>
              </w:trPr>
              <w:tc>
                <w:tcPr>
                  <w:tcW w:w="818" w:type="pct"/>
                  <w:noWrap w:val="0"/>
                  <w:vAlign w:val="center"/>
                </w:tcPr>
                <w:p w14:paraId="452CD9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185" w:type="pct"/>
                  <w:vMerge w:val="continue"/>
                  <w:noWrap w:val="0"/>
                  <w:vAlign w:val="center"/>
                </w:tcPr>
                <w:p w14:paraId="04D2A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zh-CN"/>
                    </w:rPr>
                  </w:pPr>
                </w:p>
              </w:tc>
              <w:tc>
                <w:tcPr>
                  <w:tcW w:w="1237" w:type="pct"/>
                  <w:noWrap w:val="0"/>
                  <w:vAlign w:val="center"/>
                </w:tcPr>
                <w:p w14:paraId="480E35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1759" w:type="pct"/>
                  <w:vMerge w:val="continue"/>
                  <w:noWrap w:val="0"/>
                  <w:vAlign w:val="center"/>
                </w:tcPr>
                <w:p w14:paraId="0B3B1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zh-CN"/>
                    </w:rPr>
                  </w:pPr>
                </w:p>
              </w:tc>
            </w:tr>
            <w:tr w14:paraId="52EAD0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544" w:hRule="atLeast"/>
                <w:jc w:val="center"/>
              </w:trPr>
              <w:tc>
                <w:tcPr>
                  <w:tcW w:w="818" w:type="pct"/>
                  <w:noWrap w:val="0"/>
                  <w:vAlign w:val="center"/>
                </w:tcPr>
                <w:p w14:paraId="33CB22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臭气浓度</w:t>
                  </w:r>
                </w:p>
              </w:tc>
              <w:tc>
                <w:tcPr>
                  <w:tcW w:w="1185" w:type="pct"/>
                  <w:vMerge w:val="continue"/>
                  <w:noWrap w:val="0"/>
                  <w:vAlign w:val="center"/>
                </w:tcPr>
                <w:p w14:paraId="6E4EF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zh-CN"/>
                    </w:rPr>
                  </w:pPr>
                </w:p>
              </w:tc>
              <w:tc>
                <w:tcPr>
                  <w:tcW w:w="1237" w:type="pct"/>
                  <w:noWrap w:val="0"/>
                  <w:vAlign w:val="center"/>
                </w:tcPr>
                <w:p w14:paraId="06BC0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1759" w:type="pct"/>
                  <w:vMerge w:val="restart"/>
                  <w:noWrap w:val="0"/>
                  <w:vAlign w:val="center"/>
                </w:tcPr>
                <w:p w14:paraId="3C6CA2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eastAsia="zh-CN"/>
                    </w:rPr>
                    <w:t>《恶臭污染物排放标准》(GB14554-93)表1标准</w:t>
                  </w:r>
                </w:p>
              </w:tc>
            </w:tr>
            <w:tr w14:paraId="5154B6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544" w:hRule="atLeast"/>
                <w:jc w:val="center"/>
              </w:trPr>
              <w:tc>
                <w:tcPr>
                  <w:tcW w:w="818" w:type="pct"/>
                  <w:noWrap w:val="0"/>
                  <w:vAlign w:val="center"/>
                </w:tcPr>
                <w:p w14:paraId="4DBED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氨</w:t>
                  </w:r>
                </w:p>
              </w:tc>
              <w:tc>
                <w:tcPr>
                  <w:tcW w:w="1185" w:type="pct"/>
                  <w:vMerge w:val="continue"/>
                  <w:noWrap w:val="0"/>
                  <w:vAlign w:val="center"/>
                </w:tcPr>
                <w:p w14:paraId="6B3D7B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lang w:val="zh-CN"/>
                    </w:rPr>
                  </w:pPr>
                </w:p>
              </w:tc>
              <w:tc>
                <w:tcPr>
                  <w:tcW w:w="1237" w:type="pct"/>
                  <w:noWrap w:val="0"/>
                  <w:vAlign w:val="center"/>
                </w:tcPr>
                <w:p w14:paraId="77ED2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1.5</w:t>
                  </w:r>
                </w:p>
              </w:tc>
              <w:tc>
                <w:tcPr>
                  <w:tcW w:w="1759" w:type="pct"/>
                  <w:vMerge w:val="continue"/>
                  <w:noWrap w:val="0"/>
                  <w:vAlign w:val="center"/>
                </w:tcPr>
                <w:p w14:paraId="589BD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lang w:val="zh-CN" w:eastAsia="zh-CN"/>
                    </w:rPr>
                  </w:pPr>
                </w:p>
              </w:tc>
            </w:tr>
          </w:tbl>
          <w:p w14:paraId="4C0ED7CF">
            <w:pPr>
              <w:spacing w:line="360" w:lineRule="exact"/>
              <w:jc w:val="center"/>
              <w:rPr>
                <w:b/>
                <w:color w:val="auto"/>
                <w:sz w:val="21"/>
                <w:szCs w:val="21"/>
              </w:rPr>
            </w:pPr>
            <w:r>
              <w:rPr>
                <w:b/>
                <w:color w:val="auto"/>
                <w:sz w:val="21"/>
                <w:szCs w:val="21"/>
              </w:rPr>
              <w:t>表</w:t>
            </w:r>
            <w:r>
              <w:rPr>
                <w:rFonts w:hint="eastAsia"/>
                <w:b/>
                <w:color w:val="auto"/>
                <w:sz w:val="21"/>
                <w:szCs w:val="21"/>
              </w:rPr>
              <w:t>3-1</w:t>
            </w:r>
            <w:r>
              <w:rPr>
                <w:rFonts w:hint="eastAsia"/>
                <w:b/>
                <w:color w:val="auto"/>
                <w:sz w:val="21"/>
                <w:szCs w:val="21"/>
                <w:lang w:val="en-US" w:eastAsia="zh-CN"/>
              </w:rPr>
              <w:t>1</w:t>
            </w:r>
            <w:r>
              <w:rPr>
                <w:b/>
                <w:color w:val="auto"/>
                <w:sz w:val="21"/>
                <w:szCs w:val="21"/>
              </w:rPr>
              <w:t xml:space="preserve">  厂区内VOCs无组织排放限值（mg/m</w:t>
            </w:r>
            <w:r>
              <w:rPr>
                <w:b/>
                <w:color w:val="auto"/>
                <w:sz w:val="21"/>
                <w:szCs w:val="21"/>
                <w:vertAlign w:val="superscript"/>
              </w:rPr>
              <w:t>3</w:t>
            </w:r>
            <w:r>
              <w:rPr>
                <w:b/>
                <w:color w:val="auto"/>
                <w:sz w:val="21"/>
                <w:szCs w:val="21"/>
              </w:rPr>
              <w:t>）</w:t>
            </w:r>
          </w:p>
          <w:tbl>
            <w:tblPr>
              <w:tblStyle w:val="22"/>
              <w:tblW w:w="4992"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60"/>
              <w:gridCol w:w="2832"/>
              <w:gridCol w:w="1031"/>
              <w:gridCol w:w="1511"/>
              <w:gridCol w:w="1331"/>
            </w:tblGrid>
            <w:tr w14:paraId="5D4ED1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92" w:type="pct"/>
                  <w:tcBorders>
                    <w:right w:val="single" w:color="auto" w:sz="4" w:space="0"/>
                  </w:tcBorders>
                  <w:noWrap w:val="0"/>
                  <w:vAlign w:val="center"/>
                </w:tcPr>
                <w:p w14:paraId="6FFF9A74">
                  <w:pPr>
                    <w:spacing w:line="320" w:lineRule="exact"/>
                    <w:jc w:val="center"/>
                    <w:rPr>
                      <w:b/>
                      <w:bCs/>
                      <w:color w:val="auto"/>
                      <w:sz w:val="21"/>
                      <w:szCs w:val="21"/>
                    </w:rPr>
                  </w:pPr>
                  <w:r>
                    <w:rPr>
                      <w:b/>
                      <w:bCs/>
                      <w:color w:val="auto"/>
                      <w:sz w:val="21"/>
                      <w:szCs w:val="21"/>
                    </w:rPr>
                    <w:t>污染物项目</w:t>
                  </w:r>
                </w:p>
              </w:tc>
              <w:tc>
                <w:tcPr>
                  <w:tcW w:w="1692" w:type="pct"/>
                  <w:tcBorders>
                    <w:left w:val="single" w:color="auto" w:sz="4" w:space="0"/>
                  </w:tcBorders>
                  <w:noWrap w:val="0"/>
                  <w:vAlign w:val="center"/>
                </w:tcPr>
                <w:p w14:paraId="60D7F847">
                  <w:pPr>
                    <w:spacing w:line="320" w:lineRule="exact"/>
                    <w:jc w:val="center"/>
                    <w:rPr>
                      <w:b/>
                      <w:bCs/>
                      <w:color w:val="auto"/>
                      <w:sz w:val="21"/>
                      <w:szCs w:val="21"/>
                    </w:rPr>
                  </w:pPr>
                  <w:r>
                    <w:rPr>
                      <w:rFonts w:hint="eastAsia"/>
                      <w:b/>
                      <w:bCs/>
                      <w:color w:val="auto"/>
                      <w:sz w:val="21"/>
                      <w:szCs w:val="21"/>
                    </w:rPr>
                    <w:t>执行标准</w:t>
                  </w:r>
                </w:p>
              </w:tc>
              <w:tc>
                <w:tcPr>
                  <w:tcW w:w="616" w:type="pct"/>
                  <w:noWrap w:val="0"/>
                  <w:vAlign w:val="center"/>
                </w:tcPr>
                <w:p w14:paraId="11DBE43B">
                  <w:pPr>
                    <w:spacing w:line="320" w:lineRule="exact"/>
                    <w:jc w:val="center"/>
                    <w:rPr>
                      <w:b/>
                      <w:bCs/>
                      <w:color w:val="auto"/>
                      <w:sz w:val="21"/>
                      <w:szCs w:val="21"/>
                    </w:rPr>
                  </w:pPr>
                  <w:r>
                    <w:rPr>
                      <w:b/>
                      <w:bCs/>
                      <w:color w:val="auto"/>
                      <w:sz w:val="21"/>
                      <w:szCs w:val="21"/>
                    </w:rPr>
                    <w:t>特别排放限值</w:t>
                  </w:r>
                </w:p>
              </w:tc>
              <w:tc>
                <w:tcPr>
                  <w:tcW w:w="903" w:type="pct"/>
                  <w:noWrap w:val="0"/>
                  <w:vAlign w:val="center"/>
                </w:tcPr>
                <w:p w14:paraId="24C056D6">
                  <w:pPr>
                    <w:spacing w:line="320" w:lineRule="exact"/>
                    <w:jc w:val="center"/>
                    <w:rPr>
                      <w:b/>
                      <w:bCs/>
                      <w:color w:val="auto"/>
                      <w:sz w:val="21"/>
                      <w:szCs w:val="21"/>
                    </w:rPr>
                  </w:pPr>
                  <w:r>
                    <w:rPr>
                      <w:b/>
                      <w:bCs/>
                      <w:color w:val="auto"/>
                      <w:sz w:val="21"/>
                      <w:szCs w:val="21"/>
                    </w:rPr>
                    <w:t>限值含义</w:t>
                  </w:r>
                </w:p>
              </w:tc>
              <w:tc>
                <w:tcPr>
                  <w:tcW w:w="795" w:type="pct"/>
                  <w:noWrap w:val="0"/>
                  <w:vAlign w:val="center"/>
                </w:tcPr>
                <w:p w14:paraId="687C06EC">
                  <w:pPr>
                    <w:spacing w:line="320" w:lineRule="exact"/>
                    <w:jc w:val="center"/>
                    <w:rPr>
                      <w:b/>
                      <w:bCs/>
                      <w:color w:val="auto"/>
                      <w:sz w:val="21"/>
                      <w:szCs w:val="21"/>
                    </w:rPr>
                  </w:pPr>
                  <w:r>
                    <w:rPr>
                      <w:b/>
                      <w:bCs/>
                      <w:color w:val="auto"/>
                      <w:sz w:val="21"/>
                      <w:szCs w:val="21"/>
                    </w:rPr>
                    <w:t>无组织排放监控位置</w:t>
                  </w:r>
                </w:p>
              </w:tc>
            </w:tr>
            <w:tr w14:paraId="5BE084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1" w:hRule="atLeast"/>
                <w:jc w:val="center"/>
              </w:trPr>
              <w:tc>
                <w:tcPr>
                  <w:tcW w:w="992" w:type="pct"/>
                  <w:vMerge w:val="restart"/>
                  <w:tcBorders>
                    <w:right w:val="single" w:color="auto" w:sz="4" w:space="0"/>
                  </w:tcBorders>
                  <w:noWrap w:val="0"/>
                  <w:vAlign w:val="center"/>
                </w:tcPr>
                <w:p w14:paraId="79DAC9CD">
                  <w:pPr>
                    <w:spacing w:line="320" w:lineRule="exact"/>
                    <w:jc w:val="center"/>
                    <w:rPr>
                      <w:color w:val="auto"/>
                      <w:sz w:val="21"/>
                      <w:szCs w:val="21"/>
                    </w:rPr>
                  </w:pPr>
                  <w:r>
                    <w:rPr>
                      <w:color w:val="auto"/>
                      <w:sz w:val="21"/>
                      <w:szCs w:val="21"/>
                    </w:rPr>
                    <w:t>NMHC</w:t>
                  </w:r>
                </w:p>
                <w:p w14:paraId="631B4436">
                  <w:pPr>
                    <w:spacing w:line="320" w:lineRule="exact"/>
                    <w:jc w:val="center"/>
                    <w:rPr>
                      <w:color w:val="auto"/>
                      <w:sz w:val="21"/>
                      <w:szCs w:val="21"/>
                    </w:rPr>
                  </w:pPr>
                  <w:r>
                    <w:rPr>
                      <w:color w:val="auto"/>
                      <w:sz w:val="21"/>
                      <w:szCs w:val="21"/>
                    </w:rPr>
                    <w:t>（非甲烷总烃）</w:t>
                  </w:r>
                </w:p>
              </w:tc>
              <w:tc>
                <w:tcPr>
                  <w:tcW w:w="1692" w:type="pct"/>
                  <w:vMerge w:val="restart"/>
                  <w:tcBorders>
                    <w:left w:val="single" w:color="auto" w:sz="4" w:space="0"/>
                  </w:tcBorders>
                  <w:noWrap w:val="0"/>
                  <w:vAlign w:val="center"/>
                </w:tcPr>
                <w:p w14:paraId="44D238CC">
                  <w:pPr>
                    <w:spacing w:line="320" w:lineRule="exact"/>
                    <w:jc w:val="center"/>
                    <w:rPr>
                      <w:rFonts w:hint="default" w:eastAsia="宋体"/>
                      <w:color w:val="auto"/>
                      <w:sz w:val="21"/>
                      <w:szCs w:val="21"/>
                      <w:lang w:val="en-US" w:eastAsia="zh-CN"/>
                    </w:rPr>
                  </w:pPr>
                  <w:r>
                    <w:rPr>
                      <w:rFonts w:hint="eastAsia" w:ascii="Times New Roman" w:hAnsi="Times New Roman" w:cs="Times New Roman"/>
                      <w:color w:val="auto"/>
                      <w:sz w:val="21"/>
                      <w:szCs w:val="21"/>
                      <w:lang w:val="zh-CN" w:eastAsia="zh-CN"/>
                    </w:rPr>
                    <w:t>《</w:t>
                  </w:r>
                  <w:r>
                    <w:rPr>
                      <w:rFonts w:hint="default" w:ascii="Times New Roman" w:hAnsi="Times New Roman" w:cs="Times New Roman"/>
                      <w:color w:val="auto"/>
                      <w:sz w:val="21"/>
                      <w:szCs w:val="21"/>
                      <w:lang w:val="zh-CN"/>
                    </w:rPr>
                    <w:t>大气污染物综合排放标准》(DB32/4041-2021)</w:t>
                  </w:r>
                  <w:r>
                    <w:rPr>
                      <w:rFonts w:hint="eastAsia" w:cs="Times New Roman"/>
                      <w:color w:val="auto"/>
                      <w:sz w:val="21"/>
                      <w:szCs w:val="21"/>
                      <w:lang w:val="en-US" w:eastAsia="zh-CN"/>
                    </w:rPr>
                    <w:t>表2</w:t>
                  </w:r>
                  <w:r>
                    <w:rPr>
                      <w:rFonts w:hint="eastAsia"/>
                      <w:lang w:val="en-US" w:eastAsia="zh-CN"/>
                    </w:rPr>
                    <w:t xml:space="preserve">标准限值 </w:t>
                  </w:r>
                </w:p>
              </w:tc>
              <w:tc>
                <w:tcPr>
                  <w:tcW w:w="616" w:type="pct"/>
                  <w:noWrap w:val="0"/>
                  <w:vAlign w:val="center"/>
                </w:tcPr>
                <w:p w14:paraId="6F7FB6AB">
                  <w:pPr>
                    <w:spacing w:line="320" w:lineRule="exact"/>
                    <w:jc w:val="center"/>
                    <w:rPr>
                      <w:color w:val="auto"/>
                      <w:sz w:val="21"/>
                      <w:szCs w:val="21"/>
                    </w:rPr>
                  </w:pPr>
                  <w:r>
                    <w:rPr>
                      <w:rFonts w:hint="eastAsia"/>
                      <w:color w:val="auto"/>
                      <w:sz w:val="21"/>
                      <w:szCs w:val="21"/>
                    </w:rPr>
                    <w:t>6</w:t>
                  </w:r>
                </w:p>
              </w:tc>
              <w:tc>
                <w:tcPr>
                  <w:tcW w:w="903" w:type="pct"/>
                  <w:noWrap w:val="0"/>
                  <w:vAlign w:val="center"/>
                </w:tcPr>
                <w:p w14:paraId="019C7724">
                  <w:pPr>
                    <w:spacing w:line="320" w:lineRule="exact"/>
                    <w:jc w:val="center"/>
                    <w:rPr>
                      <w:color w:val="auto"/>
                      <w:sz w:val="21"/>
                      <w:szCs w:val="21"/>
                    </w:rPr>
                  </w:pPr>
                  <w:r>
                    <w:rPr>
                      <w:color w:val="auto"/>
                      <w:sz w:val="21"/>
                      <w:szCs w:val="21"/>
                    </w:rPr>
                    <w:t>监控点处1h平均浓度值</w:t>
                  </w:r>
                </w:p>
              </w:tc>
              <w:tc>
                <w:tcPr>
                  <w:tcW w:w="795" w:type="pct"/>
                  <w:vMerge w:val="restart"/>
                  <w:noWrap w:val="0"/>
                  <w:vAlign w:val="center"/>
                </w:tcPr>
                <w:p w14:paraId="3CCE4347">
                  <w:pPr>
                    <w:spacing w:line="320" w:lineRule="exact"/>
                    <w:jc w:val="center"/>
                    <w:rPr>
                      <w:color w:val="auto"/>
                      <w:sz w:val="21"/>
                      <w:szCs w:val="21"/>
                    </w:rPr>
                  </w:pPr>
                  <w:r>
                    <w:rPr>
                      <w:color w:val="auto"/>
                      <w:sz w:val="21"/>
                      <w:szCs w:val="21"/>
                    </w:rPr>
                    <w:t>在厂房外设置监控点</w:t>
                  </w:r>
                </w:p>
              </w:tc>
            </w:tr>
            <w:tr w14:paraId="390CFD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92" w:type="pct"/>
                  <w:vMerge w:val="continue"/>
                  <w:tcBorders>
                    <w:right w:val="single" w:color="auto" w:sz="4" w:space="0"/>
                  </w:tcBorders>
                  <w:noWrap w:val="0"/>
                  <w:vAlign w:val="center"/>
                </w:tcPr>
                <w:p w14:paraId="2F39D3D6">
                  <w:pPr>
                    <w:spacing w:line="320" w:lineRule="exact"/>
                    <w:jc w:val="center"/>
                    <w:rPr>
                      <w:color w:val="auto"/>
                      <w:sz w:val="21"/>
                      <w:szCs w:val="21"/>
                    </w:rPr>
                  </w:pPr>
                </w:p>
              </w:tc>
              <w:tc>
                <w:tcPr>
                  <w:tcW w:w="1692" w:type="pct"/>
                  <w:vMerge w:val="continue"/>
                  <w:tcBorders>
                    <w:left w:val="single" w:color="auto" w:sz="4" w:space="0"/>
                  </w:tcBorders>
                  <w:noWrap w:val="0"/>
                  <w:vAlign w:val="center"/>
                </w:tcPr>
                <w:p w14:paraId="224A389C">
                  <w:pPr>
                    <w:spacing w:line="320" w:lineRule="exact"/>
                    <w:jc w:val="center"/>
                    <w:rPr>
                      <w:color w:val="auto"/>
                      <w:sz w:val="21"/>
                      <w:szCs w:val="21"/>
                    </w:rPr>
                  </w:pPr>
                </w:p>
              </w:tc>
              <w:tc>
                <w:tcPr>
                  <w:tcW w:w="616" w:type="pct"/>
                  <w:noWrap w:val="0"/>
                  <w:vAlign w:val="center"/>
                </w:tcPr>
                <w:p w14:paraId="1E6FCC21">
                  <w:pPr>
                    <w:spacing w:line="320" w:lineRule="exact"/>
                    <w:jc w:val="center"/>
                    <w:rPr>
                      <w:color w:val="auto"/>
                      <w:sz w:val="21"/>
                      <w:szCs w:val="21"/>
                    </w:rPr>
                  </w:pPr>
                  <w:r>
                    <w:rPr>
                      <w:rFonts w:hint="eastAsia"/>
                      <w:color w:val="auto"/>
                      <w:sz w:val="21"/>
                      <w:szCs w:val="21"/>
                    </w:rPr>
                    <w:t>20</w:t>
                  </w:r>
                </w:p>
              </w:tc>
              <w:tc>
                <w:tcPr>
                  <w:tcW w:w="903" w:type="pct"/>
                  <w:noWrap w:val="0"/>
                  <w:vAlign w:val="center"/>
                </w:tcPr>
                <w:p w14:paraId="6D1ACFB9">
                  <w:pPr>
                    <w:spacing w:line="320" w:lineRule="exact"/>
                    <w:jc w:val="center"/>
                    <w:rPr>
                      <w:color w:val="auto"/>
                      <w:sz w:val="21"/>
                      <w:szCs w:val="21"/>
                    </w:rPr>
                  </w:pPr>
                  <w:r>
                    <w:rPr>
                      <w:color w:val="auto"/>
                      <w:sz w:val="21"/>
                      <w:szCs w:val="21"/>
                    </w:rPr>
                    <w:t>监控点任意一次浓度值</w:t>
                  </w:r>
                </w:p>
              </w:tc>
              <w:tc>
                <w:tcPr>
                  <w:tcW w:w="795" w:type="pct"/>
                  <w:vMerge w:val="continue"/>
                  <w:noWrap w:val="0"/>
                  <w:vAlign w:val="center"/>
                </w:tcPr>
                <w:p w14:paraId="2FBC77B0">
                  <w:pPr>
                    <w:spacing w:line="320" w:lineRule="exact"/>
                    <w:jc w:val="center"/>
                    <w:rPr>
                      <w:color w:val="auto"/>
                      <w:sz w:val="21"/>
                      <w:szCs w:val="21"/>
                    </w:rPr>
                  </w:pPr>
                </w:p>
              </w:tc>
            </w:tr>
          </w:tbl>
          <w:p w14:paraId="6FD5540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2、水污染物排放标准</w:t>
            </w:r>
          </w:p>
          <w:p w14:paraId="5C578E1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kern w:val="0"/>
                <w:sz w:val="24"/>
                <w:szCs w:val="24"/>
              </w:rPr>
            </w:pPr>
            <w:r>
              <w:rPr>
                <w:rFonts w:hint="eastAsia"/>
                <w:color w:val="auto"/>
                <w:kern w:val="0"/>
                <w:sz w:val="24"/>
                <w:szCs w:val="24"/>
              </w:rPr>
              <w:t>本项目</w:t>
            </w:r>
            <w:r>
              <w:rPr>
                <w:rFonts w:hint="eastAsia"/>
                <w:color w:val="auto"/>
                <w:kern w:val="0"/>
                <w:sz w:val="24"/>
                <w:szCs w:val="24"/>
                <w:lang w:val="en-US" w:eastAsia="zh-CN"/>
              </w:rPr>
              <w:t>产生的</w:t>
            </w:r>
            <w:r>
              <w:rPr>
                <w:rFonts w:hint="eastAsia"/>
                <w:color w:val="auto"/>
                <w:kern w:val="0"/>
                <w:sz w:val="24"/>
                <w:szCs w:val="24"/>
              </w:rPr>
              <w:t>生活污水</w:t>
            </w:r>
            <w:r>
              <w:rPr>
                <w:rFonts w:hint="eastAsia"/>
                <w:color w:val="auto"/>
                <w:kern w:val="0"/>
                <w:sz w:val="24"/>
                <w:szCs w:val="24"/>
                <w:lang w:val="en-US" w:eastAsia="zh-CN"/>
              </w:rPr>
              <w:t>接入</w:t>
            </w:r>
            <w:r>
              <w:rPr>
                <w:rFonts w:hint="eastAsia"/>
                <w:color w:val="auto"/>
                <w:kern w:val="0"/>
                <w:sz w:val="24"/>
                <w:szCs w:val="24"/>
              </w:rPr>
              <w:t>常州金坛区第二污水处理有限公司处理，</w:t>
            </w:r>
            <w:r>
              <w:rPr>
                <w:color w:val="auto"/>
                <w:kern w:val="0"/>
                <w:sz w:val="24"/>
                <w:szCs w:val="24"/>
              </w:rPr>
              <w:t>达标尾水排入</w:t>
            </w:r>
            <w:r>
              <w:rPr>
                <w:rFonts w:hint="eastAsia"/>
                <w:color w:val="auto"/>
                <w:kern w:val="0"/>
                <w:sz w:val="24"/>
                <w:szCs w:val="24"/>
              </w:rPr>
              <w:t>尧塘河</w:t>
            </w:r>
            <w:r>
              <w:rPr>
                <w:color w:val="auto"/>
                <w:kern w:val="0"/>
                <w:sz w:val="24"/>
                <w:szCs w:val="24"/>
              </w:rPr>
              <w:t>。</w:t>
            </w:r>
          </w:p>
          <w:p w14:paraId="72BA793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kern w:val="0"/>
                <w:sz w:val="24"/>
                <w:szCs w:val="24"/>
              </w:rPr>
            </w:pPr>
            <w:r>
              <w:rPr>
                <w:color w:val="auto"/>
                <w:kern w:val="0"/>
                <w:sz w:val="24"/>
                <w:szCs w:val="24"/>
              </w:rPr>
              <w:t>本项目接管</w:t>
            </w:r>
            <w:r>
              <w:rPr>
                <w:rFonts w:hint="eastAsia"/>
                <w:color w:val="auto"/>
                <w:kern w:val="0"/>
                <w:sz w:val="24"/>
                <w:szCs w:val="24"/>
              </w:rPr>
              <w:t>水质</w:t>
            </w:r>
            <w:r>
              <w:rPr>
                <w:color w:val="auto"/>
                <w:kern w:val="0"/>
                <w:sz w:val="24"/>
                <w:szCs w:val="24"/>
              </w:rPr>
              <w:t>执行</w:t>
            </w:r>
            <w:r>
              <w:rPr>
                <w:rFonts w:hint="eastAsia"/>
                <w:color w:val="auto"/>
                <w:kern w:val="0"/>
                <w:sz w:val="24"/>
                <w:szCs w:val="24"/>
              </w:rPr>
              <w:t>常州金坛区第二污水处理有限公司污水接管标准及</w:t>
            </w:r>
            <w:r>
              <w:rPr>
                <w:color w:val="auto"/>
                <w:kern w:val="0"/>
                <w:sz w:val="24"/>
                <w:szCs w:val="24"/>
              </w:rPr>
              <w:t>《污水排入城镇下水道水质标准》(GB/T31962-2015)B级；目前</w:t>
            </w:r>
            <w:r>
              <w:rPr>
                <w:rFonts w:hint="eastAsia"/>
                <w:color w:val="auto"/>
                <w:kern w:val="0"/>
                <w:sz w:val="24"/>
                <w:szCs w:val="24"/>
              </w:rPr>
              <w:t>常州金坛区第二污水处理有限公司</w:t>
            </w:r>
            <w:r>
              <w:rPr>
                <w:color w:val="auto"/>
                <w:kern w:val="0"/>
                <w:sz w:val="24"/>
                <w:szCs w:val="24"/>
              </w:rPr>
              <w:t>尾水排放标准执行《太湖地区城镇污水处理厂及重点工业行业</w:t>
            </w:r>
            <w:r>
              <w:rPr>
                <w:rFonts w:hint="eastAsia"/>
                <w:color w:val="auto"/>
                <w:kern w:val="0"/>
                <w:sz w:val="24"/>
                <w:szCs w:val="24"/>
              </w:rPr>
              <w:t>主要</w:t>
            </w:r>
            <w:r>
              <w:rPr>
                <w:color w:val="auto"/>
                <w:kern w:val="0"/>
                <w:sz w:val="24"/>
                <w:szCs w:val="24"/>
              </w:rPr>
              <w:t>水污染物排放限值》(DB32/1072-2018)中表2和《城镇污水处理厂污染物排放标准》(GB18918-2002)标准；</w:t>
            </w:r>
            <w:r>
              <w:rPr>
                <w:rFonts w:hint="eastAsia"/>
                <w:color w:val="auto"/>
                <w:kern w:val="0"/>
                <w:sz w:val="24"/>
                <w:szCs w:val="24"/>
              </w:rPr>
              <w:t>常州金坛区第二污水处理有限公司</w:t>
            </w:r>
            <w:r>
              <w:rPr>
                <w:color w:val="auto"/>
                <w:kern w:val="0"/>
                <w:sz w:val="24"/>
                <w:szCs w:val="24"/>
              </w:rPr>
              <w:t>排污口位于</w:t>
            </w:r>
            <w:r>
              <w:rPr>
                <w:rFonts w:hint="eastAsia"/>
                <w:color w:val="auto"/>
                <w:kern w:val="0"/>
                <w:sz w:val="24"/>
                <w:szCs w:val="24"/>
              </w:rPr>
              <w:t>一般</w:t>
            </w:r>
            <w:r>
              <w:rPr>
                <w:color w:val="auto"/>
                <w:kern w:val="0"/>
                <w:sz w:val="24"/>
                <w:szCs w:val="24"/>
              </w:rPr>
              <w:t>区域，自2026年3月28日起尾水排放标准执行《城镇污水处理厂污染物排放标准》（DB32/4440-2022）中表1</w:t>
            </w:r>
            <w:r>
              <w:rPr>
                <w:rFonts w:hint="eastAsia"/>
                <w:color w:val="auto"/>
                <w:kern w:val="0"/>
                <w:sz w:val="24"/>
                <w:szCs w:val="24"/>
              </w:rPr>
              <w:t>C</w:t>
            </w:r>
            <w:r>
              <w:rPr>
                <w:color w:val="auto"/>
                <w:kern w:val="0"/>
                <w:sz w:val="24"/>
                <w:szCs w:val="24"/>
              </w:rPr>
              <w:t>标准。</w:t>
            </w:r>
          </w:p>
          <w:p w14:paraId="16615E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废污水排放标准限值表3-1</w:t>
            </w:r>
            <w:r>
              <w:rPr>
                <w:rFonts w:hint="eastAsia"/>
                <w:color w:val="auto"/>
                <w:sz w:val="24"/>
                <w:szCs w:val="24"/>
                <w:lang w:val="en-US" w:eastAsia="zh-CN"/>
              </w:rPr>
              <w:t>2</w:t>
            </w:r>
            <w:r>
              <w:rPr>
                <w:color w:val="auto"/>
                <w:sz w:val="24"/>
                <w:szCs w:val="24"/>
              </w:rPr>
              <w:t>。</w:t>
            </w:r>
          </w:p>
          <w:p w14:paraId="617A1851">
            <w:pPr>
              <w:spacing w:line="370" w:lineRule="exact"/>
              <w:jc w:val="center"/>
              <w:rPr>
                <w:b/>
                <w:color w:val="auto"/>
                <w:sz w:val="21"/>
                <w:szCs w:val="21"/>
              </w:rPr>
            </w:pPr>
            <w:r>
              <w:rPr>
                <w:b/>
                <w:color w:val="auto"/>
                <w:sz w:val="21"/>
                <w:szCs w:val="21"/>
              </w:rPr>
              <w:t>表3-1</w:t>
            </w:r>
            <w:r>
              <w:rPr>
                <w:rFonts w:hint="eastAsia"/>
                <w:b/>
                <w:color w:val="auto"/>
                <w:sz w:val="21"/>
                <w:szCs w:val="21"/>
                <w:lang w:val="en-US" w:eastAsia="zh-CN"/>
              </w:rPr>
              <w:t>2</w:t>
            </w:r>
            <w:r>
              <w:rPr>
                <w:b/>
                <w:color w:val="auto"/>
                <w:sz w:val="21"/>
                <w:szCs w:val="21"/>
              </w:rPr>
              <w:t xml:space="preserve">  废污水排放标准限值表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279"/>
              <w:gridCol w:w="2684"/>
              <w:gridCol w:w="1747"/>
              <w:gridCol w:w="972"/>
              <w:gridCol w:w="813"/>
              <w:gridCol w:w="883"/>
            </w:tblGrid>
            <w:tr w14:paraId="102557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763" w:type="pct"/>
                  <w:noWrap w:val="0"/>
                  <w:vAlign w:val="center"/>
                </w:tcPr>
                <w:p w14:paraId="07F7289A">
                  <w:pPr>
                    <w:pStyle w:val="62"/>
                    <w:spacing w:line="310" w:lineRule="exact"/>
                    <w:jc w:val="center"/>
                    <w:rPr>
                      <w:rFonts w:cs="Times New Roman"/>
                      <w:b/>
                      <w:bCs/>
                      <w:color w:val="auto"/>
                      <w:sz w:val="21"/>
                      <w:szCs w:val="21"/>
                    </w:rPr>
                  </w:pPr>
                  <w:r>
                    <w:rPr>
                      <w:rFonts w:cs="Times New Roman"/>
                      <w:b/>
                      <w:bCs/>
                      <w:color w:val="auto"/>
                      <w:sz w:val="21"/>
                      <w:szCs w:val="21"/>
                    </w:rPr>
                    <w:t>排放口名称</w:t>
                  </w:r>
                </w:p>
              </w:tc>
              <w:tc>
                <w:tcPr>
                  <w:tcW w:w="1601" w:type="pct"/>
                  <w:noWrap w:val="0"/>
                  <w:vAlign w:val="center"/>
                </w:tcPr>
                <w:p w14:paraId="6FA46117">
                  <w:pPr>
                    <w:pStyle w:val="62"/>
                    <w:spacing w:line="310" w:lineRule="exact"/>
                    <w:jc w:val="center"/>
                    <w:rPr>
                      <w:rFonts w:cs="Times New Roman"/>
                      <w:b/>
                      <w:bCs/>
                      <w:color w:val="auto"/>
                      <w:sz w:val="21"/>
                      <w:szCs w:val="21"/>
                    </w:rPr>
                  </w:pPr>
                  <w:r>
                    <w:rPr>
                      <w:rFonts w:cs="Times New Roman"/>
                      <w:b/>
                      <w:bCs/>
                      <w:color w:val="auto"/>
                      <w:sz w:val="21"/>
                      <w:szCs w:val="21"/>
                    </w:rPr>
                    <w:t>执行标准</w:t>
                  </w:r>
                </w:p>
              </w:tc>
              <w:tc>
                <w:tcPr>
                  <w:tcW w:w="1042" w:type="pct"/>
                  <w:noWrap w:val="0"/>
                  <w:vAlign w:val="center"/>
                </w:tcPr>
                <w:p w14:paraId="701C456F">
                  <w:pPr>
                    <w:pStyle w:val="62"/>
                    <w:spacing w:line="310" w:lineRule="exact"/>
                    <w:jc w:val="center"/>
                    <w:rPr>
                      <w:rFonts w:cs="Times New Roman"/>
                      <w:b/>
                      <w:bCs/>
                      <w:color w:val="auto"/>
                      <w:sz w:val="21"/>
                      <w:szCs w:val="21"/>
                    </w:rPr>
                  </w:pPr>
                  <w:r>
                    <w:rPr>
                      <w:rFonts w:cs="Times New Roman"/>
                      <w:b/>
                      <w:bCs/>
                      <w:color w:val="auto"/>
                      <w:sz w:val="21"/>
                      <w:szCs w:val="21"/>
                    </w:rPr>
                    <w:t>取值表号及级别</w:t>
                  </w:r>
                </w:p>
              </w:tc>
              <w:tc>
                <w:tcPr>
                  <w:tcW w:w="580" w:type="pct"/>
                  <w:noWrap w:val="0"/>
                  <w:vAlign w:val="center"/>
                </w:tcPr>
                <w:p w14:paraId="768B59BD">
                  <w:pPr>
                    <w:pStyle w:val="62"/>
                    <w:spacing w:line="310" w:lineRule="exact"/>
                    <w:jc w:val="center"/>
                    <w:rPr>
                      <w:rFonts w:cs="Times New Roman"/>
                      <w:b/>
                      <w:bCs/>
                      <w:color w:val="auto"/>
                      <w:sz w:val="21"/>
                      <w:szCs w:val="21"/>
                    </w:rPr>
                  </w:pPr>
                  <w:r>
                    <w:rPr>
                      <w:rFonts w:cs="Times New Roman"/>
                      <w:b/>
                      <w:bCs/>
                      <w:color w:val="auto"/>
                      <w:sz w:val="21"/>
                      <w:szCs w:val="21"/>
                    </w:rPr>
                    <w:t>污染物</w:t>
                  </w:r>
                </w:p>
                <w:p w14:paraId="5130B520">
                  <w:pPr>
                    <w:pStyle w:val="62"/>
                    <w:spacing w:line="310" w:lineRule="exact"/>
                    <w:jc w:val="center"/>
                    <w:rPr>
                      <w:rFonts w:cs="Times New Roman"/>
                      <w:b/>
                      <w:bCs/>
                      <w:color w:val="auto"/>
                      <w:sz w:val="21"/>
                      <w:szCs w:val="21"/>
                    </w:rPr>
                  </w:pPr>
                  <w:r>
                    <w:rPr>
                      <w:rFonts w:cs="Times New Roman"/>
                      <w:b/>
                      <w:bCs/>
                      <w:color w:val="auto"/>
                      <w:sz w:val="21"/>
                      <w:szCs w:val="21"/>
                    </w:rPr>
                    <w:t>指标</w:t>
                  </w:r>
                </w:p>
              </w:tc>
              <w:tc>
                <w:tcPr>
                  <w:tcW w:w="485" w:type="pct"/>
                  <w:noWrap w:val="0"/>
                  <w:vAlign w:val="center"/>
                </w:tcPr>
                <w:p w14:paraId="0E6A2EA9">
                  <w:pPr>
                    <w:pStyle w:val="62"/>
                    <w:spacing w:line="310" w:lineRule="exact"/>
                    <w:jc w:val="center"/>
                    <w:rPr>
                      <w:rFonts w:cs="Times New Roman"/>
                      <w:b/>
                      <w:bCs/>
                      <w:color w:val="auto"/>
                      <w:sz w:val="21"/>
                      <w:szCs w:val="21"/>
                    </w:rPr>
                  </w:pPr>
                  <w:r>
                    <w:rPr>
                      <w:rFonts w:cs="Times New Roman"/>
                      <w:b/>
                      <w:bCs/>
                      <w:color w:val="auto"/>
                      <w:sz w:val="21"/>
                      <w:szCs w:val="21"/>
                    </w:rPr>
                    <w:t>单位</w:t>
                  </w:r>
                </w:p>
              </w:tc>
              <w:tc>
                <w:tcPr>
                  <w:tcW w:w="526" w:type="pct"/>
                  <w:noWrap w:val="0"/>
                  <w:vAlign w:val="center"/>
                </w:tcPr>
                <w:p w14:paraId="7905065E">
                  <w:pPr>
                    <w:pStyle w:val="62"/>
                    <w:spacing w:line="310" w:lineRule="exact"/>
                    <w:jc w:val="center"/>
                    <w:rPr>
                      <w:rFonts w:cs="Times New Roman"/>
                      <w:b/>
                      <w:bCs/>
                      <w:color w:val="auto"/>
                      <w:sz w:val="21"/>
                      <w:szCs w:val="21"/>
                    </w:rPr>
                  </w:pPr>
                  <w:r>
                    <w:rPr>
                      <w:rFonts w:cs="Times New Roman"/>
                      <w:b/>
                      <w:bCs/>
                      <w:color w:val="auto"/>
                      <w:sz w:val="21"/>
                      <w:szCs w:val="21"/>
                    </w:rPr>
                    <w:t>标准</w:t>
                  </w:r>
                </w:p>
                <w:p w14:paraId="1C17E3BB">
                  <w:pPr>
                    <w:pStyle w:val="62"/>
                    <w:spacing w:line="310" w:lineRule="exact"/>
                    <w:jc w:val="center"/>
                    <w:rPr>
                      <w:rFonts w:cs="Times New Roman"/>
                      <w:b/>
                      <w:bCs/>
                      <w:color w:val="auto"/>
                      <w:sz w:val="21"/>
                      <w:szCs w:val="21"/>
                    </w:rPr>
                  </w:pPr>
                  <w:r>
                    <w:rPr>
                      <w:rFonts w:cs="Times New Roman"/>
                      <w:b/>
                      <w:bCs/>
                      <w:color w:val="auto"/>
                      <w:sz w:val="21"/>
                      <w:szCs w:val="21"/>
                    </w:rPr>
                    <w:t>限值</w:t>
                  </w:r>
                </w:p>
              </w:tc>
            </w:tr>
            <w:tr w14:paraId="2CEE7F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restart"/>
                  <w:noWrap w:val="0"/>
                  <w:vAlign w:val="center"/>
                </w:tcPr>
                <w:p w14:paraId="00C8FA48">
                  <w:pPr>
                    <w:pStyle w:val="62"/>
                    <w:spacing w:line="310" w:lineRule="exact"/>
                    <w:jc w:val="center"/>
                    <w:rPr>
                      <w:rFonts w:cs="Times New Roman"/>
                      <w:color w:val="auto"/>
                      <w:sz w:val="21"/>
                      <w:szCs w:val="21"/>
                    </w:rPr>
                  </w:pPr>
                  <w:r>
                    <w:rPr>
                      <w:rFonts w:cs="Times New Roman"/>
                      <w:color w:val="auto"/>
                      <w:sz w:val="21"/>
                      <w:szCs w:val="21"/>
                    </w:rPr>
                    <w:t>废水排口</w:t>
                  </w:r>
                </w:p>
              </w:tc>
              <w:tc>
                <w:tcPr>
                  <w:tcW w:w="1601" w:type="pct"/>
                  <w:vMerge w:val="restart"/>
                  <w:noWrap w:val="0"/>
                  <w:vAlign w:val="center"/>
                </w:tcPr>
                <w:p w14:paraId="7200DE4D">
                  <w:pPr>
                    <w:pStyle w:val="62"/>
                    <w:spacing w:line="310" w:lineRule="exact"/>
                    <w:jc w:val="center"/>
                    <w:rPr>
                      <w:rFonts w:cs="Times New Roman"/>
                      <w:color w:val="auto"/>
                      <w:sz w:val="21"/>
                      <w:szCs w:val="21"/>
                    </w:rPr>
                  </w:pPr>
                  <w:r>
                    <w:rPr>
                      <w:rFonts w:hint="eastAsia" w:cs="Times New Roman"/>
                      <w:color w:val="auto"/>
                      <w:kern w:val="0"/>
                      <w:sz w:val="21"/>
                      <w:szCs w:val="21"/>
                    </w:rPr>
                    <w:t>常州金坛区第二污水处理有限公司污水接管标准</w:t>
                  </w:r>
                </w:p>
              </w:tc>
              <w:tc>
                <w:tcPr>
                  <w:tcW w:w="1042" w:type="pct"/>
                  <w:vMerge w:val="restart"/>
                  <w:noWrap w:val="0"/>
                  <w:vAlign w:val="center"/>
                </w:tcPr>
                <w:p w14:paraId="0B01B14E">
                  <w:pPr>
                    <w:pStyle w:val="62"/>
                    <w:spacing w:line="310" w:lineRule="exact"/>
                    <w:jc w:val="center"/>
                    <w:rPr>
                      <w:rFonts w:hint="eastAsia" w:cs="Times New Roman"/>
                      <w:color w:val="auto"/>
                      <w:sz w:val="21"/>
                      <w:szCs w:val="21"/>
                    </w:rPr>
                  </w:pPr>
                  <w:r>
                    <w:rPr>
                      <w:rFonts w:hint="eastAsia" w:cs="Times New Roman"/>
                      <w:color w:val="auto"/>
                      <w:sz w:val="21"/>
                      <w:szCs w:val="21"/>
                    </w:rPr>
                    <w:t>/</w:t>
                  </w:r>
                </w:p>
              </w:tc>
              <w:tc>
                <w:tcPr>
                  <w:tcW w:w="580" w:type="pct"/>
                  <w:noWrap w:val="0"/>
                  <w:vAlign w:val="center"/>
                </w:tcPr>
                <w:p w14:paraId="18800519">
                  <w:pPr>
                    <w:pStyle w:val="62"/>
                    <w:spacing w:line="310" w:lineRule="exact"/>
                    <w:jc w:val="center"/>
                    <w:rPr>
                      <w:rFonts w:cs="Times New Roman"/>
                      <w:color w:val="auto"/>
                      <w:sz w:val="21"/>
                      <w:szCs w:val="21"/>
                    </w:rPr>
                  </w:pPr>
                  <w:r>
                    <w:rPr>
                      <w:rFonts w:cs="Times New Roman"/>
                      <w:color w:val="auto"/>
                      <w:sz w:val="21"/>
                      <w:szCs w:val="21"/>
                    </w:rPr>
                    <w:t>pH</w:t>
                  </w:r>
                </w:p>
              </w:tc>
              <w:tc>
                <w:tcPr>
                  <w:tcW w:w="485" w:type="pct"/>
                  <w:noWrap w:val="0"/>
                  <w:vAlign w:val="center"/>
                </w:tcPr>
                <w:p w14:paraId="10C2FCE2">
                  <w:pPr>
                    <w:pStyle w:val="62"/>
                    <w:spacing w:line="310" w:lineRule="exact"/>
                    <w:jc w:val="center"/>
                    <w:rPr>
                      <w:rFonts w:cs="Times New Roman"/>
                      <w:color w:val="auto"/>
                      <w:sz w:val="21"/>
                      <w:szCs w:val="21"/>
                    </w:rPr>
                  </w:pPr>
                  <w:r>
                    <w:rPr>
                      <w:rFonts w:cs="Times New Roman"/>
                      <w:color w:val="auto"/>
                      <w:sz w:val="21"/>
                      <w:szCs w:val="21"/>
                    </w:rPr>
                    <w:t>－</w:t>
                  </w:r>
                </w:p>
              </w:tc>
              <w:tc>
                <w:tcPr>
                  <w:tcW w:w="526" w:type="pct"/>
                  <w:noWrap w:val="0"/>
                  <w:vAlign w:val="center"/>
                </w:tcPr>
                <w:p w14:paraId="4D088444">
                  <w:pPr>
                    <w:pStyle w:val="62"/>
                    <w:spacing w:line="310" w:lineRule="exact"/>
                    <w:jc w:val="center"/>
                    <w:rPr>
                      <w:rFonts w:hint="eastAsia" w:cs="Times New Roman"/>
                      <w:color w:val="auto"/>
                      <w:sz w:val="21"/>
                      <w:szCs w:val="21"/>
                    </w:rPr>
                  </w:pPr>
                  <w:r>
                    <w:rPr>
                      <w:rFonts w:cs="Times New Roman"/>
                      <w:color w:val="auto"/>
                      <w:sz w:val="21"/>
                      <w:szCs w:val="21"/>
                    </w:rPr>
                    <w:t>6.</w:t>
                  </w:r>
                  <w:r>
                    <w:rPr>
                      <w:rFonts w:hint="eastAsia" w:cs="Times New Roman"/>
                      <w:color w:val="auto"/>
                      <w:sz w:val="21"/>
                      <w:szCs w:val="21"/>
                    </w:rPr>
                    <w:t>0</w:t>
                  </w:r>
                  <w:r>
                    <w:rPr>
                      <w:rFonts w:cs="Times New Roman"/>
                      <w:color w:val="auto"/>
                      <w:sz w:val="21"/>
                      <w:szCs w:val="21"/>
                    </w:rPr>
                    <w:t>～9.</w:t>
                  </w:r>
                  <w:r>
                    <w:rPr>
                      <w:rFonts w:hint="eastAsia" w:cs="Times New Roman"/>
                      <w:color w:val="auto"/>
                      <w:sz w:val="21"/>
                      <w:szCs w:val="21"/>
                    </w:rPr>
                    <w:t>0</w:t>
                  </w:r>
                </w:p>
              </w:tc>
            </w:tr>
            <w:tr w14:paraId="594265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1BEF191B">
                  <w:pPr>
                    <w:pStyle w:val="62"/>
                    <w:spacing w:line="310" w:lineRule="exact"/>
                    <w:jc w:val="center"/>
                    <w:rPr>
                      <w:rFonts w:cs="Times New Roman"/>
                      <w:color w:val="auto"/>
                      <w:sz w:val="21"/>
                      <w:szCs w:val="21"/>
                    </w:rPr>
                  </w:pPr>
                </w:p>
              </w:tc>
              <w:tc>
                <w:tcPr>
                  <w:tcW w:w="1601" w:type="pct"/>
                  <w:vMerge w:val="continue"/>
                  <w:noWrap w:val="0"/>
                  <w:vAlign w:val="center"/>
                </w:tcPr>
                <w:p w14:paraId="4CF8CD1B">
                  <w:pPr>
                    <w:pStyle w:val="62"/>
                    <w:spacing w:line="310" w:lineRule="exact"/>
                    <w:jc w:val="center"/>
                    <w:rPr>
                      <w:rFonts w:cs="Times New Roman"/>
                      <w:color w:val="auto"/>
                      <w:sz w:val="21"/>
                      <w:szCs w:val="21"/>
                    </w:rPr>
                  </w:pPr>
                </w:p>
              </w:tc>
              <w:tc>
                <w:tcPr>
                  <w:tcW w:w="1042" w:type="pct"/>
                  <w:vMerge w:val="continue"/>
                  <w:noWrap w:val="0"/>
                  <w:vAlign w:val="center"/>
                </w:tcPr>
                <w:p w14:paraId="37A8D9F0">
                  <w:pPr>
                    <w:pStyle w:val="62"/>
                    <w:spacing w:line="310" w:lineRule="exact"/>
                    <w:jc w:val="center"/>
                    <w:rPr>
                      <w:rFonts w:cs="Times New Roman"/>
                      <w:color w:val="auto"/>
                      <w:sz w:val="21"/>
                      <w:szCs w:val="21"/>
                    </w:rPr>
                  </w:pPr>
                </w:p>
              </w:tc>
              <w:tc>
                <w:tcPr>
                  <w:tcW w:w="580" w:type="pct"/>
                  <w:noWrap w:val="0"/>
                  <w:vAlign w:val="center"/>
                </w:tcPr>
                <w:p w14:paraId="59BAB56E">
                  <w:pPr>
                    <w:pStyle w:val="62"/>
                    <w:spacing w:line="310" w:lineRule="exact"/>
                    <w:jc w:val="center"/>
                    <w:rPr>
                      <w:rFonts w:cs="Times New Roman"/>
                      <w:color w:val="auto"/>
                      <w:sz w:val="21"/>
                      <w:szCs w:val="21"/>
                    </w:rPr>
                  </w:pPr>
                  <w:r>
                    <w:rPr>
                      <w:rFonts w:cs="Times New Roman"/>
                      <w:color w:val="auto"/>
                      <w:sz w:val="21"/>
                      <w:szCs w:val="21"/>
                    </w:rPr>
                    <w:t>COD</w:t>
                  </w:r>
                </w:p>
              </w:tc>
              <w:tc>
                <w:tcPr>
                  <w:tcW w:w="485" w:type="pct"/>
                  <w:noWrap w:val="0"/>
                  <w:vAlign w:val="center"/>
                </w:tcPr>
                <w:p w14:paraId="0A1AB742">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3A198A7E">
                  <w:pPr>
                    <w:pStyle w:val="62"/>
                    <w:spacing w:line="310" w:lineRule="exact"/>
                    <w:jc w:val="center"/>
                    <w:rPr>
                      <w:rFonts w:cs="Times New Roman"/>
                      <w:color w:val="auto"/>
                      <w:sz w:val="21"/>
                      <w:szCs w:val="21"/>
                    </w:rPr>
                  </w:pPr>
                  <w:r>
                    <w:rPr>
                      <w:rFonts w:cs="Times New Roman"/>
                      <w:color w:val="auto"/>
                      <w:sz w:val="21"/>
                      <w:szCs w:val="21"/>
                    </w:rPr>
                    <w:t>500</w:t>
                  </w:r>
                </w:p>
              </w:tc>
            </w:tr>
            <w:tr w14:paraId="6390D3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618E367D">
                  <w:pPr>
                    <w:pStyle w:val="62"/>
                    <w:spacing w:line="310" w:lineRule="exact"/>
                    <w:jc w:val="center"/>
                    <w:rPr>
                      <w:rFonts w:cs="Times New Roman"/>
                      <w:color w:val="auto"/>
                      <w:sz w:val="21"/>
                      <w:szCs w:val="21"/>
                    </w:rPr>
                  </w:pPr>
                </w:p>
              </w:tc>
              <w:tc>
                <w:tcPr>
                  <w:tcW w:w="1601" w:type="pct"/>
                  <w:vMerge w:val="continue"/>
                  <w:noWrap w:val="0"/>
                  <w:vAlign w:val="center"/>
                </w:tcPr>
                <w:p w14:paraId="0D9C2B2A">
                  <w:pPr>
                    <w:pStyle w:val="62"/>
                    <w:spacing w:line="310" w:lineRule="exact"/>
                    <w:jc w:val="center"/>
                    <w:rPr>
                      <w:rFonts w:cs="Times New Roman"/>
                      <w:color w:val="auto"/>
                      <w:sz w:val="21"/>
                      <w:szCs w:val="21"/>
                    </w:rPr>
                  </w:pPr>
                </w:p>
              </w:tc>
              <w:tc>
                <w:tcPr>
                  <w:tcW w:w="1042" w:type="pct"/>
                  <w:vMerge w:val="continue"/>
                  <w:noWrap w:val="0"/>
                  <w:vAlign w:val="center"/>
                </w:tcPr>
                <w:p w14:paraId="7263AF02">
                  <w:pPr>
                    <w:pStyle w:val="62"/>
                    <w:spacing w:line="310" w:lineRule="exact"/>
                    <w:jc w:val="center"/>
                    <w:rPr>
                      <w:rFonts w:cs="Times New Roman"/>
                      <w:color w:val="auto"/>
                      <w:sz w:val="21"/>
                      <w:szCs w:val="21"/>
                    </w:rPr>
                  </w:pPr>
                </w:p>
              </w:tc>
              <w:tc>
                <w:tcPr>
                  <w:tcW w:w="580" w:type="pct"/>
                  <w:noWrap w:val="0"/>
                  <w:vAlign w:val="center"/>
                </w:tcPr>
                <w:p w14:paraId="4313868E">
                  <w:pPr>
                    <w:pStyle w:val="62"/>
                    <w:spacing w:line="310" w:lineRule="exact"/>
                    <w:jc w:val="center"/>
                    <w:rPr>
                      <w:rFonts w:cs="Times New Roman"/>
                      <w:color w:val="auto"/>
                      <w:sz w:val="21"/>
                      <w:szCs w:val="21"/>
                    </w:rPr>
                  </w:pPr>
                  <w:r>
                    <w:rPr>
                      <w:rFonts w:cs="Times New Roman"/>
                      <w:color w:val="auto"/>
                      <w:sz w:val="21"/>
                      <w:szCs w:val="21"/>
                    </w:rPr>
                    <w:t>SS</w:t>
                  </w:r>
                </w:p>
              </w:tc>
              <w:tc>
                <w:tcPr>
                  <w:tcW w:w="485" w:type="pct"/>
                  <w:noWrap w:val="0"/>
                  <w:vAlign w:val="center"/>
                </w:tcPr>
                <w:p w14:paraId="55E4681E">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26F8EC41">
                  <w:pPr>
                    <w:pStyle w:val="62"/>
                    <w:spacing w:line="310" w:lineRule="exact"/>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250</w:t>
                  </w:r>
                </w:p>
              </w:tc>
            </w:tr>
            <w:tr w14:paraId="1AC5E0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491D2BC5">
                  <w:pPr>
                    <w:pStyle w:val="62"/>
                    <w:spacing w:line="310" w:lineRule="exact"/>
                    <w:jc w:val="center"/>
                    <w:rPr>
                      <w:rFonts w:cs="Times New Roman"/>
                      <w:color w:val="auto"/>
                      <w:sz w:val="21"/>
                      <w:szCs w:val="21"/>
                    </w:rPr>
                  </w:pPr>
                </w:p>
              </w:tc>
              <w:tc>
                <w:tcPr>
                  <w:tcW w:w="1601" w:type="pct"/>
                  <w:vMerge w:val="continue"/>
                  <w:noWrap w:val="0"/>
                  <w:vAlign w:val="center"/>
                </w:tcPr>
                <w:p w14:paraId="5FCB8227">
                  <w:pPr>
                    <w:pStyle w:val="62"/>
                    <w:spacing w:line="310" w:lineRule="exact"/>
                    <w:jc w:val="center"/>
                    <w:rPr>
                      <w:rFonts w:cs="Times New Roman"/>
                      <w:color w:val="auto"/>
                      <w:sz w:val="21"/>
                      <w:szCs w:val="21"/>
                    </w:rPr>
                  </w:pPr>
                </w:p>
              </w:tc>
              <w:tc>
                <w:tcPr>
                  <w:tcW w:w="1042" w:type="pct"/>
                  <w:vMerge w:val="continue"/>
                  <w:noWrap w:val="0"/>
                  <w:vAlign w:val="center"/>
                </w:tcPr>
                <w:p w14:paraId="29C62B14">
                  <w:pPr>
                    <w:pStyle w:val="62"/>
                    <w:spacing w:line="310" w:lineRule="exact"/>
                    <w:jc w:val="center"/>
                    <w:rPr>
                      <w:rFonts w:cs="Times New Roman"/>
                      <w:color w:val="auto"/>
                      <w:sz w:val="21"/>
                      <w:szCs w:val="21"/>
                    </w:rPr>
                  </w:pPr>
                </w:p>
              </w:tc>
              <w:tc>
                <w:tcPr>
                  <w:tcW w:w="580" w:type="pct"/>
                  <w:noWrap w:val="0"/>
                  <w:vAlign w:val="center"/>
                </w:tcPr>
                <w:p w14:paraId="3CCB6649">
                  <w:pPr>
                    <w:pStyle w:val="62"/>
                    <w:spacing w:line="310" w:lineRule="exact"/>
                    <w:jc w:val="center"/>
                    <w:rPr>
                      <w:rFonts w:cs="Times New Roman"/>
                      <w:color w:val="auto"/>
                      <w:sz w:val="21"/>
                      <w:szCs w:val="21"/>
                    </w:rPr>
                  </w:pPr>
                  <w:r>
                    <w:rPr>
                      <w:rFonts w:cs="Times New Roman"/>
                      <w:color w:val="auto"/>
                      <w:sz w:val="21"/>
                      <w:szCs w:val="21"/>
                    </w:rPr>
                    <w:t>氨氮</w:t>
                  </w:r>
                </w:p>
              </w:tc>
              <w:tc>
                <w:tcPr>
                  <w:tcW w:w="485" w:type="pct"/>
                  <w:noWrap w:val="0"/>
                  <w:vAlign w:val="center"/>
                </w:tcPr>
                <w:p w14:paraId="2BB52D5F">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32375B82">
                  <w:pPr>
                    <w:pStyle w:val="62"/>
                    <w:spacing w:line="310" w:lineRule="exact"/>
                    <w:jc w:val="center"/>
                    <w:rPr>
                      <w:rFonts w:cs="Times New Roman"/>
                      <w:color w:val="auto"/>
                      <w:sz w:val="21"/>
                      <w:szCs w:val="21"/>
                    </w:rPr>
                  </w:pPr>
                  <w:r>
                    <w:rPr>
                      <w:rFonts w:hint="eastAsia" w:cs="Times New Roman"/>
                      <w:color w:val="auto"/>
                      <w:sz w:val="21"/>
                      <w:szCs w:val="21"/>
                    </w:rPr>
                    <w:t>35</w:t>
                  </w:r>
                </w:p>
              </w:tc>
            </w:tr>
            <w:tr w14:paraId="49568A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66D92B97">
                  <w:pPr>
                    <w:pStyle w:val="62"/>
                    <w:spacing w:line="310" w:lineRule="exact"/>
                    <w:jc w:val="center"/>
                    <w:rPr>
                      <w:rFonts w:cs="Times New Roman"/>
                      <w:color w:val="auto"/>
                      <w:sz w:val="21"/>
                      <w:szCs w:val="21"/>
                    </w:rPr>
                  </w:pPr>
                </w:p>
              </w:tc>
              <w:tc>
                <w:tcPr>
                  <w:tcW w:w="1601" w:type="pct"/>
                  <w:vMerge w:val="continue"/>
                  <w:noWrap w:val="0"/>
                  <w:vAlign w:val="center"/>
                </w:tcPr>
                <w:p w14:paraId="77858AC2">
                  <w:pPr>
                    <w:pStyle w:val="62"/>
                    <w:spacing w:line="310" w:lineRule="exact"/>
                    <w:jc w:val="center"/>
                    <w:rPr>
                      <w:rFonts w:cs="Times New Roman"/>
                      <w:color w:val="auto"/>
                      <w:sz w:val="21"/>
                      <w:szCs w:val="21"/>
                    </w:rPr>
                  </w:pPr>
                </w:p>
              </w:tc>
              <w:tc>
                <w:tcPr>
                  <w:tcW w:w="1042" w:type="pct"/>
                  <w:vMerge w:val="continue"/>
                  <w:noWrap w:val="0"/>
                  <w:vAlign w:val="center"/>
                </w:tcPr>
                <w:p w14:paraId="5A3E3956">
                  <w:pPr>
                    <w:pStyle w:val="62"/>
                    <w:spacing w:line="310" w:lineRule="exact"/>
                    <w:jc w:val="center"/>
                    <w:rPr>
                      <w:rFonts w:cs="Times New Roman"/>
                      <w:color w:val="auto"/>
                      <w:sz w:val="21"/>
                      <w:szCs w:val="21"/>
                    </w:rPr>
                  </w:pPr>
                </w:p>
              </w:tc>
              <w:tc>
                <w:tcPr>
                  <w:tcW w:w="580" w:type="pct"/>
                  <w:noWrap w:val="0"/>
                  <w:vAlign w:val="center"/>
                </w:tcPr>
                <w:p w14:paraId="2C05DFB6">
                  <w:pPr>
                    <w:pStyle w:val="62"/>
                    <w:spacing w:line="310" w:lineRule="exact"/>
                    <w:jc w:val="center"/>
                    <w:rPr>
                      <w:rFonts w:cs="Times New Roman"/>
                      <w:color w:val="auto"/>
                      <w:sz w:val="21"/>
                      <w:szCs w:val="21"/>
                    </w:rPr>
                  </w:pPr>
                  <w:r>
                    <w:rPr>
                      <w:rFonts w:cs="Times New Roman"/>
                      <w:color w:val="auto"/>
                      <w:sz w:val="21"/>
                      <w:szCs w:val="21"/>
                    </w:rPr>
                    <w:t>TP</w:t>
                  </w:r>
                </w:p>
              </w:tc>
              <w:tc>
                <w:tcPr>
                  <w:tcW w:w="485" w:type="pct"/>
                  <w:noWrap w:val="0"/>
                  <w:vAlign w:val="center"/>
                </w:tcPr>
                <w:p w14:paraId="64AD376E">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6A44E697">
                  <w:pPr>
                    <w:pStyle w:val="62"/>
                    <w:spacing w:line="310" w:lineRule="exact"/>
                    <w:jc w:val="center"/>
                    <w:rPr>
                      <w:rFonts w:hint="eastAsia" w:cs="Times New Roman"/>
                      <w:color w:val="auto"/>
                      <w:sz w:val="21"/>
                      <w:szCs w:val="21"/>
                    </w:rPr>
                  </w:pPr>
                  <w:r>
                    <w:rPr>
                      <w:rFonts w:hint="eastAsia" w:cs="Times New Roman"/>
                      <w:color w:val="auto"/>
                      <w:sz w:val="21"/>
                      <w:szCs w:val="21"/>
                    </w:rPr>
                    <w:t>3</w:t>
                  </w:r>
                </w:p>
              </w:tc>
            </w:tr>
            <w:tr w14:paraId="2F8409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7FB3A150">
                  <w:pPr>
                    <w:pStyle w:val="62"/>
                    <w:spacing w:line="310" w:lineRule="exact"/>
                    <w:jc w:val="center"/>
                    <w:rPr>
                      <w:rFonts w:cs="Times New Roman"/>
                      <w:color w:val="auto"/>
                      <w:sz w:val="21"/>
                      <w:szCs w:val="21"/>
                    </w:rPr>
                  </w:pPr>
                </w:p>
              </w:tc>
              <w:tc>
                <w:tcPr>
                  <w:tcW w:w="1601" w:type="pct"/>
                  <w:vMerge w:val="continue"/>
                  <w:noWrap w:val="0"/>
                  <w:vAlign w:val="center"/>
                </w:tcPr>
                <w:p w14:paraId="129B89C8">
                  <w:pPr>
                    <w:pStyle w:val="62"/>
                    <w:spacing w:line="310" w:lineRule="exact"/>
                    <w:jc w:val="center"/>
                    <w:rPr>
                      <w:rFonts w:cs="Times New Roman"/>
                      <w:color w:val="auto"/>
                      <w:sz w:val="21"/>
                      <w:szCs w:val="21"/>
                    </w:rPr>
                  </w:pPr>
                </w:p>
              </w:tc>
              <w:tc>
                <w:tcPr>
                  <w:tcW w:w="1042" w:type="pct"/>
                  <w:vMerge w:val="continue"/>
                  <w:noWrap w:val="0"/>
                  <w:vAlign w:val="center"/>
                </w:tcPr>
                <w:p w14:paraId="1BD15A23">
                  <w:pPr>
                    <w:pStyle w:val="62"/>
                    <w:spacing w:line="310" w:lineRule="exact"/>
                    <w:jc w:val="center"/>
                    <w:rPr>
                      <w:rFonts w:cs="Times New Roman"/>
                      <w:color w:val="auto"/>
                      <w:sz w:val="21"/>
                      <w:szCs w:val="21"/>
                    </w:rPr>
                  </w:pPr>
                </w:p>
              </w:tc>
              <w:tc>
                <w:tcPr>
                  <w:tcW w:w="580" w:type="pct"/>
                  <w:noWrap w:val="0"/>
                  <w:vAlign w:val="center"/>
                </w:tcPr>
                <w:p w14:paraId="7E0C460F">
                  <w:pPr>
                    <w:pStyle w:val="62"/>
                    <w:spacing w:line="310" w:lineRule="exact"/>
                    <w:jc w:val="center"/>
                    <w:rPr>
                      <w:rFonts w:cs="Times New Roman"/>
                      <w:color w:val="auto"/>
                      <w:sz w:val="21"/>
                      <w:szCs w:val="21"/>
                    </w:rPr>
                  </w:pPr>
                  <w:r>
                    <w:rPr>
                      <w:rFonts w:cs="Times New Roman"/>
                      <w:color w:val="auto"/>
                      <w:sz w:val="21"/>
                      <w:szCs w:val="21"/>
                    </w:rPr>
                    <w:t>TN</w:t>
                  </w:r>
                </w:p>
              </w:tc>
              <w:tc>
                <w:tcPr>
                  <w:tcW w:w="485" w:type="pct"/>
                  <w:noWrap w:val="0"/>
                  <w:vAlign w:val="center"/>
                </w:tcPr>
                <w:p w14:paraId="45731514">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7B3497BE">
                  <w:pPr>
                    <w:pStyle w:val="62"/>
                    <w:spacing w:line="310" w:lineRule="exact"/>
                    <w:jc w:val="center"/>
                    <w:rPr>
                      <w:rFonts w:cs="Times New Roman"/>
                      <w:color w:val="auto"/>
                      <w:sz w:val="21"/>
                      <w:szCs w:val="21"/>
                    </w:rPr>
                  </w:pPr>
                  <w:r>
                    <w:rPr>
                      <w:rFonts w:hint="eastAsia" w:cs="Times New Roman"/>
                      <w:color w:val="auto"/>
                      <w:sz w:val="21"/>
                      <w:szCs w:val="21"/>
                    </w:rPr>
                    <w:t>50</w:t>
                  </w:r>
                </w:p>
              </w:tc>
            </w:tr>
            <w:tr w14:paraId="4ED0AD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restart"/>
                  <w:noWrap w:val="0"/>
                  <w:vAlign w:val="center"/>
                </w:tcPr>
                <w:p w14:paraId="7CD6EF79">
                  <w:pPr>
                    <w:pStyle w:val="62"/>
                    <w:spacing w:line="310" w:lineRule="exact"/>
                    <w:jc w:val="center"/>
                    <w:rPr>
                      <w:rFonts w:cs="Times New Roman"/>
                      <w:color w:val="auto"/>
                      <w:sz w:val="21"/>
                      <w:szCs w:val="21"/>
                    </w:rPr>
                  </w:pPr>
                  <w:r>
                    <w:rPr>
                      <w:rFonts w:hint="eastAsia" w:cs="Times New Roman"/>
                      <w:color w:val="auto"/>
                      <w:kern w:val="0"/>
                      <w:sz w:val="21"/>
                      <w:szCs w:val="21"/>
                    </w:rPr>
                    <w:t>常</w:t>
                  </w:r>
                  <w:r>
                    <w:rPr>
                      <w:rFonts w:hint="eastAsia" w:cs="Times New Roman"/>
                      <w:color w:val="auto"/>
                      <w:sz w:val="21"/>
                      <w:szCs w:val="21"/>
                    </w:rPr>
                    <w:t>州金坛区第二污水处理有限公司</w:t>
                  </w:r>
                  <w:r>
                    <w:rPr>
                      <w:rFonts w:cs="Times New Roman"/>
                      <w:color w:val="auto"/>
                      <w:sz w:val="21"/>
                      <w:szCs w:val="21"/>
                    </w:rPr>
                    <w:t>排口</w:t>
                  </w:r>
                </w:p>
              </w:tc>
              <w:tc>
                <w:tcPr>
                  <w:tcW w:w="1601" w:type="pct"/>
                  <w:vMerge w:val="restart"/>
                  <w:noWrap w:val="0"/>
                  <w:vAlign w:val="center"/>
                </w:tcPr>
                <w:p w14:paraId="2A065E78">
                  <w:pPr>
                    <w:pStyle w:val="62"/>
                    <w:spacing w:line="310" w:lineRule="exact"/>
                    <w:jc w:val="center"/>
                    <w:rPr>
                      <w:rFonts w:hint="eastAsia" w:eastAsia="宋体" w:cs="Times New Roman"/>
                      <w:color w:val="auto"/>
                      <w:sz w:val="21"/>
                      <w:szCs w:val="21"/>
                      <w:lang w:eastAsia="zh-CN"/>
                    </w:rPr>
                  </w:pPr>
                  <w:r>
                    <w:rPr>
                      <w:rFonts w:cs="Times New Roman"/>
                      <w:color w:val="auto"/>
                      <w:sz w:val="21"/>
                      <w:szCs w:val="21"/>
                    </w:rPr>
                    <w:t>《太湖地区城镇污水处理厂及重点工业行业水</w:t>
                  </w:r>
                  <w:r>
                    <w:rPr>
                      <w:rFonts w:hint="eastAsia" w:cs="Times New Roman"/>
                      <w:color w:val="auto"/>
                      <w:sz w:val="21"/>
                      <w:szCs w:val="21"/>
                      <w:lang w:val="en-US" w:eastAsia="zh-CN"/>
                    </w:rPr>
                    <w:t>4</w:t>
                  </w:r>
                  <w:r>
                    <w:rPr>
                      <w:rFonts w:cs="Times New Roman"/>
                      <w:color w:val="auto"/>
                      <w:sz w:val="21"/>
                      <w:szCs w:val="21"/>
                    </w:rPr>
                    <w:t>物排放限值》(DB32</w:t>
                  </w:r>
                  <w:r>
                    <w:rPr>
                      <w:rFonts w:hint="eastAsia" w:cs="Times New Roman"/>
                      <w:color w:val="auto"/>
                      <w:sz w:val="21"/>
                      <w:szCs w:val="21"/>
                      <w:lang w:val="en-US" w:eastAsia="zh-CN"/>
                    </w:rPr>
                    <w:t xml:space="preserve">  </w:t>
                  </w:r>
                  <w:r>
                    <w:rPr>
                      <w:rFonts w:cs="Times New Roman"/>
                      <w:color w:val="auto"/>
                      <w:sz w:val="21"/>
                      <w:szCs w:val="21"/>
                    </w:rPr>
                    <w:t>1072-20180</w:t>
                  </w:r>
                  <w:r>
                    <w:rPr>
                      <w:rFonts w:hint="eastAsia" w:cs="Times New Roman"/>
                      <w:color w:val="auto"/>
                      <w:sz w:val="21"/>
                      <w:szCs w:val="21"/>
                      <w:lang w:eastAsia="zh-CN"/>
                    </w:rPr>
                    <w:t>）</w:t>
                  </w:r>
                </w:p>
              </w:tc>
              <w:tc>
                <w:tcPr>
                  <w:tcW w:w="1042" w:type="pct"/>
                  <w:vMerge w:val="restart"/>
                  <w:noWrap w:val="0"/>
                  <w:vAlign w:val="center"/>
                </w:tcPr>
                <w:p w14:paraId="5210A670">
                  <w:pPr>
                    <w:pStyle w:val="62"/>
                    <w:spacing w:line="310" w:lineRule="exact"/>
                    <w:jc w:val="center"/>
                    <w:rPr>
                      <w:rFonts w:cs="Times New Roman"/>
                      <w:color w:val="auto"/>
                      <w:sz w:val="21"/>
                      <w:szCs w:val="21"/>
                    </w:rPr>
                  </w:pPr>
                  <w:r>
                    <w:rPr>
                      <w:rFonts w:cs="Times New Roman"/>
                      <w:color w:val="auto"/>
                      <w:sz w:val="21"/>
                      <w:szCs w:val="21"/>
                    </w:rPr>
                    <w:t>表2</w:t>
                  </w:r>
                </w:p>
                <w:p w14:paraId="439491DA">
                  <w:pPr>
                    <w:pStyle w:val="62"/>
                    <w:spacing w:line="310" w:lineRule="exact"/>
                    <w:jc w:val="center"/>
                    <w:rPr>
                      <w:rFonts w:cs="Times New Roman"/>
                      <w:color w:val="auto"/>
                      <w:sz w:val="21"/>
                      <w:szCs w:val="21"/>
                    </w:rPr>
                  </w:pPr>
                  <w:r>
                    <w:rPr>
                      <w:rFonts w:cs="Times New Roman"/>
                      <w:color w:val="auto"/>
                      <w:sz w:val="21"/>
                      <w:szCs w:val="21"/>
                    </w:rPr>
                    <w:t>城镇污水处理厂</w:t>
                  </w:r>
                </w:p>
              </w:tc>
              <w:tc>
                <w:tcPr>
                  <w:tcW w:w="580" w:type="pct"/>
                  <w:noWrap w:val="0"/>
                  <w:vAlign w:val="center"/>
                </w:tcPr>
                <w:p w14:paraId="45A1B126">
                  <w:pPr>
                    <w:pStyle w:val="62"/>
                    <w:spacing w:line="310" w:lineRule="exact"/>
                    <w:jc w:val="center"/>
                    <w:rPr>
                      <w:rFonts w:cs="Times New Roman"/>
                      <w:color w:val="auto"/>
                      <w:sz w:val="21"/>
                      <w:szCs w:val="21"/>
                    </w:rPr>
                  </w:pPr>
                  <w:r>
                    <w:rPr>
                      <w:rFonts w:cs="Times New Roman"/>
                      <w:color w:val="auto"/>
                      <w:sz w:val="21"/>
                      <w:szCs w:val="21"/>
                    </w:rPr>
                    <w:t>COD</w:t>
                  </w:r>
                </w:p>
              </w:tc>
              <w:tc>
                <w:tcPr>
                  <w:tcW w:w="485" w:type="pct"/>
                  <w:noWrap w:val="0"/>
                  <w:vAlign w:val="center"/>
                </w:tcPr>
                <w:p w14:paraId="4B5C1413">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4A39390F">
                  <w:pPr>
                    <w:pStyle w:val="62"/>
                    <w:spacing w:line="310" w:lineRule="exact"/>
                    <w:jc w:val="center"/>
                    <w:rPr>
                      <w:rFonts w:cs="Times New Roman"/>
                      <w:color w:val="auto"/>
                      <w:sz w:val="21"/>
                      <w:szCs w:val="21"/>
                    </w:rPr>
                  </w:pPr>
                  <w:r>
                    <w:rPr>
                      <w:rFonts w:cs="Times New Roman"/>
                      <w:color w:val="auto"/>
                      <w:sz w:val="21"/>
                      <w:szCs w:val="21"/>
                    </w:rPr>
                    <w:t>50</w:t>
                  </w:r>
                </w:p>
              </w:tc>
            </w:tr>
            <w:tr w14:paraId="0EF3AF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3874D6FB">
                  <w:pPr>
                    <w:pStyle w:val="62"/>
                    <w:spacing w:line="310" w:lineRule="exact"/>
                    <w:jc w:val="center"/>
                    <w:rPr>
                      <w:rFonts w:cs="Times New Roman"/>
                      <w:color w:val="auto"/>
                      <w:sz w:val="21"/>
                      <w:szCs w:val="21"/>
                    </w:rPr>
                  </w:pPr>
                </w:p>
              </w:tc>
              <w:tc>
                <w:tcPr>
                  <w:tcW w:w="1601" w:type="pct"/>
                  <w:vMerge w:val="continue"/>
                  <w:noWrap w:val="0"/>
                  <w:vAlign w:val="center"/>
                </w:tcPr>
                <w:p w14:paraId="36ECCE64">
                  <w:pPr>
                    <w:pStyle w:val="62"/>
                    <w:spacing w:line="310" w:lineRule="exact"/>
                    <w:jc w:val="center"/>
                    <w:rPr>
                      <w:rFonts w:cs="Times New Roman"/>
                      <w:color w:val="auto"/>
                      <w:sz w:val="21"/>
                      <w:szCs w:val="21"/>
                    </w:rPr>
                  </w:pPr>
                </w:p>
              </w:tc>
              <w:tc>
                <w:tcPr>
                  <w:tcW w:w="1042" w:type="pct"/>
                  <w:vMerge w:val="continue"/>
                  <w:noWrap w:val="0"/>
                  <w:vAlign w:val="center"/>
                </w:tcPr>
                <w:p w14:paraId="59D90B76">
                  <w:pPr>
                    <w:pStyle w:val="62"/>
                    <w:spacing w:line="310" w:lineRule="exact"/>
                    <w:jc w:val="center"/>
                    <w:rPr>
                      <w:rFonts w:cs="Times New Roman"/>
                      <w:color w:val="auto"/>
                      <w:sz w:val="21"/>
                      <w:szCs w:val="21"/>
                    </w:rPr>
                  </w:pPr>
                </w:p>
              </w:tc>
              <w:tc>
                <w:tcPr>
                  <w:tcW w:w="580" w:type="pct"/>
                  <w:noWrap w:val="0"/>
                  <w:vAlign w:val="center"/>
                </w:tcPr>
                <w:p w14:paraId="6DD399C8">
                  <w:pPr>
                    <w:pStyle w:val="62"/>
                    <w:spacing w:line="310" w:lineRule="exact"/>
                    <w:jc w:val="center"/>
                    <w:rPr>
                      <w:rFonts w:cs="Times New Roman"/>
                      <w:color w:val="auto"/>
                      <w:sz w:val="21"/>
                      <w:szCs w:val="21"/>
                    </w:rPr>
                  </w:pPr>
                  <w:r>
                    <w:rPr>
                      <w:rFonts w:cs="Times New Roman"/>
                      <w:color w:val="auto"/>
                      <w:sz w:val="21"/>
                      <w:szCs w:val="21"/>
                    </w:rPr>
                    <w:t>氨氮</w:t>
                  </w:r>
                  <w:r>
                    <w:rPr>
                      <w:rFonts w:cs="Times New Roman"/>
                      <w:color w:val="auto"/>
                      <w:sz w:val="21"/>
                      <w:szCs w:val="21"/>
                      <w:vertAlign w:val="superscript"/>
                    </w:rPr>
                    <w:t>*</w:t>
                  </w:r>
                </w:p>
              </w:tc>
              <w:tc>
                <w:tcPr>
                  <w:tcW w:w="485" w:type="pct"/>
                  <w:noWrap w:val="0"/>
                  <w:vAlign w:val="center"/>
                </w:tcPr>
                <w:p w14:paraId="36413D0E">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49BD1CAD">
                  <w:pPr>
                    <w:pStyle w:val="62"/>
                    <w:spacing w:line="310" w:lineRule="exact"/>
                    <w:jc w:val="center"/>
                    <w:rPr>
                      <w:rFonts w:cs="Times New Roman"/>
                      <w:color w:val="auto"/>
                      <w:sz w:val="21"/>
                      <w:szCs w:val="21"/>
                    </w:rPr>
                  </w:pPr>
                  <w:r>
                    <w:rPr>
                      <w:rFonts w:cs="Times New Roman"/>
                      <w:color w:val="auto"/>
                      <w:sz w:val="21"/>
                      <w:szCs w:val="21"/>
                    </w:rPr>
                    <w:t>4(6)</w:t>
                  </w:r>
                  <w:r>
                    <w:rPr>
                      <w:rFonts w:cs="Times New Roman"/>
                      <w:color w:val="auto"/>
                      <w:sz w:val="21"/>
                      <w:szCs w:val="21"/>
                      <w:vertAlign w:val="superscript"/>
                    </w:rPr>
                    <w:t>*</w:t>
                  </w:r>
                </w:p>
              </w:tc>
            </w:tr>
            <w:tr w14:paraId="7F1566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1C705D0C">
                  <w:pPr>
                    <w:pStyle w:val="62"/>
                    <w:spacing w:line="310" w:lineRule="exact"/>
                    <w:jc w:val="center"/>
                    <w:rPr>
                      <w:rFonts w:cs="Times New Roman"/>
                      <w:color w:val="auto"/>
                      <w:sz w:val="21"/>
                      <w:szCs w:val="21"/>
                    </w:rPr>
                  </w:pPr>
                </w:p>
              </w:tc>
              <w:tc>
                <w:tcPr>
                  <w:tcW w:w="1601" w:type="pct"/>
                  <w:vMerge w:val="continue"/>
                  <w:noWrap w:val="0"/>
                  <w:vAlign w:val="center"/>
                </w:tcPr>
                <w:p w14:paraId="08DAA48A">
                  <w:pPr>
                    <w:pStyle w:val="62"/>
                    <w:spacing w:line="310" w:lineRule="exact"/>
                    <w:jc w:val="center"/>
                    <w:rPr>
                      <w:rFonts w:cs="Times New Roman"/>
                      <w:color w:val="auto"/>
                      <w:sz w:val="21"/>
                      <w:szCs w:val="21"/>
                    </w:rPr>
                  </w:pPr>
                </w:p>
              </w:tc>
              <w:tc>
                <w:tcPr>
                  <w:tcW w:w="1042" w:type="pct"/>
                  <w:vMerge w:val="continue"/>
                  <w:noWrap w:val="0"/>
                  <w:vAlign w:val="center"/>
                </w:tcPr>
                <w:p w14:paraId="1FE47E5B">
                  <w:pPr>
                    <w:pStyle w:val="62"/>
                    <w:spacing w:line="310" w:lineRule="exact"/>
                    <w:jc w:val="center"/>
                    <w:rPr>
                      <w:rFonts w:cs="Times New Roman"/>
                      <w:color w:val="auto"/>
                      <w:sz w:val="21"/>
                      <w:szCs w:val="21"/>
                    </w:rPr>
                  </w:pPr>
                </w:p>
              </w:tc>
              <w:tc>
                <w:tcPr>
                  <w:tcW w:w="580" w:type="pct"/>
                  <w:noWrap w:val="0"/>
                  <w:vAlign w:val="center"/>
                </w:tcPr>
                <w:p w14:paraId="1341C718">
                  <w:pPr>
                    <w:pStyle w:val="62"/>
                    <w:spacing w:line="310" w:lineRule="exact"/>
                    <w:jc w:val="center"/>
                    <w:rPr>
                      <w:rFonts w:cs="Times New Roman"/>
                      <w:color w:val="auto"/>
                      <w:sz w:val="21"/>
                      <w:szCs w:val="21"/>
                    </w:rPr>
                  </w:pPr>
                  <w:r>
                    <w:rPr>
                      <w:rFonts w:cs="Times New Roman"/>
                      <w:color w:val="auto"/>
                      <w:sz w:val="21"/>
                      <w:szCs w:val="21"/>
                    </w:rPr>
                    <w:t>TP</w:t>
                  </w:r>
                </w:p>
              </w:tc>
              <w:tc>
                <w:tcPr>
                  <w:tcW w:w="485" w:type="pct"/>
                  <w:noWrap w:val="0"/>
                  <w:vAlign w:val="center"/>
                </w:tcPr>
                <w:p w14:paraId="1C1EB004">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67BBBFAF">
                  <w:pPr>
                    <w:pStyle w:val="62"/>
                    <w:spacing w:line="310" w:lineRule="exact"/>
                    <w:jc w:val="center"/>
                    <w:rPr>
                      <w:rFonts w:cs="Times New Roman"/>
                      <w:color w:val="auto"/>
                      <w:sz w:val="21"/>
                      <w:szCs w:val="21"/>
                    </w:rPr>
                  </w:pPr>
                  <w:r>
                    <w:rPr>
                      <w:rFonts w:cs="Times New Roman"/>
                      <w:color w:val="auto"/>
                      <w:sz w:val="21"/>
                      <w:szCs w:val="21"/>
                    </w:rPr>
                    <w:t>0.5</w:t>
                  </w:r>
                </w:p>
              </w:tc>
            </w:tr>
            <w:tr w14:paraId="34F656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04406537">
                  <w:pPr>
                    <w:pStyle w:val="62"/>
                    <w:spacing w:line="310" w:lineRule="exact"/>
                    <w:jc w:val="center"/>
                    <w:rPr>
                      <w:rFonts w:cs="Times New Roman"/>
                      <w:color w:val="auto"/>
                      <w:sz w:val="21"/>
                      <w:szCs w:val="21"/>
                    </w:rPr>
                  </w:pPr>
                </w:p>
              </w:tc>
              <w:tc>
                <w:tcPr>
                  <w:tcW w:w="1601" w:type="pct"/>
                  <w:vMerge w:val="continue"/>
                  <w:noWrap w:val="0"/>
                  <w:vAlign w:val="center"/>
                </w:tcPr>
                <w:p w14:paraId="1C223FCE">
                  <w:pPr>
                    <w:pStyle w:val="62"/>
                    <w:spacing w:line="310" w:lineRule="exact"/>
                    <w:jc w:val="center"/>
                    <w:rPr>
                      <w:rFonts w:cs="Times New Roman"/>
                      <w:color w:val="auto"/>
                      <w:sz w:val="21"/>
                      <w:szCs w:val="21"/>
                    </w:rPr>
                  </w:pPr>
                </w:p>
              </w:tc>
              <w:tc>
                <w:tcPr>
                  <w:tcW w:w="1042" w:type="pct"/>
                  <w:vMerge w:val="continue"/>
                  <w:noWrap w:val="0"/>
                  <w:vAlign w:val="center"/>
                </w:tcPr>
                <w:p w14:paraId="4CDEF5B6">
                  <w:pPr>
                    <w:pStyle w:val="62"/>
                    <w:spacing w:line="310" w:lineRule="exact"/>
                    <w:jc w:val="center"/>
                    <w:rPr>
                      <w:rFonts w:cs="Times New Roman"/>
                      <w:color w:val="auto"/>
                      <w:sz w:val="21"/>
                      <w:szCs w:val="21"/>
                    </w:rPr>
                  </w:pPr>
                </w:p>
              </w:tc>
              <w:tc>
                <w:tcPr>
                  <w:tcW w:w="580" w:type="pct"/>
                  <w:noWrap w:val="0"/>
                  <w:vAlign w:val="center"/>
                </w:tcPr>
                <w:p w14:paraId="11A4D30D">
                  <w:pPr>
                    <w:pStyle w:val="62"/>
                    <w:spacing w:line="310" w:lineRule="exact"/>
                    <w:jc w:val="center"/>
                    <w:rPr>
                      <w:rFonts w:cs="Times New Roman"/>
                      <w:color w:val="auto"/>
                      <w:sz w:val="21"/>
                      <w:szCs w:val="21"/>
                    </w:rPr>
                  </w:pPr>
                  <w:r>
                    <w:rPr>
                      <w:rFonts w:cs="Times New Roman"/>
                      <w:color w:val="auto"/>
                      <w:sz w:val="21"/>
                      <w:szCs w:val="21"/>
                    </w:rPr>
                    <w:t>TN</w:t>
                  </w:r>
                </w:p>
              </w:tc>
              <w:tc>
                <w:tcPr>
                  <w:tcW w:w="485" w:type="pct"/>
                  <w:noWrap w:val="0"/>
                  <w:vAlign w:val="center"/>
                </w:tcPr>
                <w:p w14:paraId="3A3B2265">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325CFF9E">
                  <w:pPr>
                    <w:pStyle w:val="62"/>
                    <w:spacing w:line="310" w:lineRule="exact"/>
                    <w:jc w:val="center"/>
                    <w:rPr>
                      <w:rFonts w:cs="Times New Roman"/>
                      <w:color w:val="auto"/>
                      <w:sz w:val="21"/>
                      <w:szCs w:val="21"/>
                    </w:rPr>
                  </w:pPr>
                  <w:r>
                    <w:rPr>
                      <w:rFonts w:cs="Times New Roman"/>
                      <w:color w:val="auto"/>
                      <w:sz w:val="21"/>
                      <w:szCs w:val="21"/>
                    </w:rPr>
                    <w:t>12(15)</w:t>
                  </w:r>
                  <w:r>
                    <w:rPr>
                      <w:rFonts w:cs="Times New Roman"/>
                      <w:color w:val="auto"/>
                      <w:sz w:val="21"/>
                      <w:szCs w:val="21"/>
                      <w:vertAlign w:val="superscript"/>
                    </w:rPr>
                    <w:t>*</w:t>
                  </w:r>
                </w:p>
              </w:tc>
            </w:tr>
            <w:tr w14:paraId="58B7FA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39F06933">
                  <w:pPr>
                    <w:pStyle w:val="62"/>
                    <w:spacing w:line="310" w:lineRule="exact"/>
                    <w:jc w:val="center"/>
                    <w:rPr>
                      <w:rFonts w:cs="Times New Roman"/>
                      <w:color w:val="auto"/>
                      <w:sz w:val="21"/>
                      <w:szCs w:val="21"/>
                    </w:rPr>
                  </w:pPr>
                </w:p>
              </w:tc>
              <w:tc>
                <w:tcPr>
                  <w:tcW w:w="1601" w:type="pct"/>
                  <w:vMerge w:val="restart"/>
                  <w:noWrap w:val="0"/>
                  <w:vAlign w:val="center"/>
                </w:tcPr>
                <w:p w14:paraId="3AF4AC65">
                  <w:pPr>
                    <w:pStyle w:val="62"/>
                    <w:spacing w:line="310" w:lineRule="exact"/>
                    <w:jc w:val="center"/>
                    <w:rPr>
                      <w:rFonts w:cs="Times New Roman"/>
                      <w:color w:val="auto"/>
                      <w:sz w:val="21"/>
                      <w:szCs w:val="21"/>
                    </w:rPr>
                  </w:pPr>
                  <w:r>
                    <w:rPr>
                      <w:rFonts w:cs="Times New Roman"/>
                      <w:color w:val="auto"/>
                      <w:sz w:val="21"/>
                      <w:szCs w:val="21"/>
                    </w:rPr>
                    <w:t>《城镇污水处理厂污染物排放标准》(GB18918-2002)</w:t>
                  </w:r>
                </w:p>
              </w:tc>
              <w:tc>
                <w:tcPr>
                  <w:tcW w:w="1042" w:type="pct"/>
                  <w:vMerge w:val="restart"/>
                  <w:noWrap w:val="0"/>
                  <w:vAlign w:val="center"/>
                </w:tcPr>
                <w:p w14:paraId="6A8FEF4D">
                  <w:pPr>
                    <w:pStyle w:val="62"/>
                    <w:spacing w:line="310" w:lineRule="exact"/>
                    <w:jc w:val="center"/>
                    <w:rPr>
                      <w:rFonts w:cs="Times New Roman"/>
                      <w:color w:val="auto"/>
                      <w:sz w:val="21"/>
                      <w:szCs w:val="21"/>
                    </w:rPr>
                  </w:pPr>
                  <w:r>
                    <w:rPr>
                      <w:rFonts w:cs="Times New Roman"/>
                      <w:color w:val="auto"/>
                      <w:sz w:val="21"/>
                      <w:szCs w:val="21"/>
                    </w:rPr>
                    <w:t>表1一级A</w:t>
                  </w:r>
                </w:p>
              </w:tc>
              <w:tc>
                <w:tcPr>
                  <w:tcW w:w="580" w:type="pct"/>
                  <w:noWrap w:val="0"/>
                  <w:vAlign w:val="center"/>
                </w:tcPr>
                <w:p w14:paraId="009FAB6A">
                  <w:pPr>
                    <w:pStyle w:val="62"/>
                    <w:spacing w:line="310" w:lineRule="exact"/>
                    <w:jc w:val="center"/>
                    <w:rPr>
                      <w:rFonts w:cs="Times New Roman"/>
                      <w:color w:val="auto"/>
                      <w:sz w:val="21"/>
                      <w:szCs w:val="21"/>
                    </w:rPr>
                  </w:pPr>
                  <w:r>
                    <w:rPr>
                      <w:rFonts w:cs="Times New Roman"/>
                      <w:color w:val="auto"/>
                      <w:sz w:val="21"/>
                      <w:szCs w:val="21"/>
                    </w:rPr>
                    <w:t>pH</w:t>
                  </w:r>
                </w:p>
              </w:tc>
              <w:tc>
                <w:tcPr>
                  <w:tcW w:w="485" w:type="pct"/>
                  <w:noWrap w:val="0"/>
                  <w:vAlign w:val="center"/>
                </w:tcPr>
                <w:p w14:paraId="0CE5A370">
                  <w:pPr>
                    <w:pStyle w:val="62"/>
                    <w:spacing w:line="310" w:lineRule="exact"/>
                    <w:jc w:val="center"/>
                    <w:rPr>
                      <w:rFonts w:cs="Times New Roman"/>
                      <w:color w:val="auto"/>
                      <w:sz w:val="21"/>
                      <w:szCs w:val="21"/>
                    </w:rPr>
                  </w:pPr>
                  <w:r>
                    <w:rPr>
                      <w:rFonts w:cs="Times New Roman"/>
                      <w:color w:val="auto"/>
                      <w:sz w:val="21"/>
                      <w:szCs w:val="21"/>
                    </w:rPr>
                    <w:t>－</w:t>
                  </w:r>
                </w:p>
              </w:tc>
              <w:tc>
                <w:tcPr>
                  <w:tcW w:w="526" w:type="pct"/>
                  <w:noWrap w:val="0"/>
                  <w:vAlign w:val="center"/>
                </w:tcPr>
                <w:p w14:paraId="46819FB3">
                  <w:pPr>
                    <w:pStyle w:val="62"/>
                    <w:spacing w:line="310" w:lineRule="exact"/>
                    <w:jc w:val="center"/>
                    <w:rPr>
                      <w:rFonts w:cs="Times New Roman"/>
                      <w:color w:val="auto"/>
                      <w:sz w:val="21"/>
                      <w:szCs w:val="21"/>
                    </w:rPr>
                  </w:pPr>
                  <w:r>
                    <w:rPr>
                      <w:rFonts w:cs="Times New Roman"/>
                      <w:color w:val="auto"/>
                      <w:sz w:val="21"/>
                      <w:szCs w:val="21"/>
                    </w:rPr>
                    <w:t>6～9</w:t>
                  </w:r>
                </w:p>
              </w:tc>
            </w:tr>
            <w:tr w14:paraId="6E0BC9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752AE983">
                  <w:pPr>
                    <w:pStyle w:val="62"/>
                    <w:spacing w:line="310" w:lineRule="exact"/>
                    <w:jc w:val="center"/>
                    <w:rPr>
                      <w:rFonts w:cs="Times New Roman"/>
                      <w:color w:val="auto"/>
                      <w:sz w:val="21"/>
                      <w:szCs w:val="21"/>
                    </w:rPr>
                  </w:pPr>
                </w:p>
              </w:tc>
              <w:tc>
                <w:tcPr>
                  <w:tcW w:w="1601" w:type="pct"/>
                  <w:vMerge w:val="continue"/>
                  <w:noWrap w:val="0"/>
                  <w:vAlign w:val="center"/>
                </w:tcPr>
                <w:p w14:paraId="745489B9">
                  <w:pPr>
                    <w:pStyle w:val="62"/>
                    <w:spacing w:line="310" w:lineRule="exact"/>
                    <w:jc w:val="center"/>
                    <w:rPr>
                      <w:rFonts w:cs="Times New Roman"/>
                      <w:color w:val="auto"/>
                      <w:sz w:val="21"/>
                      <w:szCs w:val="21"/>
                    </w:rPr>
                  </w:pPr>
                </w:p>
              </w:tc>
              <w:tc>
                <w:tcPr>
                  <w:tcW w:w="1042" w:type="pct"/>
                  <w:vMerge w:val="continue"/>
                  <w:noWrap w:val="0"/>
                  <w:vAlign w:val="center"/>
                </w:tcPr>
                <w:p w14:paraId="2FF227E0">
                  <w:pPr>
                    <w:pStyle w:val="62"/>
                    <w:spacing w:line="310" w:lineRule="exact"/>
                    <w:jc w:val="center"/>
                    <w:rPr>
                      <w:rFonts w:cs="Times New Roman"/>
                      <w:color w:val="auto"/>
                      <w:sz w:val="21"/>
                      <w:szCs w:val="21"/>
                    </w:rPr>
                  </w:pPr>
                </w:p>
              </w:tc>
              <w:tc>
                <w:tcPr>
                  <w:tcW w:w="580" w:type="pct"/>
                  <w:noWrap w:val="0"/>
                  <w:vAlign w:val="center"/>
                </w:tcPr>
                <w:p w14:paraId="377B67BB">
                  <w:pPr>
                    <w:pStyle w:val="62"/>
                    <w:spacing w:line="310" w:lineRule="exact"/>
                    <w:jc w:val="center"/>
                    <w:rPr>
                      <w:rFonts w:cs="Times New Roman"/>
                      <w:color w:val="auto"/>
                      <w:sz w:val="21"/>
                      <w:szCs w:val="21"/>
                    </w:rPr>
                  </w:pPr>
                  <w:r>
                    <w:rPr>
                      <w:rFonts w:cs="Times New Roman"/>
                      <w:color w:val="auto"/>
                      <w:sz w:val="21"/>
                      <w:szCs w:val="21"/>
                    </w:rPr>
                    <w:t>SS</w:t>
                  </w:r>
                </w:p>
              </w:tc>
              <w:tc>
                <w:tcPr>
                  <w:tcW w:w="485" w:type="pct"/>
                  <w:noWrap w:val="0"/>
                  <w:vAlign w:val="center"/>
                </w:tcPr>
                <w:p w14:paraId="4B5482B6">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15B9475E">
                  <w:pPr>
                    <w:pStyle w:val="62"/>
                    <w:spacing w:line="310" w:lineRule="exact"/>
                    <w:jc w:val="center"/>
                    <w:rPr>
                      <w:rFonts w:cs="Times New Roman"/>
                      <w:color w:val="auto"/>
                      <w:sz w:val="21"/>
                      <w:szCs w:val="21"/>
                    </w:rPr>
                  </w:pPr>
                  <w:r>
                    <w:rPr>
                      <w:rFonts w:cs="Times New Roman"/>
                      <w:color w:val="auto"/>
                      <w:sz w:val="21"/>
                      <w:szCs w:val="21"/>
                    </w:rPr>
                    <w:t>10</w:t>
                  </w:r>
                </w:p>
              </w:tc>
            </w:tr>
            <w:tr w14:paraId="073FB3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189BBABF">
                  <w:pPr>
                    <w:pStyle w:val="62"/>
                    <w:spacing w:line="310" w:lineRule="exact"/>
                    <w:jc w:val="center"/>
                    <w:rPr>
                      <w:rFonts w:cs="Times New Roman"/>
                      <w:color w:val="auto"/>
                      <w:sz w:val="21"/>
                      <w:szCs w:val="21"/>
                    </w:rPr>
                  </w:pPr>
                </w:p>
              </w:tc>
              <w:tc>
                <w:tcPr>
                  <w:tcW w:w="1601" w:type="pct"/>
                  <w:vMerge w:val="restart"/>
                  <w:noWrap w:val="0"/>
                  <w:vAlign w:val="center"/>
                </w:tcPr>
                <w:p w14:paraId="072CA0A4">
                  <w:pPr>
                    <w:pStyle w:val="62"/>
                    <w:spacing w:line="310" w:lineRule="exact"/>
                    <w:jc w:val="center"/>
                    <w:rPr>
                      <w:rFonts w:cs="Times New Roman"/>
                      <w:color w:val="auto"/>
                      <w:sz w:val="21"/>
                      <w:szCs w:val="21"/>
                    </w:rPr>
                  </w:pPr>
                  <w:r>
                    <w:rPr>
                      <w:rFonts w:cs="Times New Roman"/>
                      <w:color w:val="auto"/>
                      <w:sz w:val="21"/>
                      <w:szCs w:val="21"/>
                    </w:rPr>
                    <w:t>《城镇污水处理厂污染物排放标准》（DB32/4440-2022）</w:t>
                  </w:r>
                </w:p>
                <w:p w14:paraId="2F6FCD7F">
                  <w:pPr>
                    <w:pStyle w:val="62"/>
                    <w:spacing w:line="310" w:lineRule="exact"/>
                    <w:jc w:val="center"/>
                    <w:rPr>
                      <w:rFonts w:cs="Times New Roman"/>
                      <w:color w:val="auto"/>
                      <w:sz w:val="21"/>
                      <w:szCs w:val="21"/>
                    </w:rPr>
                  </w:pPr>
                  <w:r>
                    <w:rPr>
                      <w:rFonts w:cs="Times New Roman"/>
                      <w:color w:val="auto"/>
                      <w:sz w:val="21"/>
                      <w:szCs w:val="21"/>
                    </w:rPr>
                    <w:t>（2026年3月28日起施行）</w:t>
                  </w:r>
                </w:p>
              </w:tc>
              <w:tc>
                <w:tcPr>
                  <w:tcW w:w="1042" w:type="pct"/>
                  <w:vMerge w:val="restart"/>
                  <w:noWrap w:val="0"/>
                  <w:vAlign w:val="center"/>
                </w:tcPr>
                <w:p w14:paraId="1D26A459">
                  <w:pPr>
                    <w:pStyle w:val="62"/>
                    <w:spacing w:line="310" w:lineRule="exact"/>
                    <w:jc w:val="center"/>
                    <w:rPr>
                      <w:rFonts w:cs="Times New Roman"/>
                      <w:color w:val="auto"/>
                      <w:sz w:val="21"/>
                      <w:szCs w:val="21"/>
                    </w:rPr>
                  </w:pPr>
                  <w:r>
                    <w:rPr>
                      <w:rFonts w:cs="Times New Roman"/>
                      <w:color w:val="auto"/>
                      <w:sz w:val="21"/>
                      <w:szCs w:val="21"/>
                    </w:rPr>
                    <w:t>表1</w:t>
                  </w:r>
                  <w:r>
                    <w:rPr>
                      <w:rFonts w:hint="eastAsia" w:cs="Times New Roman"/>
                      <w:color w:val="auto"/>
                      <w:sz w:val="21"/>
                      <w:szCs w:val="21"/>
                    </w:rPr>
                    <w:t>C</w:t>
                  </w:r>
                  <w:r>
                    <w:rPr>
                      <w:rFonts w:cs="Times New Roman"/>
                      <w:color w:val="auto"/>
                      <w:sz w:val="21"/>
                      <w:szCs w:val="21"/>
                    </w:rPr>
                    <w:t>标准</w:t>
                  </w:r>
                </w:p>
              </w:tc>
              <w:tc>
                <w:tcPr>
                  <w:tcW w:w="580" w:type="pct"/>
                  <w:noWrap w:val="0"/>
                  <w:vAlign w:val="center"/>
                </w:tcPr>
                <w:p w14:paraId="2DFFBEB2">
                  <w:pPr>
                    <w:pStyle w:val="62"/>
                    <w:spacing w:line="310" w:lineRule="exact"/>
                    <w:jc w:val="center"/>
                    <w:rPr>
                      <w:rFonts w:cs="Times New Roman"/>
                      <w:color w:val="auto"/>
                      <w:sz w:val="21"/>
                      <w:szCs w:val="21"/>
                    </w:rPr>
                  </w:pPr>
                  <w:r>
                    <w:rPr>
                      <w:rFonts w:cs="Times New Roman"/>
                      <w:color w:val="auto"/>
                      <w:sz w:val="21"/>
                      <w:szCs w:val="21"/>
                    </w:rPr>
                    <w:t>pH</w:t>
                  </w:r>
                </w:p>
              </w:tc>
              <w:tc>
                <w:tcPr>
                  <w:tcW w:w="485" w:type="pct"/>
                  <w:noWrap w:val="0"/>
                  <w:vAlign w:val="center"/>
                </w:tcPr>
                <w:p w14:paraId="1C8B4039">
                  <w:pPr>
                    <w:pStyle w:val="62"/>
                    <w:spacing w:line="310" w:lineRule="exact"/>
                    <w:jc w:val="center"/>
                    <w:rPr>
                      <w:rFonts w:cs="Times New Roman"/>
                      <w:color w:val="auto"/>
                      <w:sz w:val="21"/>
                      <w:szCs w:val="21"/>
                    </w:rPr>
                  </w:pPr>
                  <w:r>
                    <w:rPr>
                      <w:rFonts w:cs="Times New Roman"/>
                      <w:color w:val="auto"/>
                      <w:sz w:val="21"/>
                      <w:szCs w:val="21"/>
                    </w:rPr>
                    <w:t>－</w:t>
                  </w:r>
                </w:p>
              </w:tc>
              <w:tc>
                <w:tcPr>
                  <w:tcW w:w="526" w:type="pct"/>
                  <w:noWrap w:val="0"/>
                  <w:vAlign w:val="center"/>
                </w:tcPr>
                <w:p w14:paraId="6E9B1072">
                  <w:pPr>
                    <w:pStyle w:val="62"/>
                    <w:spacing w:line="310" w:lineRule="exact"/>
                    <w:jc w:val="center"/>
                    <w:rPr>
                      <w:rFonts w:cs="Times New Roman"/>
                      <w:color w:val="auto"/>
                      <w:sz w:val="21"/>
                      <w:szCs w:val="21"/>
                    </w:rPr>
                  </w:pPr>
                  <w:r>
                    <w:rPr>
                      <w:rFonts w:cs="Times New Roman"/>
                      <w:color w:val="auto"/>
                      <w:sz w:val="21"/>
                      <w:szCs w:val="21"/>
                    </w:rPr>
                    <w:t>6～9</w:t>
                  </w:r>
                </w:p>
              </w:tc>
            </w:tr>
            <w:tr w14:paraId="5AB081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49DB5296">
                  <w:pPr>
                    <w:pStyle w:val="62"/>
                    <w:spacing w:line="310" w:lineRule="exact"/>
                    <w:jc w:val="center"/>
                    <w:rPr>
                      <w:rFonts w:cs="Times New Roman"/>
                      <w:color w:val="auto"/>
                      <w:kern w:val="0"/>
                      <w:sz w:val="21"/>
                      <w:szCs w:val="21"/>
                    </w:rPr>
                  </w:pPr>
                </w:p>
              </w:tc>
              <w:tc>
                <w:tcPr>
                  <w:tcW w:w="1601" w:type="pct"/>
                  <w:vMerge w:val="continue"/>
                  <w:noWrap w:val="0"/>
                  <w:vAlign w:val="center"/>
                </w:tcPr>
                <w:p w14:paraId="491C5525">
                  <w:pPr>
                    <w:pStyle w:val="62"/>
                    <w:spacing w:line="310" w:lineRule="exact"/>
                    <w:jc w:val="center"/>
                    <w:rPr>
                      <w:rFonts w:cs="Times New Roman"/>
                      <w:color w:val="auto"/>
                      <w:sz w:val="21"/>
                      <w:szCs w:val="21"/>
                    </w:rPr>
                  </w:pPr>
                </w:p>
              </w:tc>
              <w:tc>
                <w:tcPr>
                  <w:tcW w:w="1042" w:type="pct"/>
                  <w:vMerge w:val="continue"/>
                  <w:noWrap w:val="0"/>
                  <w:vAlign w:val="center"/>
                </w:tcPr>
                <w:p w14:paraId="320DF47D">
                  <w:pPr>
                    <w:pStyle w:val="62"/>
                    <w:spacing w:line="310" w:lineRule="exact"/>
                    <w:jc w:val="center"/>
                    <w:rPr>
                      <w:rFonts w:cs="Times New Roman"/>
                      <w:color w:val="auto"/>
                      <w:sz w:val="21"/>
                      <w:szCs w:val="21"/>
                    </w:rPr>
                  </w:pPr>
                </w:p>
              </w:tc>
              <w:tc>
                <w:tcPr>
                  <w:tcW w:w="580" w:type="pct"/>
                  <w:noWrap w:val="0"/>
                  <w:vAlign w:val="center"/>
                </w:tcPr>
                <w:p w14:paraId="5B5A9FFC">
                  <w:pPr>
                    <w:pStyle w:val="62"/>
                    <w:spacing w:line="310" w:lineRule="exact"/>
                    <w:jc w:val="center"/>
                    <w:rPr>
                      <w:rFonts w:cs="Times New Roman"/>
                      <w:color w:val="auto"/>
                      <w:sz w:val="21"/>
                      <w:szCs w:val="21"/>
                    </w:rPr>
                  </w:pPr>
                  <w:r>
                    <w:rPr>
                      <w:rFonts w:cs="Times New Roman"/>
                      <w:color w:val="auto"/>
                      <w:sz w:val="21"/>
                      <w:szCs w:val="21"/>
                    </w:rPr>
                    <w:t>COD</w:t>
                  </w:r>
                </w:p>
              </w:tc>
              <w:tc>
                <w:tcPr>
                  <w:tcW w:w="485" w:type="pct"/>
                  <w:noWrap w:val="0"/>
                  <w:vAlign w:val="center"/>
                </w:tcPr>
                <w:p w14:paraId="4FDE3FF6">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7887B242">
                  <w:pPr>
                    <w:pStyle w:val="62"/>
                    <w:spacing w:line="310" w:lineRule="exact"/>
                    <w:jc w:val="center"/>
                    <w:rPr>
                      <w:rFonts w:cs="Times New Roman"/>
                      <w:color w:val="auto"/>
                      <w:sz w:val="21"/>
                      <w:szCs w:val="21"/>
                    </w:rPr>
                  </w:pPr>
                  <w:r>
                    <w:rPr>
                      <w:rFonts w:hint="eastAsia" w:cs="Times New Roman"/>
                      <w:color w:val="auto"/>
                      <w:sz w:val="21"/>
                      <w:szCs w:val="21"/>
                    </w:rPr>
                    <w:t>50</w:t>
                  </w:r>
                </w:p>
              </w:tc>
            </w:tr>
            <w:tr w14:paraId="047280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7CD5F796">
                  <w:pPr>
                    <w:pStyle w:val="62"/>
                    <w:spacing w:line="310" w:lineRule="exact"/>
                    <w:jc w:val="center"/>
                    <w:rPr>
                      <w:rFonts w:cs="Times New Roman"/>
                      <w:color w:val="auto"/>
                      <w:kern w:val="0"/>
                      <w:sz w:val="21"/>
                      <w:szCs w:val="21"/>
                    </w:rPr>
                  </w:pPr>
                </w:p>
              </w:tc>
              <w:tc>
                <w:tcPr>
                  <w:tcW w:w="1601" w:type="pct"/>
                  <w:vMerge w:val="continue"/>
                  <w:noWrap w:val="0"/>
                  <w:vAlign w:val="center"/>
                </w:tcPr>
                <w:p w14:paraId="76EC44F4">
                  <w:pPr>
                    <w:pStyle w:val="62"/>
                    <w:spacing w:line="310" w:lineRule="exact"/>
                    <w:jc w:val="center"/>
                    <w:rPr>
                      <w:rFonts w:cs="Times New Roman"/>
                      <w:color w:val="auto"/>
                      <w:sz w:val="21"/>
                      <w:szCs w:val="21"/>
                    </w:rPr>
                  </w:pPr>
                </w:p>
              </w:tc>
              <w:tc>
                <w:tcPr>
                  <w:tcW w:w="1042" w:type="pct"/>
                  <w:vMerge w:val="continue"/>
                  <w:noWrap w:val="0"/>
                  <w:vAlign w:val="center"/>
                </w:tcPr>
                <w:p w14:paraId="76A7017B">
                  <w:pPr>
                    <w:pStyle w:val="62"/>
                    <w:spacing w:line="310" w:lineRule="exact"/>
                    <w:jc w:val="center"/>
                    <w:rPr>
                      <w:rFonts w:cs="Times New Roman"/>
                      <w:color w:val="auto"/>
                      <w:sz w:val="21"/>
                      <w:szCs w:val="21"/>
                    </w:rPr>
                  </w:pPr>
                </w:p>
              </w:tc>
              <w:tc>
                <w:tcPr>
                  <w:tcW w:w="580" w:type="pct"/>
                  <w:noWrap w:val="0"/>
                  <w:vAlign w:val="center"/>
                </w:tcPr>
                <w:p w14:paraId="51FE5D68">
                  <w:pPr>
                    <w:pStyle w:val="62"/>
                    <w:spacing w:line="310" w:lineRule="exact"/>
                    <w:jc w:val="center"/>
                    <w:rPr>
                      <w:rFonts w:cs="Times New Roman"/>
                      <w:color w:val="auto"/>
                      <w:sz w:val="21"/>
                      <w:szCs w:val="21"/>
                    </w:rPr>
                  </w:pPr>
                  <w:r>
                    <w:rPr>
                      <w:rFonts w:cs="Times New Roman"/>
                      <w:color w:val="auto"/>
                      <w:sz w:val="21"/>
                      <w:szCs w:val="21"/>
                    </w:rPr>
                    <w:t>SS</w:t>
                  </w:r>
                </w:p>
              </w:tc>
              <w:tc>
                <w:tcPr>
                  <w:tcW w:w="485" w:type="pct"/>
                  <w:noWrap w:val="0"/>
                  <w:vAlign w:val="center"/>
                </w:tcPr>
                <w:p w14:paraId="368ADFD8">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6A322B4D">
                  <w:pPr>
                    <w:pStyle w:val="62"/>
                    <w:spacing w:line="310" w:lineRule="exact"/>
                    <w:jc w:val="center"/>
                    <w:rPr>
                      <w:rFonts w:cs="Times New Roman"/>
                      <w:color w:val="auto"/>
                      <w:sz w:val="21"/>
                      <w:szCs w:val="21"/>
                    </w:rPr>
                  </w:pPr>
                  <w:r>
                    <w:rPr>
                      <w:rFonts w:cs="Times New Roman"/>
                      <w:color w:val="auto"/>
                      <w:sz w:val="21"/>
                      <w:szCs w:val="21"/>
                    </w:rPr>
                    <w:t>10</w:t>
                  </w:r>
                </w:p>
              </w:tc>
            </w:tr>
            <w:tr w14:paraId="7C2E7A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642763EE">
                  <w:pPr>
                    <w:pStyle w:val="62"/>
                    <w:spacing w:line="310" w:lineRule="exact"/>
                    <w:jc w:val="center"/>
                    <w:rPr>
                      <w:rFonts w:cs="Times New Roman"/>
                      <w:color w:val="auto"/>
                      <w:sz w:val="21"/>
                      <w:szCs w:val="21"/>
                    </w:rPr>
                  </w:pPr>
                </w:p>
              </w:tc>
              <w:tc>
                <w:tcPr>
                  <w:tcW w:w="1601" w:type="pct"/>
                  <w:vMerge w:val="continue"/>
                  <w:noWrap w:val="0"/>
                  <w:vAlign w:val="center"/>
                </w:tcPr>
                <w:p w14:paraId="65511D5E">
                  <w:pPr>
                    <w:pStyle w:val="62"/>
                    <w:spacing w:line="310" w:lineRule="exact"/>
                    <w:jc w:val="center"/>
                    <w:rPr>
                      <w:rFonts w:cs="Times New Roman"/>
                      <w:color w:val="auto"/>
                      <w:sz w:val="21"/>
                      <w:szCs w:val="21"/>
                    </w:rPr>
                  </w:pPr>
                </w:p>
              </w:tc>
              <w:tc>
                <w:tcPr>
                  <w:tcW w:w="1042" w:type="pct"/>
                  <w:vMerge w:val="continue"/>
                  <w:noWrap w:val="0"/>
                  <w:vAlign w:val="center"/>
                </w:tcPr>
                <w:p w14:paraId="3D6102A9">
                  <w:pPr>
                    <w:pStyle w:val="62"/>
                    <w:spacing w:line="310" w:lineRule="exact"/>
                    <w:jc w:val="center"/>
                    <w:rPr>
                      <w:rFonts w:cs="Times New Roman"/>
                      <w:color w:val="auto"/>
                      <w:sz w:val="21"/>
                      <w:szCs w:val="21"/>
                    </w:rPr>
                  </w:pPr>
                </w:p>
              </w:tc>
              <w:tc>
                <w:tcPr>
                  <w:tcW w:w="580" w:type="pct"/>
                  <w:noWrap w:val="0"/>
                  <w:vAlign w:val="center"/>
                </w:tcPr>
                <w:p w14:paraId="45EF59BA">
                  <w:pPr>
                    <w:pStyle w:val="62"/>
                    <w:spacing w:line="310" w:lineRule="exact"/>
                    <w:jc w:val="center"/>
                    <w:rPr>
                      <w:rFonts w:cs="Times New Roman"/>
                      <w:color w:val="auto"/>
                      <w:sz w:val="21"/>
                      <w:szCs w:val="21"/>
                    </w:rPr>
                  </w:pPr>
                  <w:r>
                    <w:rPr>
                      <w:rFonts w:cs="Times New Roman"/>
                      <w:color w:val="auto"/>
                      <w:sz w:val="21"/>
                      <w:szCs w:val="21"/>
                    </w:rPr>
                    <w:t>氨氮</w:t>
                  </w:r>
                </w:p>
              </w:tc>
              <w:tc>
                <w:tcPr>
                  <w:tcW w:w="485" w:type="pct"/>
                  <w:noWrap w:val="0"/>
                  <w:vAlign w:val="center"/>
                </w:tcPr>
                <w:p w14:paraId="71CD5559">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58CD5B03">
                  <w:pPr>
                    <w:pStyle w:val="62"/>
                    <w:spacing w:line="310" w:lineRule="exact"/>
                    <w:jc w:val="center"/>
                    <w:rPr>
                      <w:rFonts w:cs="Times New Roman"/>
                      <w:color w:val="auto"/>
                      <w:sz w:val="21"/>
                      <w:szCs w:val="21"/>
                    </w:rPr>
                  </w:pPr>
                  <w:r>
                    <w:rPr>
                      <w:rFonts w:hint="eastAsia" w:cs="Times New Roman"/>
                      <w:color w:val="auto"/>
                      <w:sz w:val="21"/>
                      <w:szCs w:val="21"/>
                    </w:rPr>
                    <w:t>4</w:t>
                  </w:r>
                  <w:r>
                    <w:rPr>
                      <w:rFonts w:cs="Times New Roman"/>
                      <w:color w:val="auto"/>
                      <w:sz w:val="21"/>
                      <w:szCs w:val="21"/>
                    </w:rPr>
                    <w:t>(</w:t>
                  </w:r>
                  <w:r>
                    <w:rPr>
                      <w:rFonts w:hint="eastAsia" w:cs="Times New Roman"/>
                      <w:color w:val="auto"/>
                      <w:sz w:val="21"/>
                      <w:szCs w:val="21"/>
                    </w:rPr>
                    <w:t>6</w:t>
                  </w:r>
                  <w:r>
                    <w:rPr>
                      <w:rFonts w:cs="Times New Roman"/>
                      <w:color w:val="auto"/>
                      <w:sz w:val="21"/>
                      <w:szCs w:val="21"/>
                    </w:rPr>
                    <w:t>)</w:t>
                  </w:r>
                </w:p>
              </w:tc>
            </w:tr>
            <w:tr w14:paraId="68A252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17AE6F04">
                  <w:pPr>
                    <w:pStyle w:val="62"/>
                    <w:spacing w:line="310" w:lineRule="exact"/>
                    <w:jc w:val="center"/>
                    <w:rPr>
                      <w:rFonts w:cs="Times New Roman"/>
                      <w:color w:val="auto"/>
                      <w:sz w:val="21"/>
                      <w:szCs w:val="21"/>
                    </w:rPr>
                  </w:pPr>
                </w:p>
              </w:tc>
              <w:tc>
                <w:tcPr>
                  <w:tcW w:w="1601" w:type="pct"/>
                  <w:vMerge w:val="continue"/>
                  <w:noWrap w:val="0"/>
                  <w:vAlign w:val="center"/>
                </w:tcPr>
                <w:p w14:paraId="02C94FAE">
                  <w:pPr>
                    <w:pStyle w:val="62"/>
                    <w:spacing w:line="310" w:lineRule="exact"/>
                    <w:jc w:val="center"/>
                    <w:rPr>
                      <w:rFonts w:cs="Times New Roman"/>
                      <w:color w:val="auto"/>
                      <w:sz w:val="21"/>
                      <w:szCs w:val="21"/>
                    </w:rPr>
                  </w:pPr>
                </w:p>
              </w:tc>
              <w:tc>
                <w:tcPr>
                  <w:tcW w:w="1042" w:type="pct"/>
                  <w:vMerge w:val="continue"/>
                  <w:noWrap w:val="0"/>
                  <w:vAlign w:val="center"/>
                </w:tcPr>
                <w:p w14:paraId="1061619A">
                  <w:pPr>
                    <w:pStyle w:val="62"/>
                    <w:spacing w:line="310" w:lineRule="exact"/>
                    <w:jc w:val="center"/>
                    <w:rPr>
                      <w:rFonts w:cs="Times New Roman"/>
                      <w:color w:val="auto"/>
                      <w:sz w:val="21"/>
                      <w:szCs w:val="21"/>
                    </w:rPr>
                  </w:pPr>
                </w:p>
              </w:tc>
              <w:tc>
                <w:tcPr>
                  <w:tcW w:w="580" w:type="pct"/>
                  <w:noWrap w:val="0"/>
                  <w:vAlign w:val="center"/>
                </w:tcPr>
                <w:p w14:paraId="3328EE67">
                  <w:pPr>
                    <w:pStyle w:val="62"/>
                    <w:spacing w:line="310" w:lineRule="exact"/>
                    <w:jc w:val="center"/>
                    <w:rPr>
                      <w:rFonts w:cs="Times New Roman"/>
                      <w:color w:val="auto"/>
                      <w:sz w:val="21"/>
                      <w:szCs w:val="21"/>
                    </w:rPr>
                  </w:pPr>
                  <w:r>
                    <w:rPr>
                      <w:rFonts w:cs="Times New Roman"/>
                      <w:color w:val="auto"/>
                      <w:sz w:val="21"/>
                      <w:szCs w:val="21"/>
                    </w:rPr>
                    <w:t>TP</w:t>
                  </w:r>
                </w:p>
              </w:tc>
              <w:tc>
                <w:tcPr>
                  <w:tcW w:w="485" w:type="pct"/>
                  <w:noWrap w:val="0"/>
                  <w:vAlign w:val="center"/>
                </w:tcPr>
                <w:p w14:paraId="2A9999AF">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5732DF15">
                  <w:pPr>
                    <w:pStyle w:val="62"/>
                    <w:spacing w:line="310" w:lineRule="exact"/>
                    <w:jc w:val="center"/>
                    <w:rPr>
                      <w:rFonts w:hint="eastAsia" w:cs="Times New Roman"/>
                      <w:color w:val="auto"/>
                      <w:sz w:val="21"/>
                      <w:szCs w:val="21"/>
                    </w:rPr>
                  </w:pPr>
                  <w:r>
                    <w:rPr>
                      <w:rFonts w:cs="Times New Roman"/>
                      <w:color w:val="auto"/>
                      <w:sz w:val="21"/>
                      <w:szCs w:val="21"/>
                    </w:rPr>
                    <w:t>0.</w:t>
                  </w:r>
                  <w:r>
                    <w:rPr>
                      <w:rFonts w:hint="eastAsia" w:cs="Times New Roman"/>
                      <w:color w:val="auto"/>
                      <w:sz w:val="21"/>
                      <w:szCs w:val="21"/>
                    </w:rPr>
                    <w:t>5</w:t>
                  </w:r>
                </w:p>
              </w:tc>
            </w:tr>
            <w:tr w14:paraId="6F2905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3" w:type="pct"/>
                  <w:vMerge w:val="continue"/>
                  <w:noWrap w:val="0"/>
                  <w:vAlign w:val="center"/>
                </w:tcPr>
                <w:p w14:paraId="7F20C5F8">
                  <w:pPr>
                    <w:pStyle w:val="62"/>
                    <w:spacing w:line="310" w:lineRule="exact"/>
                    <w:jc w:val="center"/>
                    <w:rPr>
                      <w:rFonts w:cs="Times New Roman"/>
                      <w:color w:val="auto"/>
                      <w:sz w:val="21"/>
                      <w:szCs w:val="21"/>
                    </w:rPr>
                  </w:pPr>
                </w:p>
              </w:tc>
              <w:tc>
                <w:tcPr>
                  <w:tcW w:w="1601" w:type="pct"/>
                  <w:vMerge w:val="continue"/>
                  <w:noWrap w:val="0"/>
                  <w:vAlign w:val="center"/>
                </w:tcPr>
                <w:p w14:paraId="0A7C9175">
                  <w:pPr>
                    <w:pStyle w:val="62"/>
                    <w:spacing w:line="310" w:lineRule="exact"/>
                    <w:jc w:val="center"/>
                    <w:rPr>
                      <w:rFonts w:cs="Times New Roman"/>
                      <w:color w:val="auto"/>
                      <w:sz w:val="21"/>
                      <w:szCs w:val="21"/>
                    </w:rPr>
                  </w:pPr>
                </w:p>
              </w:tc>
              <w:tc>
                <w:tcPr>
                  <w:tcW w:w="1042" w:type="pct"/>
                  <w:vMerge w:val="continue"/>
                  <w:noWrap w:val="0"/>
                  <w:vAlign w:val="center"/>
                </w:tcPr>
                <w:p w14:paraId="427184E1">
                  <w:pPr>
                    <w:pStyle w:val="62"/>
                    <w:spacing w:line="310" w:lineRule="exact"/>
                    <w:jc w:val="center"/>
                    <w:rPr>
                      <w:rFonts w:cs="Times New Roman"/>
                      <w:color w:val="auto"/>
                      <w:sz w:val="21"/>
                      <w:szCs w:val="21"/>
                    </w:rPr>
                  </w:pPr>
                </w:p>
              </w:tc>
              <w:tc>
                <w:tcPr>
                  <w:tcW w:w="580" w:type="pct"/>
                  <w:noWrap w:val="0"/>
                  <w:vAlign w:val="center"/>
                </w:tcPr>
                <w:p w14:paraId="1DE2281B">
                  <w:pPr>
                    <w:pStyle w:val="62"/>
                    <w:spacing w:line="310" w:lineRule="exact"/>
                    <w:jc w:val="center"/>
                    <w:rPr>
                      <w:rFonts w:cs="Times New Roman"/>
                      <w:color w:val="auto"/>
                      <w:sz w:val="21"/>
                      <w:szCs w:val="21"/>
                    </w:rPr>
                  </w:pPr>
                  <w:r>
                    <w:rPr>
                      <w:rFonts w:cs="Times New Roman"/>
                      <w:color w:val="auto"/>
                      <w:sz w:val="21"/>
                      <w:szCs w:val="21"/>
                    </w:rPr>
                    <w:t>TN</w:t>
                  </w:r>
                </w:p>
              </w:tc>
              <w:tc>
                <w:tcPr>
                  <w:tcW w:w="485" w:type="pct"/>
                  <w:noWrap w:val="0"/>
                  <w:vAlign w:val="center"/>
                </w:tcPr>
                <w:p w14:paraId="56D93989">
                  <w:pPr>
                    <w:pStyle w:val="62"/>
                    <w:spacing w:line="310" w:lineRule="exact"/>
                    <w:jc w:val="center"/>
                    <w:rPr>
                      <w:rFonts w:cs="Times New Roman"/>
                      <w:color w:val="auto"/>
                      <w:sz w:val="21"/>
                      <w:szCs w:val="21"/>
                    </w:rPr>
                  </w:pPr>
                  <w:r>
                    <w:rPr>
                      <w:rFonts w:cs="Times New Roman"/>
                      <w:color w:val="auto"/>
                      <w:sz w:val="21"/>
                      <w:szCs w:val="21"/>
                    </w:rPr>
                    <w:t>mg/L</w:t>
                  </w:r>
                </w:p>
              </w:tc>
              <w:tc>
                <w:tcPr>
                  <w:tcW w:w="526" w:type="pct"/>
                  <w:noWrap w:val="0"/>
                  <w:vAlign w:val="center"/>
                </w:tcPr>
                <w:p w14:paraId="389C399E">
                  <w:pPr>
                    <w:pStyle w:val="62"/>
                    <w:spacing w:line="310" w:lineRule="exact"/>
                    <w:jc w:val="center"/>
                    <w:rPr>
                      <w:rFonts w:cs="Times New Roman"/>
                      <w:color w:val="auto"/>
                      <w:sz w:val="21"/>
                      <w:szCs w:val="21"/>
                    </w:rPr>
                  </w:pPr>
                  <w:r>
                    <w:rPr>
                      <w:rFonts w:cs="Times New Roman"/>
                      <w:color w:val="auto"/>
                      <w:sz w:val="21"/>
                      <w:szCs w:val="21"/>
                    </w:rPr>
                    <w:t>1</w:t>
                  </w:r>
                  <w:r>
                    <w:rPr>
                      <w:rFonts w:hint="eastAsia" w:cs="Times New Roman"/>
                      <w:color w:val="auto"/>
                      <w:sz w:val="21"/>
                      <w:szCs w:val="21"/>
                    </w:rPr>
                    <w:t>2</w:t>
                  </w:r>
                  <w:r>
                    <w:rPr>
                      <w:rFonts w:cs="Times New Roman"/>
                      <w:color w:val="auto"/>
                      <w:sz w:val="21"/>
                      <w:szCs w:val="21"/>
                    </w:rPr>
                    <w:t>(1</w:t>
                  </w:r>
                  <w:r>
                    <w:rPr>
                      <w:rFonts w:hint="eastAsia" w:cs="Times New Roman"/>
                      <w:color w:val="auto"/>
                      <w:sz w:val="21"/>
                      <w:szCs w:val="21"/>
                    </w:rPr>
                    <w:t>5</w:t>
                  </w:r>
                  <w:r>
                    <w:rPr>
                      <w:rFonts w:cs="Times New Roman"/>
                      <w:color w:val="auto"/>
                      <w:sz w:val="21"/>
                      <w:szCs w:val="21"/>
                    </w:rPr>
                    <w:t>)</w:t>
                  </w:r>
                </w:p>
              </w:tc>
            </w:tr>
          </w:tbl>
          <w:p w14:paraId="54EF592E">
            <w:pPr>
              <w:jc w:val="left"/>
              <w:rPr>
                <w:b/>
                <w:bCs/>
                <w:color w:val="auto"/>
                <w:sz w:val="24"/>
                <w:szCs w:val="24"/>
              </w:rPr>
            </w:pPr>
            <w:r>
              <w:rPr>
                <w:b/>
                <w:bCs/>
                <w:color w:val="auto"/>
                <w:sz w:val="24"/>
                <w:szCs w:val="24"/>
              </w:rPr>
              <w:t>注：</w:t>
            </w:r>
            <w:r>
              <w:rPr>
                <w:color w:val="auto"/>
                <w:sz w:val="24"/>
                <w:szCs w:val="24"/>
              </w:rPr>
              <w:t>每年11月1日至次年3月31日执行括号内排放限值。</w:t>
            </w:r>
          </w:p>
          <w:p w14:paraId="237431C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3、噪声排放标准</w:t>
            </w:r>
          </w:p>
          <w:p w14:paraId="1FE400C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本项目位于</w:t>
            </w:r>
            <w:r>
              <w:rPr>
                <w:color w:val="auto"/>
                <w:spacing w:val="-2"/>
                <w:sz w:val="24"/>
                <w:szCs w:val="24"/>
              </w:rPr>
              <w:t>常州市金坛区</w:t>
            </w:r>
            <w:r>
              <w:rPr>
                <w:rFonts w:hint="eastAsia"/>
                <w:color w:val="auto"/>
                <w:spacing w:val="-2"/>
                <w:sz w:val="24"/>
                <w:szCs w:val="24"/>
                <w:lang w:eastAsia="zh-CN"/>
              </w:rPr>
              <w:t>西城路118号</w:t>
            </w:r>
            <w:r>
              <w:rPr>
                <w:color w:val="auto"/>
                <w:sz w:val="24"/>
                <w:szCs w:val="24"/>
              </w:rPr>
              <w:t>，根据《</w:t>
            </w:r>
            <w:r>
              <w:rPr>
                <w:rFonts w:hint="eastAsia"/>
                <w:color w:val="auto"/>
                <w:sz w:val="24"/>
                <w:szCs w:val="24"/>
              </w:rPr>
              <w:t>金坛经济开发区发展规划</w:t>
            </w:r>
            <w:r>
              <w:rPr>
                <w:color w:val="auto"/>
                <w:sz w:val="24"/>
                <w:szCs w:val="24"/>
              </w:rPr>
              <w:t>环境影响报告书》，厂界噪声执行《工业企业厂界环境噪声排放标准》（GB12348-2008）中3类标准，详见表3-</w:t>
            </w:r>
            <w:r>
              <w:rPr>
                <w:rFonts w:hint="eastAsia"/>
                <w:color w:val="auto"/>
                <w:sz w:val="24"/>
                <w:szCs w:val="24"/>
              </w:rPr>
              <w:t>1</w:t>
            </w:r>
            <w:r>
              <w:rPr>
                <w:rFonts w:hint="eastAsia"/>
                <w:color w:val="auto"/>
                <w:sz w:val="24"/>
                <w:szCs w:val="24"/>
                <w:lang w:val="en-US" w:eastAsia="zh-CN"/>
              </w:rPr>
              <w:t>3</w:t>
            </w:r>
            <w:r>
              <w:rPr>
                <w:color w:val="auto"/>
                <w:sz w:val="24"/>
                <w:szCs w:val="24"/>
              </w:rPr>
              <w:t>。</w:t>
            </w:r>
          </w:p>
          <w:p w14:paraId="5531AA6A">
            <w:pPr>
              <w:spacing w:line="360" w:lineRule="exact"/>
              <w:jc w:val="center"/>
              <w:rPr>
                <w:b/>
                <w:color w:val="auto"/>
                <w:sz w:val="21"/>
                <w:szCs w:val="21"/>
              </w:rPr>
            </w:pPr>
            <w:r>
              <w:rPr>
                <w:b/>
                <w:bCs/>
                <w:color w:val="auto"/>
                <w:sz w:val="21"/>
                <w:szCs w:val="21"/>
              </w:rPr>
              <w:t>表3-1</w:t>
            </w:r>
            <w:r>
              <w:rPr>
                <w:rFonts w:hint="eastAsia"/>
                <w:b/>
                <w:bCs/>
                <w:color w:val="auto"/>
                <w:sz w:val="21"/>
                <w:szCs w:val="21"/>
                <w:lang w:val="en-US" w:eastAsia="zh-CN"/>
              </w:rPr>
              <w:t>3</w:t>
            </w:r>
            <w:r>
              <w:rPr>
                <w:b/>
                <w:bCs/>
                <w:color w:val="auto"/>
                <w:sz w:val="21"/>
                <w:szCs w:val="21"/>
              </w:rPr>
              <w:t xml:space="preserve"> </w:t>
            </w:r>
            <w:r>
              <w:rPr>
                <w:b/>
                <w:color w:val="auto"/>
                <w:sz w:val="21"/>
                <w:szCs w:val="21"/>
              </w:rPr>
              <w:t>噪声排放标准限值</w:t>
            </w:r>
          </w:p>
          <w:tbl>
            <w:tblPr>
              <w:tblStyle w:val="22"/>
              <w:tblW w:w="8306"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36"/>
              <w:gridCol w:w="4004"/>
              <w:gridCol w:w="846"/>
              <w:gridCol w:w="2220"/>
            </w:tblGrid>
            <w:tr w14:paraId="16CECA6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93" w:hRule="atLeast"/>
                <w:jc w:val="center"/>
              </w:trPr>
              <w:tc>
                <w:tcPr>
                  <w:tcW w:w="1236" w:type="dxa"/>
                  <w:vMerge w:val="restart"/>
                  <w:tcBorders>
                    <w:top w:val="single" w:color="auto" w:sz="12" w:space="0"/>
                  </w:tcBorders>
                  <w:noWrap w:val="0"/>
                  <w:vAlign w:val="center"/>
                </w:tcPr>
                <w:p w14:paraId="042DEB9F">
                  <w:pPr>
                    <w:spacing w:line="300" w:lineRule="exact"/>
                    <w:jc w:val="center"/>
                    <w:rPr>
                      <w:b/>
                      <w:bCs/>
                      <w:color w:val="auto"/>
                      <w:sz w:val="21"/>
                      <w:szCs w:val="21"/>
                    </w:rPr>
                  </w:pPr>
                  <w:r>
                    <w:rPr>
                      <w:b/>
                      <w:bCs/>
                      <w:color w:val="auto"/>
                      <w:sz w:val="21"/>
                      <w:szCs w:val="21"/>
                    </w:rPr>
                    <w:t>边界名</w:t>
                  </w:r>
                </w:p>
              </w:tc>
              <w:tc>
                <w:tcPr>
                  <w:tcW w:w="4004" w:type="dxa"/>
                  <w:vMerge w:val="restart"/>
                  <w:tcBorders>
                    <w:top w:val="single" w:color="auto" w:sz="12" w:space="0"/>
                  </w:tcBorders>
                  <w:noWrap w:val="0"/>
                  <w:vAlign w:val="center"/>
                </w:tcPr>
                <w:p w14:paraId="59C37B62">
                  <w:pPr>
                    <w:spacing w:line="300" w:lineRule="exact"/>
                    <w:jc w:val="center"/>
                    <w:rPr>
                      <w:b/>
                      <w:bCs/>
                      <w:color w:val="auto"/>
                      <w:sz w:val="21"/>
                      <w:szCs w:val="21"/>
                    </w:rPr>
                  </w:pPr>
                  <w:r>
                    <w:rPr>
                      <w:b/>
                      <w:bCs/>
                      <w:color w:val="auto"/>
                      <w:sz w:val="21"/>
                      <w:szCs w:val="21"/>
                    </w:rPr>
                    <w:t>执行标准</w:t>
                  </w:r>
                </w:p>
              </w:tc>
              <w:tc>
                <w:tcPr>
                  <w:tcW w:w="846" w:type="dxa"/>
                  <w:vMerge w:val="restart"/>
                  <w:tcBorders>
                    <w:top w:val="single" w:color="auto" w:sz="12" w:space="0"/>
                  </w:tcBorders>
                  <w:noWrap w:val="0"/>
                  <w:vAlign w:val="center"/>
                </w:tcPr>
                <w:p w14:paraId="33F6B9F0">
                  <w:pPr>
                    <w:spacing w:line="300" w:lineRule="exact"/>
                    <w:jc w:val="center"/>
                    <w:rPr>
                      <w:b/>
                      <w:bCs/>
                      <w:color w:val="auto"/>
                      <w:sz w:val="21"/>
                      <w:szCs w:val="21"/>
                    </w:rPr>
                  </w:pPr>
                  <w:r>
                    <w:rPr>
                      <w:b/>
                      <w:bCs/>
                      <w:color w:val="auto"/>
                      <w:sz w:val="21"/>
                      <w:szCs w:val="21"/>
                    </w:rPr>
                    <w:t>级别</w:t>
                  </w:r>
                </w:p>
              </w:tc>
              <w:tc>
                <w:tcPr>
                  <w:tcW w:w="2220" w:type="dxa"/>
                  <w:tcBorders>
                    <w:top w:val="single" w:color="auto" w:sz="12" w:space="0"/>
                  </w:tcBorders>
                  <w:noWrap w:val="0"/>
                  <w:vAlign w:val="center"/>
                </w:tcPr>
                <w:p w14:paraId="600CFECE">
                  <w:pPr>
                    <w:spacing w:line="300" w:lineRule="exact"/>
                    <w:jc w:val="center"/>
                    <w:rPr>
                      <w:b/>
                      <w:bCs/>
                      <w:color w:val="auto"/>
                      <w:sz w:val="21"/>
                      <w:szCs w:val="21"/>
                    </w:rPr>
                  </w:pPr>
                  <w:r>
                    <w:rPr>
                      <w:b/>
                      <w:bCs/>
                      <w:color w:val="auto"/>
                      <w:sz w:val="21"/>
                      <w:szCs w:val="21"/>
                    </w:rPr>
                    <w:t>标准限值dB(A)</w:t>
                  </w:r>
                </w:p>
              </w:tc>
            </w:tr>
            <w:tr w14:paraId="42CA571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72" w:hRule="atLeast"/>
                <w:jc w:val="center"/>
              </w:trPr>
              <w:tc>
                <w:tcPr>
                  <w:tcW w:w="1236" w:type="dxa"/>
                  <w:vMerge w:val="continue"/>
                  <w:noWrap w:val="0"/>
                  <w:vAlign w:val="center"/>
                </w:tcPr>
                <w:p w14:paraId="5183D90E">
                  <w:pPr>
                    <w:spacing w:line="300" w:lineRule="exact"/>
                    <w:jc w:val="center"/>
                    <w:rPr>
                      <w:b/>
                      <w:bCs/>
                      <w:color w:val="auto"/>
                      <w:sz w:val="21"/>
                      <w:szCs w:val="21"/>
                    </w:rPr>
                  </w:pPr>
                </w:p>
              </w:tc>
              <w:tc>
                <w:tcPr>
                  <w:tcW w:w="4004" w:type="dxa"/>
                  <w:vMerge w:val="continue"/>
                  <w:noWrap w:val="0"/>
                  <w:vAlign w:val="center"/>
                </w:tcPr>
                <w:p w14:paraId="125231DD">
                  <w:pPr>
                    <w:spacing w:line="300" w:lineRule="exact"/>
                    <w:jc w:val="center"/>
                    <w:rPr>
                      <w:b/>
                      <w:bCs/>
                      <w:color w:val="auto"/>
                      <w:sz w:val="21"/>
                      <w:szCs w:val="21"/>
                    </w:rPr>
                  </w:pPr>
                </w:p>
              </w:tc>
              <w:tc>
                <w:tcPr>
                  <w:tcW w:w="846" w:type="dxa"/>
                  <w:vMerge w:val="continue"/>
                  <w:noWrap w:val="0"/>
                  <w:vAlign w:val="center"/>
                </w:tcPr>
                <w:p w14:paraId="7B1BEFA7">
                  <w:pPr>
                    <w:spacing w:line="300" w:lineRule="exact"/>
                    <w:jc w:val="center"/>
                    <w:rPr>
                      <w:b/>
                      <w:bCs/>
                      <w:color w:val="auto"/>
                      <w:sz w:val="21"/>
                      <w:szCs w:val="21"/>
                    </w:rPr>
                  </w:pPr>
                </w:p>
              </w:tc>
              <w:tc>
                <w:tcPr>
                  <w:tcW w:w="2220" w:type="dxa"/>
                  <w:noWrap w:val="0"/>
                  <w:vAlign w:val="center"/>
                </w:tcPr>
                <w:p w14:paraId="502A7681">
                  <w:pPr>
                    <w:spacing w:line="300" w:lineRule="exact"/>
                    <w:jc w:val="center"/>
                    <w:rPr>
                      <w:rFonts w:hint="eastAsia"/>
                      <w:b/>
                      <w:bCs/>
                      <w:color w:val="auto"/>
                      <w:sz w:val="21"/>
                      <w:szCs w:val="21"/>
                    </w:rPr>
                  </w:pPr>
                  <w:r>
                    <w:rPr>
                      <w:b/>
                      <w:bCs/>
                      <w:color w:val="auto"/>
                      <w:sz w:val="21"/>
                      <w:szCs w:val="21"/>
                    </w:rPr>
                    <w:t>昼</w:t>
                  </w:r>
                </w:p>
              </w:tc>
            </w:tr>
            <w:tr w14:paraId="55D2C86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15" w:hRule="atLeast"/>
                <w:jc w:val="center"/>
              </w:trPr>
              <w:tc>
                <w:tcPr>
                  <w:tcW w:w="1236" w:type="dxa"/>
                  <w:tcBorders>
                    <w:bottom w:val="single" w:color="auto" w:sz="12" w:space="0"/>
                  </w:tcBorders>
                  <w:noWrap w:val="0"/>
                  <w:vAlign w:val="center"/>
                </w:tcPr>
                <w:p w14:paraId="5806B0B6">
                  <w:pPr>
                    <w:spacing w:line="300" w:lineRule="exact"/>
                    <w:jc w:val="center"/>
                    <w:rPr>
                      <w:color w:val="auto"/>
                      <w:sz w:val="21"/>
                      <w:szCs w:val="21"/>
                    </w:rPr>
                  </w:pPr>
                  <w:r>
                    <w:rPr>
                      <w:color w:val="auto"/>
                      <w:sz w:val="21"/>
                      <w:szCs w:val="21"/>
                    </w:rPr>
                    <w:t>项目厂界</w:t>
                  </w:r>
                </w:p>
              </w:tc>
              <w:tc>
                <w:tcPr>
                  <w:tcW w:w="4004" w:type="dxa"/>
                  <w:tcBorders>
                    <w:bottom w:val="single" w:color="auto" w:sz="12" w:space="0"/>
                  </w:tcBorders>
                  <w:noWrap w:val="0"/>
                  <w:vAlign w:val="center"/>
                </w:tcPr>
                <w:p w14:paraId="3F3D9A87">
                  <w:pPr>
                    <w:spacing w:line="300" w:lineRule="exact"/>
                    <w:jc w:val="center"/>
                    <w:rPr>
                      <w:color w:val="auto"/>
                      <w:spacing w:val="-6"/>
                      <w:sz w:val="21"/>
                      <w:szCs w:val="21"/>
                    </w:rPr>
                  </w:pPr>
                  <w:r>
                    <w:rPr>
                      <w:color w:val="auto"/>
                      <w:spacing w:val="-6"/>
                      <w:sz w:val="21"/>
                      <w:szCs w:val="21"/>
                    </w:rPr>
                    <w:t>《工业企业厂界环境噪声排放标准》（GB12348-2008）</w:t>
                  </w:r>
                </w:p>
              </w:tc>
              <w:tc>
                <w:tcPr>
                  <w:tcW w:w="846" w:type="dxa"/>
                  <w:tcBorders>
                    <w:bottom w:val="single" w:color="auto" w:sz="12" w:space="0"/>
                  </w:tcBorders>
                  <w:noWrap w:val="0"/>
                  <w:vAlign w:val="center"/>
                </w:tcPr>
                <w:p w14:paraId="4E1426E4">
                  <w:pPr>
                    <w:spacing w:line="300" w:lineRule="exact"/>
                    <w:jc w:val="center"/>
                    <w:rPr>
                      <w:color w:val="auto"/>
                      <w:sz w:val="21"/>
                      <w:szCs w:val="21"/>
                    </w:rPr>
                  </w:pPr>
                  <w:r>
                    <w:rPr>
                      <w:color w:val="auto"/>
                      <w:sz w:val="21"/>
                      <w:szCs w:val="21"/>
                    </w:rPr>
                    <w:t>3类</w:t>
                  </w:r>
                </w:p>
              </w:tc>
              <w:tc>
                <w:tcPr>
                  <w:tcW w:w="2220" w:type="dxa"/>
                  <w:tcBorders>
                    <w:bottom w:val="single" w:color="auto" w:sz="12" w:space="0"/>
                  </w:tcBorders>
                  <w:noWrap w:val="0"/>
                  <w:vAlign w:val="center"/>
                </w:tcPr>
                <w:p w14:paraId="2E542C80">
                  <w:pPr>
                    <w:spacing w:line="300" w:lineRule="exact"/>
                    <w:jc w:val="center"/>
                    <w:rPr>
                      <w:color w:val="auto"/>
                      <w:sz w:val="21"/>
                      <w:szCs w:val="21"/>
                    </w:rPr>
                  </w:pPr>
                  <w:r>
                    <w:rPr>
                      <w:color w:val="auto"/>
                      <w:sz w:val="21"/>
                      <w:szCs w:val="21"/>
                    </w:rPr>
                    <w:t>65</w:t>
                  </w:r>
                </w:p>
              </w:tc>
            </w:tr>
          </w:tbl>
          <w:p w14:paraId="5AA4A2F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bookmarkStart w:id="70" w:name="OLE_LINK32"/>
            <w:bookmarkStart w:id="71" w:name="OLE_LINK34"/>
            <w:r>
              <w:rPr>
                <w:color w:val="auto"/>
                <w:sz w:val="24"/>
                <w:szCs w:val="24"/>
              </w:rPr>
              <w:t>4、固废污染控制标准</w:t>
            </w:r>
          </w:p>
          <w:bookmarkEnd w:id="70"/>
          <w:bookmarkEnd w:id="71"/>
          <w:p w14:paraId="5AEDA4E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本项目所产生的一般工业废物</w:t>
            </w:r>
            <w:r>
              <w:rPr>
                <w:rFonts w:hint="eastAsia"/>
                <w:color w:val="auto"/>
                <w:sz w:val="24"/>
                <w:szCs w:val="24"/>
              </w:rPr>
              <w:t>贮存过程满足相应防渗漏、防雨淋、防扬尘等环境保护要求</w:t>
            </w:r>
            <w:r>
              <w:rPr>
                <w:color w:val="auto"/>
                <w:sz w:val="24"/>
                <w:szCs w:val="24"/>
              </w:rPr>
              <w:t>；危险废物</w:t>
            </w:r>
            <w:r>
              <w:rPr>
                <w:rFonts w:hint="eastAsia"/>
                <w:color w:val="auto"/>
                <w:sz w:val="24"/>
                <w:szCs w:val="24"/>
              </w:rPr>
              <w:t>贮存</w:t>
            </w:r>
            <w:r>
              <w:rPr>
                <w:color w:val="auto"/>
                <w:sz w:val="24"/>
                <w:szCs w:val="24"/>
              </w:rPr>
              <w:t>应执行《危险废物贮存污染控制标准》(GB18597-20</w:t>
            </w:r>
            <w:r>
              <w:rPr>
                <w:rFonts w:hint="eastAsia"/>
                <w:color w:val="auto"/>
                <w:sz w:val="24"/>
                <w:szCs w:val="24"/>
              </w:rPr>
              <w:t>23）、省生态环境厅关于印发《江苏省固体废物全过程环境监管工作意见》的通知（苏环办[2024]16号）、</w:t>
            </w:r>
            <w:r>
              <w:rPr>
                <w:color w:val="auto"/>
                <w:sz w:val="24"/>
                <w:szCs w:val="24"/>
              </w:rPr>
              <w:t>《市生态环境局关于开展全市固废危废环境隐患排查暨贮存规范化管理专项整治行动的通知》（常环执法〔2019〕40号）。</w:t>
            </w:r>
          </w:p>
          <w:p w14:paraId="033A630D">
            <w:pPr>
              <w:spacing w:line="360" w:lineRule="exact"/>
              <w:ind w:firstLine="480" w:firstLineChars="200"/>
              <w:rPr>
                <w:color w:val="auto"/>
                <w:sz w:val="24"/>
                <w:szCs w:val="24"/>
              </w:rPr>
            </w:pPr>
          </w:p>
          <w:p w14:paraId="7B5A4B38">
            <w:pPr>
              <w:spacing w:line="360" w:lineRule="exact"/>
              <w:ind w:firstLine="480" w:firstLineChars="200"/>
              <w:rPr>
                <w:color w:val="auto"/>
                <w:sz w:val="24"/>
                <w:szCs w:val="24"/>
              </w:rPr>
            </w:pPr>
          </w:p>
          <w:p w14:paraId="380E7410">
            <w:pPr>
              <w:spacing w:line="360" w:lineRule="exact"/>
              <w:ind w:firstLine="480" w:firstLineChars="200"/>
              <w:rPr>
                <w:color w:val="auto"/>
                <w:sz w:val="24"/>
                <w:szCs w:val="24"/>
              </w:rPr>
            </w:pPr>
          </w:p>
          <w:p w14:paraId="3E79C1B3">
            <w:pPr>
              <w:spacing w:line="360" w:lineRule="exact"/>
              <w:ind w:firstLine="480" w:firstLineChars="200"/>
              <w:rPr>
                <w:color w:val="auto"/>
                <w:sz w:val="24"/>
                <w:szCs w:val="24"/>
              </w:rPr>
            </w:pPr>
          </w:p>
          <w:p w14:paraId="2BC79ECC">
            <w:pPr>
              <w:spacing w:line="360" w:lineRule="exact"/>
              <w:ind w:firstLine="480" w:firstLineChars="200"/>
              <w:rPr>
                <w:color w:val="auto"/>
                <w:sz w:val="24"/>
                <w:szCs w:val="24"/>
              </w:rPr>
            </w:pPr>
          </w:p>
          <w:p w14:paraId="10C162D4">
            <w:pPr>
              <w:spacing w:line="360" w:lineRule="exact"/>
              <w:ind w:firstLine="480" w:firstLineChars="200"/>
              <w:rPr>
                <w:color w:val="auto"/>
                <w:sz w:val="24"/>
                <w:szCs w:val="24"/>
              </w:rPr>
            </w:pPr>
          </w:p>
          <w:p w14:paraId="54EC14B7">
            <w:pPr>
              <w:spacing w:line="360" w:lineRule="exact"/>
              <w:ind w:firstLine="480" w:firstLineChars="200"/>
              <w:rPr>
                <w:color w:val="auto"/>
                <w:sz w:val="24"/>
                <w:szCs w:val="24"/>
              </w:rPr>
            </w:pPr>
          </w:p>
          <w:p w14:paraId="16CBC476">
            <w:pPr>
              <w:pStyle w:val="18"/>
              <w:spacing w:before="0" w:beforeAutospacing="0" w:after="0" w:afterAutospacing="0"/>
              <w:jc w:val="both"/>
              <w:outlineLvl w:val="0"/>
              <w:rPr>
                <w:rFonts w:ascii="Times New Roman" w:hAnsi="Times New Roman"/>
                <w:snapToGrid w:val="0"/>
                <w:color w:val="auto"/>
                <w:sz w:val="24"/>
                <w:szCs w:val="24"/>
                <w:lang w:val="en-US" w:eastAsia="zh-CN"/>
              </w:rPr>
            </w:pPr>
          </w:p>
        </w:tc>
      </w:tr>
    </w:tbl>
    <w:p w14:paraId="1D2591A9">
      <w:pPr>
        <w:pStyle w:val="18"/>
        <w:spacing w:before="0" w:beforeAutospacing="0" w:after="0" w:afterAutospacing="0"/>
        <w:jc w:val="center"/>
        <w:outlineLvl w:val="0"/>
        <w:rPr>
          <w:rFonts w:ascii="Times New Roman" w:hAnsi="Times New Roman"/>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802"/>
      </w:tblGrid>
      <w:tr w14:paraId="51FF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66FE9CB0">
            <w:pPr>
              <w:adjustRightInd w:val="0"/>
              <w:snapToGrid w:val="0"/>
              <w:jc w:val="center"/>
              <w:rPr>
                <w:color w:val="auto"/>
                <w:kern w:val="0"/>
                <w:sz w:val="24"/>
                <w:szCs w:val="24"/>
              </w:rPr>
            </w:pPr>
            <w:r>
              <w:rPr>
                <w:color w:val="auto"/>
                <w:kern w:val="0"/>
                <w:sz w:val="24"/>
                <w:szCs w:val="24"/>
              </w:rPr>
              <w:t>总量</w:t>
            </w:r>
          </w:p>
          <w:p w14:paraId="24AA6ECE">
            <w:pPr>
              <w:adjustRightInd w:val="0"/>
              <w:snapToGrid w:val="0"/>
              <w:jc w:val="center"/>
              <w:rPr>
                <w:color w:val="auto"/>
                <w:kern w:val="0"/>
                <w:sz w:val="24"/>
                <w:szCs w:val="24"/>
              </w:rPr>
            </w:pPr>
            <w:r>
              <w:rPr>
                <w:color w:val="auto"/>
                <w:kern w:val="0"/>
                <w:sz w:val="24"/>
                <w:szCs w:val="24"/>
              </w:rPr>
              <w:t>控制</w:t>
            </w:r>
          </w:p>
          <w:p w14:paraId="0AB8553A">
            <w:pPr>
              <w:pStyle w:val="18"/>
              <w:spacing w:before="0" w:beforeAutospacing="0" w:after="0" w:afterAutospacing="0"/>
              <w:jc w:val="center"/>
              <w:outlineLvl w:val="0"/>
              <w:rPr>
                <w:rFonts w:ascii="Times New Roman" w:hAnsi="Times New Roman"/>
                <w:snapToGrid w:val="0"/>
                <w:color w:val="auto"/>
                <w:sz w:val="24"/>
                <w:szCs w:val="24"/>
                <w:vertAlign w:val="baseline"/>
              </w:rPr>
            </w:pPr>
            <w:r>
              <w:rPr>
                <w:color w:val="auto"/>
                <w:kern w:val="0"/>
                <w:sz w:val="24"/>
                <w:szCs w:val="24"/>
              </w:rPr>
              <w:t>指标</w:t>
            </w:r>
          </w:p>
        </w:tc>
        <w:tc>
          <w:tcPr>
            <w:tcW w:w="12802" w:type="dxa"/>
            <w:noWrap w:val="0"/>
            <w:vAlign w:val="top"/>
          </w:tcPr>
          <w:p w14:paraId="76DDA4E7">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b/>
                <w:color w:val="auto"/>
                <w:sz w:val="24"/>
                <w:szCs w:val="24"/>
              </w:rPr>
            </w:pPr>
            <w:r>
              <w:rPr>
                <w:b/>
                <w:color w:val="auto"/>
                <w:sz w:val="24"/>
                <w:szCs w:val="24"/>
              </w:rPr>
              <w:t>1、总量控制指标</w:t>
            </w:r>
          </w:p>
          <w:p w14:paraId="226D73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根据市政府办公室关于印发《常州市建设项目主要污染物排放总量指标审核及管理实施细则》的通知（常政办发[2015]104号），结合本项目排污特征，确定本项目总量控制因子。</w:t>
            </w:r>
          </w:p>
          <w:p w14:paraId="5E064B5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大气污染物总量控制因子：非甲烷总烃。</w:t>
            </w:r>
          </w:p>
          <w:p w14:paraId="63A4A367">
            <w:pPr>
              <w:keepNext w:val="0"/>
              <w:keepLines w:val="0"/>
              <w:pageBreakBefore w:val="0"/>
              <w:widowControl w:val="0"/>
              <w:kinsoku/>
              <w:wordWrap/>
              <w:overflowPunct/>
              <w:topLinePunct w:val="0"/>
              <w:autoSpaceDE/>
              <w:autoSpaceDN/>
              <w:bidi w:val="0"/>
              <w:adjustRightInd/>
              <w:snapToGrid/>
              <w:spacing w:line="480" w:lineRule="exact"/>
              <w:ind w:firstLine="464" w:firstLineChars="200"/>
              <w:textAlignment w:val="auto"/>
              <w:rPr>
                <w:color w:val="auto"/>
                <w:spacing w:val="-4"/>
                <w:sz w:val="24"/>
                <w:szCs w:val="24"/>
              </w:rPr>
            </w:pPr>
            <w:r>
              <w:rPr>
                <w:color w:val="auto"/>
                <w:spacing w:val="-4"/>
                <w:sz w:val="24"/>
                <w:szCs w:val="24"/>
              </w:rPr>
              <w:t>水污染物总量控制因子：COD</w:t>
            </w:r>
            <w:r>
              <w:rPr>
                <w:rFonts w:hint="eastAsia"/>
                <w:color w:val="auto"/>
                <w:spacing w:val="-4"/>
                <w:sz w:val="24"/>
                <w:szCs w:val="24"/>
                <w:lang w:val="en-US" w:eastAsia="zh-CN"/>
              </w:rPr>
              <w:t>、</w:t>
            </w:r>
            <w:r>
              <w:rPr>
                <w:color w:val="auto"/>
                <w:spacing w:val="-4"/>
                <w:sz w:val="24"/>
                <w:szCs w:val="24"/>
              </w:rPr>
              <w:t>氨氮、总磷、总氮。</w:t>
            </w:r>
          </w:p>
          <w:p w14:paraId="6022FE56">
            <w:pPr>
              <w:spacing w:line="360" w:lineRule="exact"/>
              <w:jc w:val="center"/>
              <w:rPr>
                <w:b/>
                <w:bCs/>
                <w:color w:val="auto"/>
                <w:sz w:val="21"/>
                <w:szCs w:val="21"/>
              </w:rPr>
            </w:pPr>
            <w:r>
              <w:rPr>
                <w:b/>
                <w:bCs/>
                <w:color w:val="auto"/>
                <w:sz w:val="21"/>
                <w:szCs w:val="21"/>
              </w:rPr>
              <w:t>表3-1</w:t>
            </w:r>
            <w:r>
              <w:rPr>
                <w:rFonts w:hint="eastAsia"/>
                <w:b/>
                <w:bCs/>
                <w:color w:val="auto"/>
                <w:sz w:val="21"/>
                <w:szCs w:val="21"/>
                <w:lang w:val="en-US" w:eastAsia="zh-CN"/>
              </w:rPr>
              <w:t>4</w:t>
            </w:r>
            <w:r>
              <w:rPr>
                <w:b/>
                <w:bCs/>
                <w:color w:val="auto"/>
                <w:sz w:val="21"/>
                <w:szCs w:val="21"/>
              </w:rPr>
              <w:t xml:space="preserve">  本项目污染物</w:t>
            </w:r>
            <w:r>
              <w:rPr>
                <w:rFonts w:hint="eastAsia"/>
                <w:b/>
                <w:bCs/>
                <w:color w:val="auto"/>
                <w:sz w:val="21"/>
                <w:szCs w:val="21"/>
              </w:rPr>
              <w:t>排放情况</w:t>
            </w:r>
            <w:r>
              <w:rPr>
                <w:b/>
                <w:bCs/>
                <w:color w:val="auto"/>
                <w:sz w:val="21"/>
                <w:szCs w:val="21"/>
              </w:rPr>
              <w:t>汇总表  t/a</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63"/>
              <w:gridCol w:w="708"/>
              <w:gridCol w:w="1477"/>
              <w:gridCol w:w="1008"/>
              <w:gridCol w:w="912"/>
              <w:gridCol w:w="869"/>
              <w:gridCol w:w="869"/>
              <w:gridCol w:w="889"/>
              <w:gridCol w:w="1464"/>
              <w:gridCol w:w="1013"/>
              <w:gridCol w:w="1026"/>
              <w:gridCol w:w="832"/>
              <w:gridCol w:w="35"/>
              <w:gridCol w:w="821"/>
            </w:tblGrid>
            <w:tr w14:paraId="16D0BB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44" w:type="pct"/>
                  <w:gridSpan w:val="2"/>
                  <w:vMerge w:val="restart"/>
                  <w:tcBorders>
                    <w:top w:val="single" w:color="auto" w:sz="12" w:space="0"/>
                  </w:tcBorders>
                  <w:noWrap w:val="0"/>
                  <w:tcMar>
                    <w:left w:w="28" w:type="dxa"/>
                    <w:right w:w="28" w:type="dxa"/>
                  </w:tcMar>
                  <w:vAlign w:val="center"/>
                </w:tcPr>
                <w:p w14:paraId="5B5E1C79">
                  <w:pPr>
                    <w:spacing w:line="350" w:lineRule="exact"/>
                    <w:jc w:val="center"/>
                    <w:rPr>
                      <w:b/>
                      <w:color w:val="auto"/>
                      <w:spacing w:val="0"/>
                      <w:sz w:val="21"/>
                      <w:szCs w:val="21"/>
                    </w:rPr>
                  </w:pPr>
                  <w:r>
                    <w:rPr>
                      <w:rFonts w:hAnsi="宋体"/>
                      <w:b/>
                      <w:color w:val="auto"/>
                      <w:spacing w:val="0"/>
                      <w:sz w:val="21"/>
                      <w:szCs w:val="21"/>
                    </w:rPr>
                    <w:t>种类</w:t>
                  </w:r>
                </w:p>
              </w:tc>
              <w:tc>
                <w:tcPr>
                  <w:tcW w:w="586" w:type="pct"/>
                  <w:vMerge w:val="restart"/>
                  <w:tcBorders>
                    <w:top w:val="single" w:color="auto" w:sz="12" w:space="0"/>
                  </w:tcBorders>
                  <w:noWrap w:val="0"/>
                  <w:tcMar>
                    <w:left w:w="28" w:type="dxa"/>
                    <w:right w:w="28" w:type="dxa"/>
                  </w:tcMar>
                  <w:vAlign w:val="center"/>
                </w:tcPr>
                <w:p w14:paraId="0644E36D">
                  <w:pPr>
                    <w:spacing w:line="350" w:lineRule="exact"/>
                    <w:jc w:val="center"/>
                    <w:rPr>
                      <w:rFonts w:hint="eastAsia" w:hAnsi="宋体"/>
                      <w:b/>
                      <w:color w:val="auto"/>
                      <w:spacing w:val="0"/>
                      <w:sz w:val="21"/>
                      <w:szCs w:val="21"/>
                    </w:rPr>
                  </w:pPr>
                  <w:r>
                    <w:rPr>
                      <w:rFonts w:hint="eastAsia" w:hAnsi="宋体"/>
                      <w:b/>
                      <w:color w:val="auto"/>
                      <w:spacing w:val="0"/>
                      <w:sz w:val="21"/>
                      <w:szCs w:val="21"/>
                    </w:rPr>
                    <w:t>污染物</w:t>
                  </w:r>
                </w:p>
                <w:p w14:paraId="67C19719">
                  <w:pPr>
                    <w:spacing w:line="350" w:lineRule="exact"/>
                    <w:jc w:val="center"/>
                    <w:rPr>
                      <w:rFonts w:hint="eastAsia"/>
                      <w:b/>
                      <w:color w:val="auto"/>
                      <w:spacing w:val="0"/>
                      <w:sz w:val="21"/>
                      <w:szCs w:val="21"/>
                    </w:rPr>
                  </w:pPr>
                  <w:r>
                    <w:rPr>
                      <w:rFonts w:hint="eastAsia" w:hAnsi="宋体"/>
                      <w:b/>
                      <w:color w:val="auto"/>
                      <w:spacing w:val="0"/>
                      <w:sz w:val="21"/>
                      <w:szCs w:val="21"/>
                    </w:rPr>
                    <w:t>名称</w:t>
                  </w:r>
                </w:p>
              </w:tc>
              <w:tc>
                <w:tcPr>
                  <w:tcW w:w="400" w:type="pct"/>
                  <w:vMerge w:val="restart"/>
                  <w:tcBorders>
                    <w:top w:val="single" w:color="auto" w:sz="12" w:space="0"/>
                    <w:right w:val="single" w:color="auto" w:sz="2" w:space="0"/>
                  </w:tcBorders>
                  <w:noWrap w:val="0"/>
                  <w:vAlign w:val="center"/>
                </w:tcPr>
                <w:p w14:paraId="3B1DFA41">
                  <w:pPr>
                    <w:spacing w:line="350" w:lineRule="exact"/>
                    <w:jc w:val="center"/>
                    <w:rPr>
                      <w:rFonts w:hint="eastAsia" w:hAnsi="宋体"/>
                      <w:b/>
                      <w:color w:val="auto"/>
                      <w:spacing w:val="0"/>
                      <w:sz w:val="21"/>
                      <w:szCs w:val="21"/>
                    </w:rPr>
                  </w:pPr>
                  <w:r>
                    <w:rPr>
                      <w:rFonts w:hint="eastAsia" w:hAnsi="宋体"/>
                      <w:b/>
                      <w:color w:val="auto"/>
                      <w:spacing w:val="0"/>
                      <w:sz w:val="21"/>
                      <w:szCs w:val="21"/>
                    </w:rPr>
                    <w:t>原有</w:t>
                  </w:r>
                </w:p>
                <w:p w14:paraId="3A01FAA4">
                  <w:pPr>
                    <w:spacing w:line="350" w:lineRule="exact"/>
                    <w:jc w:val="center"/>
                    <w:rPr>
                      <w:rFonts w:hint="eastAsia" w:hAnsi="宋体"/>
                      <w:b/>
                      <w:color w:val="auto"/>
                      <w:spacing w:val="0"/>
                      <w:sz w:val="21"/>
                      <w:szCs w:val="21"/>
                    </w:rPr>
                  </w:pPr>
                  <w:r>
                    <w:rPr>
                      <w:rFonts w:hint="eastAsia" w:hAnsi="宋体"/>
                      <w:b/>
                      <w:color w:val="auto"/>
                      <w:spacing w:val="0"/>
                      <w:sz w:val="21"/>
                      <w:szCs w:val="21"/>
                    </w:rPr>
                    <w:t>项目</w:t>
                  </w:r>
                </w:p>
                <w:p w14:paraId="53FC139C">
                  <w:pPr>
                    <w:spacing w:line="350" w:lineRule="exact"/>
                    <w:jc w:val="center"/>
                    <w:rPr>
                      <w:rFonts w:hint="eastAsia"/>
                      <w:b/>
                      <w:color w:val="auto"/>
                      <w:spacing w:val="0"/>
                      <w:sz w:val="21"/>
                      <w:szCs w:val="21"/>
                    </w:rPr>
                  </w:pPr>
                  <w:r>
                    <w:rPr>
                      <w:rFonts w:hint="eastAsia" w:hAnsi="宋体"/>
                      <w:b/>
                      <w:color w:val="auto"/>
                      <w:spacing w:val="0"/>
                      <w:sz w:val="21"/>
                      <w:szCs w:val="21"/>
                    </w:rPr>
                    <w:t>排放量</w:t>
                  </w:r>
                </w:p>
              </w:tc>
              <w:tc>
                <w:tcPr>
                  <w:tcW w:w="362" w:type="pct"/>
                  <w:vMerge w:val="restart"/>
                  <w:tcBorders>
                    <w:top w:val="single" w:color="auto" w:sz="12" w:space="0"/>
                    <w:left w:val="single" w:color="auto" w:sz="2" w:space="0"/>
                    <w:right w:val="single" w:color="auto" w:sz="2" w:space="0"/>
                  </w:tcBorders>
                  <w:noWrap w:val="0"/>
                  <w:vAlign w:val="center"/>
                </w:tcPr>
                <w:p w14:paraId="194BBF9C">
                  <w:pPr>
                    <w:spacing w:line="350" w:lineRule="exact"/>
                    <w:jc w:val="center"/>
                    <w:rPr>
                      <w:rFonts w:hint="eastAsia" w:hAnsi="宋体"/>
                      <w:b/>
                      <w:color w:val="auto"/>
                      <w:spacing w:val="0"/>
                      <w:sz w:val="21"/>
                      <w:szCs w:val="21"/>
                    </w:rPr>
                  </w:pPr>
                  <w:r>
                    <w:rPr>
                      <w:rFonts w:hint="eastAsia" w:hAnsi="宋体"/>
                      <w:b/>
                      <w:color w:val="auto"/>
                      <w:spacing w:val="0"/>
                      <w:sz w:val="21"/>
                      <w:szCs w:val="21"/>
                    </w:rPr>
                    <w:t>原有</w:t>
                  </w:r>
                </w:p>
                <w:p w14:paraId="6A7FEEB4">
                  <w:pPr>
                    <w:spacing w:line="350" w:lineRule="exact"/>
                    <w:jc w:val="center"/>
                    <w:rPr>
                      <w:rFonts w:hint="eastAsia" w:hAnsi="宋体"/>
                      <w:b/>
                      <w:color w:val="auto"/>
                      <w:spacing w:val="0"/>
                      <w:sz w:val="21"/>
                      <w:szCs w:val="21"/>
                    </w:rPr>
                  </w:pPr>
                  <w:r>
                    <w:rPr>
                      <w:rFonts w:hint="eastAsia" w:hAnsi="宋体"/>
                      <w:b/>
                      <w:color w:val="auto"/>
                      <w:spacing w:val="0"/>
                      <w:sz w:val="21"/>
                      <w:szCs w:val="21"/>
                    </w:rPr>
                    <w:t>项目</w:t>
                  </w:r>
                </w:p>
                <w:p w14:paraId="21EF696C">
                  <w:pPr>
                    <w:spacing w:line="350" w:lineRule="exact"/>
                    <w:jc w:val="center"/>
                    <w:rPr>
                      <w:rFonts w:hint="eastAsia"/>
                      <w:b/>
                      <w:color w:val="auto"/>
                      <w:spacing w:val="0"/>
                      <w:sz w:val="21"/>
                      <w:szCs w:val="21"/>
                    </w:rPr>
                  </w:pPr>
                  <w:r>
                    <w:rPr>
                      <w:rFonts w:hint="eastAsia" w:hAnsi="宋体"/>
                      <w:b/>
                      <w:color w:val="auto"/>
                      <w:spacing w:val="0"/>
                      <w:sz w:val="21"/>
                      <w:szCs w:val="21"/>
                    </w:rPr>
                    <w:t>批复量</w:t>
                  </w:r>
                </w:p>
              </w:tc>
              <w:tc>
                <w:tcPr>
                  <w:tcW w:w="1043" w:type="pct"/>
                  <w:gridSpan w:val="3"/>
                  <w:tcBorders>
                    <w:top w:val="single" w:color="auto" w:sz="12" w:space="0"/>
                    <w:bottom w:val="single" w:color="auto" w:sz="2" w:space="0"/>
                  </w:tcBorders>
                  <w:noWrap w:val="0"/>
                  <w:vAlign w:val="center"/>
                </w:tcPr>
                <w:p w14:paraId="4599BF8A">
                  <w:pPr>
                    <w:spacing w:line="350" w:lineRule="exact"/>
                    <w:jc w:val="center"/>
                    <w:rPr>
                      <w:rFonts w:hint="eastAsia" w:hAnsi="宋体"/>
                      <w:b/>
                      <w:color w:val="auto"/>
                      <w:spacing w:val="0"/>
                      <w:sz w:val="21"/>
                      <w:szCs w:val="21"/>
                    </w:rPr>
                  </w:pPr>
                  <w:r>
                    <w:rPr>
                      <w:rFonts w:hint="eastAsia" w:hAnsi="宋体"/>
                      <w:b/>
                      <w:color w:val="auto"/>
                      <w:spacing w:val="0"/>
                      <w:sz w:val="21"/>
                      <w:szCs w:val="21"/>
                    </w:rPr>
                    <w:t>本项目排放量</w:t>
                  </w:r>
                </w:p>
              </w:tc>
              <w:tc>
                <w:tcPr>
                  <w:tcW w:w="581" w:type="pct"/>
                  <w:vMerge w:val="restart"/>
                  <w:tcBorders>
                    <w:top w:val="single" w:color="auto" w:sz="12" w:space="0"/>
                  </w:tcBorders>
                  <w:noWrap w:val="0"/>
                  <w:vAlign w:val="center"/>
                </w:tcPr>
                <w:p w14:paraId="657A7061">
                  <w:pPr>
                    <w:spacing w:line="350" w:lineRule="exact"/>
                    <w:jc w:val="center"/>
                    <w:rPr>
                      <w:rFonts w:hint="eastAsia"/>
                      <w:b/>
                      <w:color w:val="auto"/>
                      <w:spacing w:val="0"/>
                      <w:sz w:val="21"/>
                      <w:szCs w:val="21"/>
                    </w:rPr>
                  </w:pPr>
                  <w:r>
                    <w:rPr>
                      <w:rFonts w:hint="eastAsia"/>
                      <w:b/>
                      <w:color w:val="auto"/>
                      <w:spacing w:val="0"/>
                      <w:sz w:val="21"/>
                      <w:szCs w:val="21"/>
                    </w:rPr>
                    <w:t>“以新带</w:t>
                  </w:r>
                </w:p>
                <w:p w14:paraId="08A29050">
                  <w:pPr>
                    <w:spacing w:line="350" w:lineRule="exact"/>
                    <w:jc w:val="center"/>
                    <w:rPr>
                      <w:rFonts w:hint="eastAsia"/>
                      <w:b/>
                      <w:color w:val="auto"/>
                      <w:spacing w:val="0"/>
                      <w:sz w:val="21"/>
                      <w:szCs w:val="21"/>
                    </w:rPr>
                  </w:pPr>
                  <w:r>
                    <w:rPr>
                      <w:rFonts w:hint="eastAsia"/>
                      <w:b/>
                      <w:color w:val="auto"/>
                      <w:spacing w:val="0"/>
                      <w:sz w:val="21"/>
                      <w:szCs w:val="21"/>
                    </w:rPr>
                    <w:t>老”削减量</w:t>
                  </w:r>
                </w:p>
              </w:tc>
              <w:tc>
                <w:tcPr>
                  <w:tcW w:w="402" w:type="pct"/>
                  <w:vMerge w:val="restart"/>
                  <w:tcBorders>
                    <w:top w:val="single" w:color="auto" w:sz="12" w:space="0"/>
                  </w:tcBorders>
                  <w:noWrap w:val="0"/>
                  <w:vAlign w:val="center"/>
                </w:tcPr>
                <w:p w14:paraId="55DC2C5A">
                  <w:pPr>
                    <w:spacing w:line="350" w:lineRule="exact"/>
                    <w:jc w:val="center"/>
                    <w:rPr>
                      <w:rFonts w:hint="eastAsia" w:hAnsi="宋体"/>
                      <w:b/>
                      <w:color w:val="auto"/>
                      <w:spacing w:val="0"/>
                      <w:sz w:val="21"/>
                      <w:szCs w:val="21"/>
                    </w:rPr>
                  </w:pPr>
                  <w:r>
                    <w:rPr>
                      <w:rFonts w:hint="eastAsia" w:hAnsi="宋体"/>
                      <w:b/>
                      <w:color w:val="auto"/>
                      <w:spacing w:val="0"/>
                      <w:sz w:val="21"/>
                      <w:szCs w:val="21"/>
                    </w:rPr>
                    <w:t>全厂</w:t>
                  </w:r>
                </w:p>
                <w:p w14:paraId="11029D48">
                  <w:pPr>
                    <w:spacing w:line="350" w:lineRule="exact"/>
                    <w:jc w:val="center"/>
                    <w:rPr>
                      <w:rFonts w:hint="eastAsia"/>
                      <w:b/>
                      <w:color w:val="auto"/>
                      <w:spacing w:val="0"/>
                      <w:sz w:val="21"/>
                      <w:szCs w:val="21"/>
                    </w:rPr>
                  </w:pPr>
                  <w:r>
                    <w:rPr>
                      <w:rFonts w:hint="eastAsia" w:hAnsi="宋体"/>
                      <w:b/>
                      <w:color w:val="auto"/>
                      <w:spacing w:val="0"/>
                      <w:sz w:val="21"/>
                      <w:szCs w:val="21"/>
                    </w:rPr>
                    <w:t>排放量</w:t>
                  </w:r>
                </w:p>
              </w:tc>
              <w:tc>
                <w:tcPr>
                  <w:tcW w:w="407" w:type="pct"/>
                  <w:vMerge w:val="restart"/>
                  <w:tcBorders>
                    <w:top w:val="single" w:color="auto" w:sz="12" w:space="0"/>
                  </w:tcBorders>
                  <w:noWrap w:val="0"/>
                  <w:tcMar>
                    <w:left w:w="28" w:type="dxa"/>
                    <w:right w:w="28" w:type="dxa"/>
                  </w:tcMar>
                  <w:vAlign w:val="center"/>
                </w:tcPr>
                <w:p w14:paraId="5AC1DEE0">
                  <w:pPr>
                    <w:spacing w:line="350" w:lineRule="exact"/>
                    <w:jc w:val="center"/>
                    <w:rPr>
                      <w:rFonts w:hint="eastAsia"/>
                      <w:b/>
                      <w:color w:val="auto"/>
                      <w:spacing w:val="0"/>
                      <w:sz w:val="21"/>
                      <w:szCs w:val="21"/>
                    </w:rPr>
                  </w:pPr>
                  <w:r>
                    <w:rPr>
                      <w:rFonts w:hint="eastAsia"/>
                      <w:b/>
                      <w:color w:val="auto"/>
                      <w:spacing w:val="0"/>
                      <w:sz w:val="21"/>
                      <w:szCs w:val="21"/>
                    </w:rPr>
                    <w:t>增减量</w:t>
                  </w:r>
                </w:p>
              </w:tc>
              <w:tc>
                <w:tcPr>
                  <w:tcW w:w="670" w:type="pct"/>
                  <w:gridSpan w:val="3"/>
                  <w:tcBorders>
                    <w:top w:val="single" w:color="auto" w:sz="12" w:space="0"/>
                    <w:bottom w:val="single" w:color="auto" w:sz="2" w:space="0"/>
                  </w:tcBorders>
                  <w:noWrap w:val="0"/>
                  <w:vAlign w:val="center"/>
                </w:tcPr>
                <w:p w14:paraId="77E30F1B">
                  <w:pPr>
                    <w:spacing w:line="350" w:lineRule="exact"/>
                    <w:jc w:val="center"/>
                    <w:rPr>
                      <w:rFonts w:hint="eastAsia"/>
                      <w:b/>
                      <w:color w:val="auto"/>
                      <w:spacing w:val="0"/>
                      <w:sz w:val="21"/>
                      <w:szCs w:val="21"/>
                    </w:rPr>
                  </w:pPr>
                  <w:r>
                    <w:rPr>
                      <w:rFonts w:hint="eastAsia"/>
                      <w:b/>
                      <w:color w:val="auto"/>
                      <w:spacing w:val="0"/>
                      <w:sz w:val="21"/>
                      <w:szCs w:val="21"/>
                    </w:rPr>
                    <w:t>本次申请量</w:t>
                  </w:r>
                </w:p>
              </w:tc>
            </w:tr>
            <w:tr w14:paraId="51AB9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44" w:type="pct"/>
                  <w:gridSpan w:val="2"/>
                  <w:vMerge w:val="continue"/>
                  <w:noWrap w:val="0"/>
                  <w:tcMar>
                    <w:left w:w="28" w:type="dxa"/>
                    <w:right w:w="28" w:type="dxa"/>
                  </w:tcMar>
                  <w:vAlign w:val="center"/>
                </w:tcPr>
                <w:p w14:paraId="07CF7DC8">
                  <w:pPr>
                    <w:spacing w:line="350" w:lineRule="exact"/>
                    <w:jc w:val="center"/>
                    <w:rPr>
                      <w:rFonts w:hAnsi="宋体"/>
                      <w:b/>
                      <w:color w:val="auto"/>
                      <w:spacing w:val="0"/>
                      <w:sz w:val="21"/>
                      <w:szCs w:val="21"/>
                    </w:rPr>
                  </w:pPr>
                </w:p>
              </w:tc>
              <w:tc>
                <w:tcPr>
                  <w:tcW w:w="586" w:type="pct"/>
                  <w:vMerge w:val="continue"/>
                  <w:noWrap w:val="0"/>
                  <w:tcMar>
                    <w:left w:w="28" w:type="dxa"/>
                    <w:right w:w="28" w:type="dxa"/>
                  </w:tcMar>
                  <w:vAlign w:val="center"/>
                </w:tcPr>
                <w:p w14:paraId="03C09B9D">
                  <w:pPr>
                    <w:spacing w:line="350" w:lineRule="exact"/>
                    <w:jc w:val="center"/>
                    <w:rPr>
                      <w:rFonts w:hint="eastAsia" w:hAnsi="宋体"/>
                      <w:b/>
                      <w:color w:val="auto"/>
                      <w:spacing w:val="0"/>
                      <w:sz w:val="21"/>
                      <w:szCs w:val="21"/>
                    </w:rPr>
                  </w:pPr>
                </w:p>
              </w:tc>
              <w:tc>
                <w:tcPr>
                  <w:tcW w:w="400" w:type="pct"/>
                  <w:vMerge w:val="continue"/>
                  <w:tcBorders>
                    <w:right w:val="single" w:color="auto" w:sz="2" w:space="0"/>
                  </w:tcBorders>
                  <w:noWrap w:val="0"/>
                  <w:vAlign w:val="center"/>
                </w:tcPr>
                <w:p w14:paraId="7520D44D">
                  <w:pPr>
                    <w:spacing w:line="350" w:lineRule="exact"/>
                    <w:jc w:val="center"/>
                    <w:rPr>
                      <w:rFonts w:hint="eastAsia" w:hAnsi="宋体"/>
                      <w:b/>
                      <w:color w:val="auto"/>
                      <w:spacing w:val="0"/>
                      <w:sz w:val="21"/>
                      <w:szCs w:val="21"/>
                    </w:rPr>
                  </w:pPr>
                </w:p>
              </w:tc>
              <w:tc>
                <w:tcPr>
                  <w:tcW w:w="362" w:type="pct"/>
                  <w:vMerge w:val="continue"/>
                  <w:tcBorders>
                    <w:left w:val="single" w:color="auto" w:sz="2" w:space="0"/>
                    <w:right w:val="single" w:color="auto" w:sz="2" w:space="0"/>
                  </w:tcBorders>
                  <w:noWrap w:val="0"/>
                  <w:vAlign w:val="center"/>
                </w:tcPr>
                <w:p w14:paraId="0A6A22F1">
                  <w:pPr>
                    <w:spacing w:line="350" w:lineRule="exact"/>
                    <w:jc w:val="center"/>
                    <w:rPr>
                      <w:rFonts w:hint="eastAsia" w:hAnsi="宋体"/>
                      <w:b/>
                      <w:color w:val="auto"/>
                      <w:spacing w:val="0"/>
                      <w:sz w:val="21"/>
                      <w:szCs w:val="21"/>
                    </w:rPr>
                  </w:pPr>
                </w:p>
              </w:tc>
              <w:tc>
                <w:tcPr>
                  <w:tcW w:w="345" w:type="pct"/>
                  <w:tcBorders>
                    <w:top w:val="single" w:color="auto" w:sz="2" w:space="0"/>
                    <w:right w:val="single" w:color="auto" w:sz="2" w:space="0"/>
                  </w:tcBorders>
                  <w:noWrap w:val="0"/>
                  <w:vAlign w:val="center"/>
                </w:tcPr>
                <w:p w14:paraId="4F9F2730">
                  <w:pPr>
                    <w:spacing w:line="350" w:lineRule="exact"/>
                    <w:jc w:val="center"/>
                    <w:rPr>
                      <w:rFonts w:hint="eastAsia" w:hAnsi="宋体"/>
                      <w:b/>
                      <w:color w:val="auto"/>
                      <w:spacing w:val="0"/>
                      <w:sz w:val="21"/>
                      <w:szCs w:val="21"/>
                    </w:rPr>
                  </w:pPr>
                  <w:r>
                    <w:rPr>
                      <w:rFonts w:hint="eastAsia" w:hAnsi="宋体"/>
                      <w:b/>
                      <w:color w:val="auto"/>
                      <w:spacing w:val="0"/>
                      <w:sz w:val="21"/>
                      <w:szCs w:val="21"/>
                    </w:rPr>
                    <w:t>产生量</w:t>
                  </w:r>
                </w:p>
              </w:tc>
              <w:tc>
                <w:tcPr>
                  <w:tcW w:w="345" w:type="pct"/>
                  <w:tcBorders>
                    <w:top w:val="single" w:color="auto" w:sz="2" w:space="0"/>
                    <w:left w:val="single" w:color="auto" w:sz="2" w:space="0"/>
                    <w:right w:val="single" w:color="auto" w:sz="2" w:space="0"/>
                  </w:tcBorders>
                  <w:noWrap w:val="0"/>
                  <w:vAlign w:val="center"/>
                </w:tcPr>
                <w:p w14:paraId="1DBFBDC8">
                  <w:pPr>
                    <w:spacing w:line="350" w:lineRule="exact"/>
                    <w:jc w:val="center"/>
                    <w:rPr>
                      <w:rFonts w:hint="eastAsia" w:hAnsi="宋体"/>
                      <w:b/>
                      <w:color w:val="auto"/>
                      <w:spacing w:val="0"/>
                      <w:sz w:val="21"/>
                      <w:szCs w:val="21"/>
                    </w:rPr>
                  </w:pPr>
                  <w:r>
                    <w:rPr>
                      <w:rFonts w:hint="eastAsia" w:hAnsi="宋体"/>
                      <w:b/>
                      <w:color w:val="auto"/>
                      <w:spacing w:val="0"/>
                      <w:sz w:val="21"/>
                      <w:szCs w:val="21"/>
                    </w:rPr>
                    <w:t>削减量</w:t>
                  </w:r>
                </w:p>
              </w:tc>
              <w:tc>
                <w:tcPr>
                  <w:tcW w:w="353" w:type="pct"/>
                  <w:tcBorders>
                    <w:top w:val="single" w:color="auto" w:sz="2" w:space="0"/>
                    <w:left w:val="single" w:color="auto" w:sz="2" w:space="0"/>
                  </w:tcBorders>
                  <w:noWrap w:val="0"/>
                  <w:vAlign w:val="center"/>
                </w:tcPr>
                <w:p w14:paraId="7E29239A">
                  <w:pPr>
                    <w:spacing w:line="350" w:lineRule="exact"/>
                    <w:jc w:val="center"/>
                    <w:rPr>
                      <w:rFonts w:hint="eastAsia" w:hAnsi="宋体"/>
                      <w:b/>
                      <w:color w:val="auto"/>
                      <w:spacing w:val="0"/>
                      <w:sz w:val="21"/>
                      <w:szCs w:val="21"/>
                    </w:rPr>
                  </w:pPr>
                  <w:r>
                    <w:rPr>
                      <w:rFonts w:hint="eastAsia" w:hAnsi="宋体"/>
                      <w:b/>
                      <w:color w:val="auto"/>
                      <w:spacing w:val="0"/>
                      <w:sz w:val="21"/>
                      <w:szCs w:val="21"/>
                    </w:rPr>
                    <w:t>排放量</w:t>
                  </w:r>
                </w:p>
              </w:tc>
              <w:tc>
                <w:tcPr>
                  <w:tcW w:w="581" w:type="pct"/>
                  <w:vMerge w:val="continue"/>
                  <w:noWrap w:val="0"/>
                  <w:vAlign w:val="center"/>
                </w:tcPr>
                <w:p w14:paraId="2B736046">
                  <w:pPr>
                    <w:spacing w:line="350" w:lineRule="exact"/>
                    <w:jc w:val="center"/>
                    <w:rPr>
                      <w:rFonts w:hint="eastAsia"/>
                      <w:b/>
                      <w:color w:val="auto"/>
                      <w:spacing w:val="0"/>
                      <w:sz w:val="21"/>
                      <w:szCs w:val="21"/>
                    </w:rPr>
                  </w:pPr>
                </w:p>
              </w:tc>
              <w:tc>
                <w:tcPr>
                  <w:tcW w:w="402" w:type="pct"/>
                  <w:vMerge w:val="continue"/>
                  <w:noWrap w:val="0"/>
                  <w:vAlign w:val="center"/>
                </w:tcPr>
                <w:p w14:paraId="3802ED2E">
                  <w:pPr>
                    <w:spacing w:line="350" w:lineRule="exact"/>
                    <w:jc w:val="center"/>
                    <w:rPr>
                      <w:rFonts w:hint="eastAsia" w:hAnsi="宋体"/>
                      <w:b/>
                      <w:color w:val="auto"/>
                      <w:spacing w:val="0"/>
                      <w:sz w:val="21"/>
                      <w:szCs w:val="21"/>
                    </w:rPr>
                  </w:pPr>
                </w:p>
              </w:tc>
              <w:tc>
                <w:tcPr>
                  <w:tcW w:w="407" w:type="pct"/>
                  <w:vMerge w:val="continue"/>
                  <w:noWrap w:val="0"/>
                  <w:tcMar>
                    <w:left w:w="28" w:type="dxa"/>
                    <w:right w:w="28" w:type="dxa"/>
                  </w:tcMar>
                  <w:vAlign w:val="center"/>
                </w:tcPr>
                <w:p w14:paraId="0AE34A65">
                  <w:pPr>
                    <w:spacing w:line="350" w:lineRule="exact"/>
                    <w:jc w:val="center"/>
                    <w:rPr>
                      <w:rFonts w:hint="eastAsia"/>
                      <w:b/>
                      <w:color w:val="auto"/>
                      <w:spacing w:val="0"/>
                      <w:sz w:val="21"/>
                      <w:szCs w:val="21"/>
                    </w:rPr>
                  </w:pPr>
                </w:p>
              </w:tc>
              <w:tc>
                <w:tcPr>
                  <w:tcW w:w="330" w:type="pct"/>
                  <w:tcBorders>
                    <w:top w:val="single" w:color="auto" w:sz="2" w:space="0"/>
                    <w:right w:val="single" w:color="auto" w:sz="2" w:space="0"/>
                  </w:tcBorders>
                  <w:noWrap w:val="0"/>
                  <w:vAlign w:val="center"/>
                </w:tcPr>
                <w:p w14:paraId="6673B23D">
                  <w:pPr>
                    <w:spacing w:line="350" w:lineRule="exact"/>
                    <w:jc w:val="center"/>
                    <w:rPr>
                      <w:rFonts w:hint="eastAsia"/>
                      <w:b/>
                      <w:color w:val="auto"/>
                      <w:spacing w:val="0"/>
                      <w:sz w:val="21"/>
                      <w:szCs w:val="21"/>
                    </w:rPr>
                  </w:pPr>
                  <w:r>
                    <w:rPr>
                      <w:rFonts w:hint="eastAsia"/>
                      <w:b/>
                      <w:color w:val="auto"/>
                      <w:spacing w:val="0"/>
                      <w:sz w:val="21"/>
                      <w:szCs w:val="21"/>
                    </w:rPr>
                    <w:t>控制</w:t>
                  </w:r>
                </w:p>
                <w:p w14:paraId="36D878DE">
                  <w:pPr>
                    <w:spacing w:line="350" w:lineRule="exact"/>
                    <w:jc w:val="center"/>
                    <w:rPr>
                      <w:rFonts w:hint="eastAsia"/>
                      <w:b/>
                      <w:color w:val="auto"/>
                      <w:spacing w:val="0"/>
                      <w:sz w:val="21"/>
                      <w:szCs w:val="21"/>
                    </w:rPr>
                  </w:pPr>
                  <w:r>
                    <w:rPr>
                      <w:rFonts w:hint="eastAsia"/>
                      <w:b/>
                      <w:color w:val="auto"/>
                      <w:spacing w:val="0"/>
                      <w:sz w:val="21"/>
                      <w:szCs w:val="21"/>
                    </w:rPr>
                    <w:t>因子</w:t>
                  </w:r>
                </w:p>
              </w:tc>
              <w:tc>
                <w:tcPr>
                  <w:tcW w:w="340" w:type="pct"/>
                  <w:gridSpan w:val="2"/>
                  <w:tcBorders>
                    <w:top w:val="single" w:color="auto" w:sz="2" w:space="0"/>
                    <w:left w:val="single" w:color="auto" w:sz="2" w:space="0"/>
                  </w:tcBorders>
                  <w:noWrap w:val="0"/>
                  <w:vAlign w:val="center"/>
                </w:tcPr>
                <w:p w14:paraId="3D645EF4">
                  <w:pPr>
                    <w:spacing w:line="350" w:lineRule="exact"/>
                    <w:jc w:val="center"/>
                    <w:rPr>
                      <w:rFonts w:hint="eastAsia"/>
                      <w:b/>
                      <w:color w:val="auto"/>
                      <w:spacing w:val="0"/>
                      <w:sz w:val="21"/>
                      <w:szCs w:val="21"/>
                    </w:rPr>
                  </w:pPr>
                  <w:r>
                    <w:rPr>
                      <w:rFonts w:hint="eastAsia"/>
                      <w:b/>
                      <w:color w:val="auto"/>
                      <w:spacing w:val="0"/>
                      <w:sz w:val="21"/>
                      <w:szCs w:val="21"/>
                    </w:rPr>
                    <w:t>考核</w:t>
                  </w:r>
                </w:p>
                <w:p w14:paraId="550D022D">
                  <w:pPr>
                    <w:spacing w:line="350" w:lineRule="exact"/>
                    <w:jc w:val="center"/>
                    <w:rPr>
                      <w:rFonts w:hint="eastAsia"/>
                      <w:b/>
                      <w:color w:val="auto"/>
                      <w:spacing w:val="0"/>
                      <w:sz w:val="21"/>
                      <w:szCs w:val="21"/>
                    </w:rPr>
                  </w:pPr>
                  <w:r>
                    <w:rPr>
                      <w:rFonts w:hint="eastAsia"/>
                      <w:b/>
                      <w:color w:val="auto"/>
                      <w:spacing w:val="0"/>
                      <w:sz w:val="21"/>
                      <w:szCs w:val="21"/>
                    </w:rPr>
                    <w:t>因子</w:t>
                  </w:r>
                </w:p>
              </w:tc>
            </w:tr>
            <w:tr w14:paraId="0F1F3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3" w:type="pct"/>
                  <w:vMerge w:val="restart"/>
                  <w:noWrap w:val="0"/>
                  <w:tcMar>
                    <w:left w:w="28" w:type="dxa"/>
                    <w:right w:w="28" w:type="dxa"/>
                  </w:tcMar>
                  <w:vAlign w:val="center"/>
                </w:tcPr>
                <w:p w14:paraId="68FB8217">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水污</w:t>
                  </w:r>
                </w:p>
                <w:p w14:paraId="0939BEC9">
                  <w:pPr>
                    <w:spacing w:line="350" w:lineRule="exact"/>
                    <w:jc w:val="center"/>
                    <w:rPr>
                      <w:rFonts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lang w:val="en-US" w:eastAsia="zh-CN"/>
                    </w:rPr>
                    <w:t>染物</w:t>
                  </w:r>
                </w:p>
              </w:tc>
              <w:tc>
                <w:tcPr>
                  <w:tcW w:w="281" w:type="pct"/>
                  <w:vMerge w:val="restart"/>
                  <w:noWrap w:val="0"/>
                  <w:tcMar>
                    <w:left w:w="28" w:type="dxa"/>
                    <w:right w:w="28" w:type="dxa"/>
                  </w:tcMar>
                  <w:vAlign w:val="center"/>
                </w:tcPr>
                <w:p w14:paraId="0F72EB28">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生活</w:t>
                  </w:r>
                </w:p>
                <w:p w14:paraId="3B05839D">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污水</w:t>
                  </w:r>
                </w:p>
              </w:tc>
              <w:tc>
                <w:tcPr>
                  <w:tcW w:w="586" w:type="pct"/>
                  <w:noWrap w:val="0"/>
                  <w:tcMar>
                    <w:left w:w="28" w:type="dxa"/>
                    <w:right w:w="28" w:type="dxa"/>
                  </w:tcMar>
                  <w:vAlign w:val="center"/>
                </w:tcPr>
                <w:p w14:paraId="18CBEB00">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废水量</w:t>
                  </w:r>
                </w:p>
              </w:tc>
              <w:tc>
                <w:tcPr>
                  <w:tcW w:w="400" w:type="pct"/>
                  <w:tcBorders>
                    <w:right w:val="single" w:color="auto" w:sz="2" w:space="0"/>
                  </w:tcBorders>
                  <w:noWrap w:val="0"/>
                  <w:vAlign w:val="center"/>
                </w:tcPr>
                <w:p w14:paraId="57089F10">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62" w:type="pct"/>
                  <w:tcBorders>
                    <w:left w:val="single" w:color="auto" w:sz="2" w:space="0"/>
                  </w:tcBorders>
                  <w:noWrap w:val="0"/>
                  <w:vAlign w:val="center"/>
                </w:tcPr>
                <w:p w14:paraId="4DC89220">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45" w:type="pct"/>
                  <w:tcBorders>
                    <w:right w:val="single" w:color="auto" w:sz="2" w:space="0"/>
                  </w:tcBorders>
                  <w:noWrap w:val="0"/>
                  <w:vAlign w:val="center"/>
                </w:tcPr>
                <w:p w14:paraId="295533BA">
                  <w:pPr>
                    <w:spacing w:line="35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w:t>
                  </w:r>
                </w:p>
              </w:tc>
              <w:tc>
                <w:tcPr>
                  <w:tcW w:w="345" w:type="pct"/>
                  <w:tcBorders>
                    <w:left w:val="single" w:color="auto" w:sz="2" w:space="0"/>
                    <w:right w:val="single" w:color="auto" w:sz="2" w:space="0"/>
                  </w:tcBorders>
                  <w:noWrap w:val="0"/>
                  <w:vAlign w:val="center"/>
                </w:tcPr>
                <w:p w14:paraId="62B8D38D">
                  <w:pPr>
                    <w:spacing w:line="35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c>
                <w:tcPr>
                  <w:tcW w:w="353" w:type="pct"/>
                  <w:tcBorders>
                    <w:left w:val="single" w:color="auto" w:sz="2" w:space="0"/>
                  </w:tcBorders>
                  <w:noWrap w:val="0"/>
                  <w:vAlign w:val="center"/>
                </w:tcPr>
                <w:p w14:paraId="017357DB">
                  <w:pPr>
                    <w:spacing w:line="35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w:t>
                  </w:r>
                </w:p>
              </w:tc>
              <w:tc>
                <w:tcPr>
                  <w:tcW w:w="581" w:type="pct"/>
                  <w:noWrap w:val="0"/>
                  <w:vAlign w:val="center"/>
                </w:tcPr>
                <w:p w14:paraId="4E048E96">
                  <w:pPr>
                    <w:spacing w:line="350" w:lineRule="exact"/>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pacing w:val="0"/>
                      <w:sz w:val="21"/>
                      <w:szCs w:val="21"/>
                      <w:lang w:val="en-US" w:eastAsia="zh-CN"/>
                    </w:rPr>
                    <w:t>/</w:t>
                  </w:r>
                </w:p>
              </w:tc>
              <w:tc>
                <w:tcPr>
                  <w:tcW w:w="402" w:type="pct"/>
                  <w:noWrap w:val="0"/>
                  <w:vAlign w:val="center"/>
                </w:tcPr>
                <w:p w14:paraId="5FBF90EF">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sz w:val="21"/>
                      <w:szCs w:val="21"/>
                      <w:lang w:val="en-US" w:eastAsia="zh-CN"/>
                    </w:rPr>
                    <w:t>240</w:t>
                  </w:r>
                </w:p>
              </w:tc>
              <w:tc>
                <w:tcPr>
                  <w:tcW w:w="407" w:type="pct"/>
                  <w:noWrap w:val="0"/>
                  <w:vAlign w:val="center"/>
                </w:tcPr>
                <w:p w14:paraId="0BCA81DE">
                  <w:pPr>
                    <w:spacing w:line="35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w:t>
                  </w:r>
                </w:p>
              </w:tc>
              <w:tc>
                <w:tcPr>
                  <w:tcW w:w="670" w:type="pct"/>
                  <w:gridSpan w:val="3"/>
                  <w:noWrap w:val="0"/>
                  <w:tcMar>
                    <w:left w:w="28" w:type="dxa"/>
                    <w:right w:w="28" w:type="dxa"/>
                  </w:tcMar>
                  <w:vAlign w:val="center"/>
                </w:tcPr>
                <w:p w14:paraId="6C8D2113">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240</w:t>
                  </w:r>
                </w:p>
              </w:tc>
            </w:tr>
            <w:tr w14:paraId="7A218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3" w:type="pct"/>
                  <w:vMerge w:val="continue"/>
                  <w:noWrap w:val="0"/>
                  <w:tcMar>
                    <w:left w:w="28" w:type="dxa"/>
                    <w:right w:w="28" w:type="dxa"/>
                  </w:tcMar>
                  <w:vAlign w:val="center"/>
                </w:tcPr>
                <w:p w14:paraId="12873D42">
                  <w:pPr>
                    <w:spacing w:line="350" w:lineRule="exact"/>
                    <w:jc w:val="center"/>
                    <w:rPr>
                      <w:rFonts w:ascii="Times New Roman" w:hAnsi="Times New Roman" w:eastAsia="宋体" w:cs="Times New Roman"/>
                      <w:color w:val="auto"/>
                      <w:spacing w:val="0"/>
                      <w:sz w:val="21"/>
                      <w:szCs w:val="21"/>
                    </w:rPr>
                  </w:pPr>
                </w:p>
              </w:tc>
              <w:tc>
                <w:tcPr>
                  <w:tcW w:w="281" w:type="pct"/>
                  <w:vMerge w:val="continue"/>
                  <w:noWrap w:val="0"/>
                  <w:tcMar>
                    <w:left w:w="28" w:type="dxa"/>
                    <w:right w:w="28" w:type="dxa"/>
                  </w:tcMar>
                  <w:vAlign w:val="center"/>
                </w:tcPr>
                <w:p w14:paraId="56361F58">
                  <w:pPr>
                    <w:spacing w:line="350" w:lineRule="exact"/>
                    <w:jc w:val="center"/>
                    <w:rPr>
                      <w:rFonts w:ascii="Times New Roman" w:hAnsi="Times New Roman" w:eastAsia="宋体" w:cs="Times New Roman"/>
                      <w:color w:val="auto"/>
                      <w:spacing w:val="0"/>
                      <w:sz w:val="21"/>
                      <w:szCs w:val="21"/>
                    </w:rPr>
                  </w:pPr>
                </w:p>
              </w:tc>
              <w:tc>
                <w:tcPr>
                  <w:tcW w:w="586" w:type="pct"/>
                  <w:noWrap w:val="0"/>
                  <w:tcMar>
                    <w:left w:w="28" w:type="dxa"/>
                    <w:right w:w="28" w:type="dxa"/>
                  </w:tcMar>
                  <w:vAlign w:val="center"/>
                </w:tcPr>
                <w:p w14:paraId="7E88ABFD">
                  <w:pPr>
                    <w:spacing w:line="280" w:lineRule="exact"/>
                    <w:jc w:val="center"/>
                    <w:rPr>
                      <w:color w:val="auto"/>
                      <w:kern w:val="2"/>
                      <w:sz w:val="21"/>
                      <w:szCs w:val="21"/>
                      <w:lang w:val="en-US" w:eastAsia="zh-CN" w:bidi="ar-SA"/>
                    </w:rPr>
                  </w:pPr>
                  <w:r>
                    <w:rPr>
                      <w:color w:val="auto"/>
                      <w:sz w:val="21"/>
                      <w:szCs w:val="21"/>
                    </w:rPr>
                    <w:t>COD</w:t>
                  </w:r>
                </w:p>
              </w:tc>
              <w:tc>
                <w:tcPr>
                  <w:tcW w:w="400" w:type="pct"/>
                  <w:tcBorders>
                    <w:right w:val="single" w:color="auto" w:sz="2" w:space="0"/>
                  </w:tcBorders>
                  <w:noWrap w:val="0"/>
                  <w:vAlign w:val="center"/>
                </w:tcPr>
                <w:p w14:paraId="28AA5144">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62" w:type="pct"/>
                  <w:tcBorders>
                    <w:left w:val="single" w:color="auto" w:sz="2" w:space="0"/>
                  </w:tcBorders>
                  <w:noWrap w:val="0"/>
                  <w:vAlign w:val="center"/>
                </w:tcPr>
                <w:p w14:paraId="6899656B">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45" w:type="pct"/>
                  <w:tcBorders>
                    <w:right w:val="single" w:color="auto" w:sz="2" w:space="0"/>
                  </w:tcBorders>
                  <w:noWrap w:val="0"/>
                  <w:vAlign w:val="center"/>
                </w:tcPr>
                <w:p w14:paraId="3FEF2DE1">
                  <w:pPr>
                    <w:spacing w:line="35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096</w:t>
                  </w:r>
                </w:p>
              </w:tc>
              <w:tc>
                <w:tcPr>
                  <w:tcW w:w="345" w:type="pct"/>
                  <w:tcBorders>
                    <w:left w:val="single" w:color="auto" w:sz="2" w:space="0"/>
                    <w:right w:val="single" w:color="auto" w:sz="2" w:space="0"/>
                  </w:tcBorders>
                  <w:noWrap w:val="0"/>
                  <w:vAlign w:val="center"/>
                </w:tcPr>
                <w:p w14:paraId="3399B1CD">
                  <w:pPr>
                    <w:spacing w:line="35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c>
                <w:tcPr>
                  <w:tcW w:w="353" w:type="pct"/>
                  <w:tcBorders>
                    <w:left w:val="single" w:color="auto" w:sz="2" w:space="0"/>
                  </w:tcBorders>
                  <w:noWrap w:val="0"/>
                  <w:vAlign w:val="center"/>
                </w:tcPr>
                <w:p w14:paraId="7542602B">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096</w:t>
                  </w:r>
                </w:p>
              </w:tc>
              <w:tc>
                <w:tcPr>
                  <w:tcW w:w="581" w:type="pct"/>
                  <w:noWrap w:val="0"/>
                  <w:vAlign w:val="center"/>
                </w:tcPr>
                <w:p w14:paraId="019B0B50">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402" w:type="pct"/>
                  <w:noWrap w:val="0"/>
                  <w:vAlign w:val="center"/>
                </w:tcPr>
                <w:p w14:paraId="4E4FA785">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096</w:t>
                  </w:r>
                </w:p>
              </w:tc>
              <w:tc>
                <w:tcPr>
                  <w:tcW w:w="407" w:type="pct"/>
                  <w:noWrap w:val="0"/>
                  <w:vAlign w:val="center"/>
                </w:tcPr>
                <w:p w14:paraId="67B3272D">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096</w:t>
                  </w:r>
                </w:p>
              </w:tc>
              <w:tc>
                <w:tcPr>
                  <w:tcW w:w="344" w:type="pct"/>
                  <w:gridSpan w:val="2"/>
                  <w:tcBorders>
                    <w:right w:val="single" w:color="auto" w:sz="2" w:space="0"/>
                  </w:tcBorders>
                  <w:noWrap w:val="0"/>
                  <w:tcMar>
                    <w:left w:w="28" w:type="dxa"/>
                    <w:right w:w="28" w:type="dxa"/>
                  </w:tcMar>
                  <w:vAlign w:val="center"/>
                </w:tcPr>
                <w:p w14:paraId="02C25FA4">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096</w:t>
                  </w:r>
                </w:p>
              </w:tc>
              <w:tc>
                <w:tcPr>
                  <w:tcW w:w="326" w:type="pct"/>
                  <w:tcBorders>
                    <w:left w:val="single" w:color="auto" w:sz="2" w:space="0"/>
                  </w:tcBorders>
                  <w:noWrap w:val="0"/>
                  <w:vAlign w:val="center"/>
                </w:tcPr>
                <w:p w14:paraId="2D11C0E7">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14:paraId="5E1580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3" w:type="pct"/>
                  <w:vMerge w:val="continue"/>
                  <w:noWrap w:val="0"/>
                  <w:tcMar>
                    <w:left w:w="28" w:type="dxa"/>
                    <w:right w:w="28" w:type="dxa"/>
                  </w:tcMar>
                  <w:vAlign w:val="center"/>
                </w:tcPr>
                <w:p w14:paraId="15BFF43E">
                  <w:pPr>
                    <w:spacing w:line="350" w:lineRule="exact"/>
                    <w:jc w:val="center"/>
                    <w:rPr>
                      <w:rFonts w:ascii="Times New Roman" w:hAnsi="Times New Roman" w:eastAsia="宋体" w:cs="Times New Roman"/>
                      <w:color w:val="auto"/>
                      <w:spacing w:val="0"/>
                      <w:sz w:val="21"/>
                      <w:szCs w:val="21"/>
                    </w:rPr>
                  </w:pPr>
                </w:p>
              </w:tc>
              <w:tc>
                <w:tcPr>
                  <w:tcW w:w="281" w:type="pct"/>
                  <w:vMerge w:val="continue"/>
                  <w:noWrap w:val="0"/>
                  <w:tcMar>
                    <w:left w:w="28" w:type="dxa"/>
                    <w:right w:w="28" w:type="dxa"/>
                  </w:tcMar>
                  <w:vAlign w:val="center"/>
                </w:tcPr>
                <w:p w14:paraId="2125F5E7">
                  <w:pPr>
                    <w:spacing w:line="350" w:lineRule="exact"/>
                    <w:jc w:val="center"/>
                    <w:rPr>
                      <w:rFonts w:ascii="Times New Roman" w:hAnsi="Times New Roman" w:eastAsia="宋体" w:cs="Times New Roman"/>
                      <w:color w:val="auto"/>
                      <w:spacing w:val="0"/>
                      <w:sz w:val="21"/>
                      <w:szCs w:val="21"/>
                    </w:rPr>
                  </w:pPr>
                </w:p>
              </w:tc>
              <w:tc>
                <w:tcPr>
                  <w:tcW w:w="586" w:type="pct"/>
                  <w:noWrap w:val="0"/>
                  <w:tcMar>
                    <w:left w:w="28" w:type="dxa"/>
                    <w:right w:w="28" w:type="dxa"/>
                  </w:tcMar>
                  <w:vAlign w:val="center"/>
                </w:tcPr>
                <w:p w14:paraId="7B98FFB0">
                  <w:pPr>
                    <w:spacing w:line="280" w:lineRule="exact"/>
                    <w:jc w:val="center"/>
                    <w:rPr>
                      <w:rFonts w:hint="default" w:eastAsia="宋体"/>
                      <w:color w:val="auto"/>
                      <w:sz w:val="21"/>
                      <w:szCs w:val="21"/>
                      <w:lang w:val="en-US" w:eastAsia="zh-CN"/>
                    </w:rPr>
                  </w:pPr>
                  <w:r>
                    <w:rPr>
                      <w:rFonts w:hint="eastAsia"/>
                      <w:color w:val="auto"/>
                      <w:sz w:val="21"/>
                      <w:szCs w:val="21"/>
                      <w:lang w:val="en-US" w:eastAsia="zh-CN"/>
                    </w:rPr>
                    <w:t>SS</w:t>
                  </w:r>
                </w:p>
              </w:tc>
              <w:tc>
                <w:tcPr>
                  <w:tcW w:w="400" w:type="pct"/>
                  <w:tcBorders>
                    <w:right w:val="single" w:color="auto" w:sz="2" w:space="0"/>
                  </w:tcBorders>
                  <w:noWrap w:val="0"/>
                  <w:vAlign w:val="center"/>
                </w:tcPr>
                <w:p w14:paraId="1B9E875D">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62" w:type="pct"/>
                  <w:tcBorders>
                    <w:left w:val="single" w:color="auto" w:sz="2" w:space="0"/>
                  </w:tcBorders>
                  <w:noWrap w:val="0"/>
                  <w:vAlign w:val="center"/>
                </w:tcPr>
                <w:p w14:paraId="03DAA5B0">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45" w:type="pct"/>
                  <w:tcBorders>
                    <w:right w:val="single" w:color="auto" w:sz="2" w:space="0"/>
                  </w:tcBorders>
                  <w:noWrap w:val="0"/>
                  <w:vAlign w:val="center"/>
                </w:tcPr>
                <w:p w14:paraId="7F9D89A1">
                  <w:pPr>
                    <w:spacing w:line="35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w:t>
                  </w:r>
                </w:p>
              </w:tc>
              <w:tc>
                <w:tcPr>
                  <w:tcW w:w="345" w:type="pct"/>
                  <w:tcBorders>
                    <w:left w:val="single" w:color="auto" w:sz="2" w:space="0"/>
                    <w:right w:val="single" w:color="auto" w:sz="2" w:space="0"/>
                  </w:tcBorders>
                  <w:noWrap w:val="0"/>
                  <w:vAlign w:val="center"/>
                </w:tcPr>
                <w:p w14:paraId="2EBCA40D">
                  <w:pPr>
                    <w:spacing w:line="35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353" w:type="pct"/>
                  <w:tcBorders>
                    <w:left w:val="single" w:color="auto" w:sz="2" w:space="0"/>
                  </w:tcBorders>
                  <w:noWrap w:val="0"/>
                  <w:vAlign w:val="center"/>
                </w:tcPr>
                <w:p w14:paraId="71D4DA50">
                  <w:pPr>
                    <w:spacing w:line="35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w:t>
                  </w:r>
                </w:p>
              </w:tc>
              <w:tc>
                <w:tcPr>
                  <w:tcW w:w="581" w:type="pct"/>
                  <w:noWrap w:val="0"/>
                  <w:vAlign w:val="center"/>
                </w:tcPr>
                <w:p w14:paraId="5FD5F184">
                  <w:pPr>
                    <w:spacing w:line="350" w:lineRule="exact"/>
                    <w:jc w:val="center"/>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sz w:val="21"/>
                      <w:szCs w:val="21"/>
                      <w:lang w:val="en-US" w:eastAsia="zh-CN"/>
                    </w:rPr>
                    <w:t>/</w:t>
                  </w:r>
                </w:p>
              </w:tc>
              <w:tc>
                <w:tcPr>
                  <w:tcW w:w="402" w:type="pct"/>
                  <w:noWrap w:val="0"/>
                  <w:vAlign w:val="center"/>
                </w:tcPr>
                <w:p w14:paraId="69265A66">
                  <w:pPr>
                    <w:spacing w:line="350" w:lineRule="exact"/>
                    <w:jc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0.06</w:t>
                  </w:r>
                </w:p>
              </w:tc>
              <w:tc>
                <w:tcPr>
                  <w:tcW w:w="407" w:type="pct"/>
                  <w:noWrap w:val="0"/>
                  <w:vAlign w:val="center"/>
                </w:tcPr>
                <w:p w14:paraId="57C4F61A">
                  <w:pPr>
                    <w:spacing w:line="35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w:t>
                  </w:r>
                </w:p>
              </w:tc>
              <w:tc>
                <w:tcPr>
                  <w:tcW w:w="344" w:type="pct"/>
                  <w:gridSpan w:val="2"/>
                  <w:tcBorders>
                    <w:right w:val="single" w:color="auto" w:sz="2" w:space="0"/>
                  </w:tcBorders>
                  <w:noWrap w:val="0"/>
                  <w:tcMar>
                    <w:left w:w="28" w:type="dxa"/>
                    <w:right w:w="28" w:type="dxa"/>
                  </w:tcMar>
                  <w:vAlign w:val="center"/>
                </w:tcPr>
                <w:p w14:paraId="0F2ACBE9">
                  <w:pPr>
                    <w:spacing w:line="350" w:lineRule="exact"/>
                    <w:jc w:val="center"/>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sz w:val="21"/>
                      <w:szCs w:val="21"/>
                      <w:lang w:val="en-US" w:eastAsia="zh-CN"/>
                    </w:rPr>
                    <w:t>/</w:t>
                  </w:r>
                </w:p>
              </w:tc>
              <w:tc>
                <w:tcPr>
                  <w:tcW w:w="326" w:type="pct"/>
                  <w:tcBorders>
                    <w:left w:val="single" w:color="auto" w:sz="2" w:space="0"/>
                  </w:tcBorders>
                  <w:noWrap w:val="0"/>
                  <w:vAlign w:val="center"/>
                </w:tcPr>
                <w:p w14:paraId="3F1410B7">
                  <w:pPr>
                    <w:spacing w:line="350" w:lineRule="exact"/>
                    <w:jc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0.06</w:t>
                  </w:r>
                </w:p>
              </w:tc>
            </w:tr>
            <w:tr w14:paraId="6A8894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3" w:type="pct"/>
                  <w:vMerge w:val="continue"/>
                  <w:noWrap w:val="0"/>
                  <w:tcMar>
                    <w:left w:w="28" w:type="dxa"/>
                    <w:right w:w="28" w:type="dxa"/>
                  </w:tcMar>
                  <w:vAlign w:val="center"/>
                </w:tcPr>
                <w:p w14:paraId="6AC00BA6">
                  <w:pPr>
                    <w:spacing w:line="350" w:lineRule="exact"/>
                    <w:jc w:val="center"/>
                    <w:rPr>
                      <w:rFonts w:ascii="Times New Roman" w:hAnsi="Times New Roman" w:eastAsia="宋体" w:cs="Times New Roman"/>
                      <w:color w:val="auto"/>
                      <w:spacing w:val="0"/>
                      <w:sz w:val="21"/>
                      <w:szCs w:val="21"/>
                    </w:rPr>
                  </w:pPr>
                </w:p>
              </w:tc>
              <w:tc>
                <w:tcPr>
                  <w:tcW w:w="281" w:type="pct"/>
                  <w:vMerge w:val="continue"/>
                  <w:noWrap w:val="0"/>
                  <w:tcMar>
                    <w:left w:w="28" w:type="dxa"/>
                    <w:right w:w="28" w:type="dxa"/>
                  </w:tcMar>
                  <w:vAlign w:val="center"/>
                </w:tcPr>
                <w:p w14:paraId="2F0F7C6F">
                  <w:pPr>
                    <w:spacing w:line="350" w:lineRule="exact"/>
                    <w:jc w:val="center"/>
                    <w:rPr>
                      <w:rFonts w:ascii="Times New Roman" w:hAnsi="Times New Roman" w:eastAsia="宋体" w:cs="Times New Roman"/>
                      <w:color w:val="auto"/>
                      <w:spacing w:val="0"/>
                      <w:sz w:val="21"/>
                      <w:szCs w:val="21"/>
                    </w:rPr>
                  </w:pPr>
                </w:p>
              </w:tc>
              <w:tc>
                <w:tcPr>
                  <w:tcW w:w="586" w:type="pct"/>
                  <w:noWrap w:val="0"/>
                  <w:tcMar>
                    <w:left w:w="28" w:type="dxa"/>
                    <w:right w:w="28" w:type="dxa"/>
                  </w:tcMar>
                  <w:vAlign w:val="center"/>
                </w:tcPr>
                <w:p w14:paraId="2412225B">
                  <w:pPr>
                    <w:widowControl/>
                    <w:spacing w:line="280" w:lineRule="exact"/>
                    <w:jc w:val="center"/>
                    <w:rPr>
                      <w:color w:val="auto"/>
                      <w:kern w:val="0"/>
                      <w:sz w:val="21"/>
                      <w:szCs w:val="21"/>
                      <w:lang w:val="en-US" w:eastAsia="zh-CN" w:bidi="ar-SA"/>
                    </w:rPr>
                  </w:pPr>
                  <w:r>
                    <w:rPr>
                      <w:color w:val="auto"/>
                      <w:sz w:val="21"/>
                      <w:szCs w:val="21"/>
                    </w:rPr>
                    <w:t>NH</w:t>
                  </w:r>
                  <w:r>
                    <w:rPr>
                      <w:color w:val="auto"/>
                      <w:sz w:val="21"/>
                      <w:szCs w:val="21"/>
                      <w:vertAlign w:val="subscript"/>
                    </w:rPr>
                    <w:t>3</w:t>
                  </w:r>
                  <w:r>
                    <w:rPr>
                      <w:color w:val="auto"/>
                      <w:sz w:val="21"/>
                      <w:szCs w:val="21"/>
                    </w:rPr>
                    <w:t>-N</w:t>
                  </w:r>
                </w:p>
              </w:tc>
              <w:tc>
                <w:tcPr>
                  <w:tcW w:w="400" w:type="pct"/>
                  <w:tcBorders>
                    <w:right w:val="single" w:color="auto" w:sz="2" w:space="0"/>
                  </w:tcBorders>
                  <w:noWrap w:val="0"/>
                  <w:vAlign w:val="center"/>
                </w:tcPr>
                <w:p w14:paraId="6B7457E5">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62" w:type="pct"/>
                  <w:tcBorders>
                    <w:left w:val="single" w:color="auto" w:sz="2" w:space="0"/>
                  </w:tcBorders>
                  <w:noWrap w:val="0"/>
                  <w:vAlign w:val="center"/>
                </w:tcPr>
                <w:p w14:paraId="07ECD5E4">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45" w:type="pct"/>
                  <w:tcBorders>
                    <w:right w:val="single" w:color="auto" w:sz="2" w:space="0"/>
                  </w:tcBorders>
                  <w:noWrap w:val="0"/>
                  <w:vAlign w:val="center"/>
                </w:tcPr>
                <w:p w14:paraId="70A79A9E">
                  <w:pPr>
                    <w:spacing w:line="35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06</w:t>
                  </w:r>
                </w:p>
              </w:tc>
              <w:tc>
                <w:tcPr>
                  <w:tcW w:w="345" w:type="pct"/>
                  <w:tcBorders>
                    <w:left w:val="single" w:color="auto" w:sz="2" w:space="0"/>
                    <w:right w:val="single" w:color="auto" w:sz="2" w:space="0"/>
                  </w:tcBorders>
                  <w:noWrap w:val="0"/>
                  <w:vAlign w:val="center"/>
                </w:tcPr>
                <w:p w14:paraId="181A1EDB">
                  <w:pPr>
                    <w:spacing w:line="35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c>
                <w:tcPr>
                  <w:tcW w:w="353" w:type="pct"/>
                  <w:tcBorders>
                    <w:left w:val="single" w:color="auto" w:sz="2" w:space="0"/>
                  </w:tcBorders>
                  <w:noWrap w:val="0"/>
                  <w:vAlign w:val="center"/>
                </w:tcPr>
                <w:p w14:paraId="4158665A">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06</w:t>
                  </w:r>
                </w:p>
              </w:tc>
              <w:tc>
                <w:tcPr>
                  <w:tcW w:w="581" w:type="pct"/>
                  <w:noWrap w:val="0"/>
                  <w:vAlign w:val="center"/>
                </w:tcPr>
                <w:p w14:paraId="4EDF3491">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402" w:type="pct"/>
                  <w:noWrap w:val="0"/>
                  <w:vAlign w:val="center"/>
                </w:tcPr>
                <w:p w14:paraId="227EBA13">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06</w:t>
                  </w:r>
                </w:p>
              </w:tc>
              <w:tc>
                <w:tcPr>
                  <w:tcW w:w="407" w:type="pct"/>
                  <w:noWrap w:val="0"/>
                  <w:vAlign w:val="center"/>
                </w:tcPr>
                <w:p w14:paraId="092C4451">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06</w:t>
                  </w:r>
                </w:p>
              </w:tc>
              <w:tc>
                <w:tcPr>
                  <w:tcW w:w="344" w:type="pct"/>
                  <w:gridSpan w:val="2"/>
                  <w:tcBorders>
                    <w:right w:val="single" w:color="auto" w:sz="2" w:space="0"/>
                  </w:tcBorders>
                  <w:noWrap w:val="0"/>
                  <w:tcMar>
                    <w:left w:w="28" w:type="dxa"/>
                    <w:right w:w="28" w:type="dxa"/>
                  </w:tcMar>
                  <w:vAlign w:val="center"/>
                </w:tcPr>
                <w:p w14:paraId="1530CCF0">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06</w:t>
                  </w:r>
                </w:p>
              </w:tc>
              <w:tc>
                <w:tcPr>
                  <w:tcW w:w="326" w:type="pct"/>
                  <w:tcBorders>
                    <w:left w:val="single" w:color="auto" w:sz="2" w:space="0"/>
                  </w:tcBorders>
                  <w:noWrap w:val="0"/>
                  <w:vAlign w:val="center"/>
                </w:tcPr>
                <w:p w14:paraId="7717D179">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14:paraId="0EDC9A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3" w:type="pct"/>
                  <w:vMerge w:val="continue"/>
                  <w:noWrap w:val="0"/>
                  <w:tcMar>
                    <w:left w:w="28" w:type="dxa"/>
                    <w:right w:w="28" w:type="dxa"/>
                  </w:tcMar>
                  <w:vAlign w:val="center"/>
                </w:tcPr>
                <w:p w14:paraId="1046F749">
                  <w:pPr>
                    <w:spacing w:line="350" w:lineRule="exact"/>
                    <w:jc w:val="center"/>
                    <w:rPr>
                      <w:rFonts w:ascii="Times New Roman" w:hAnsi="Times New Roman" w:eastAsia="宋体" w:cs="Times New Roman"/>
                      <w:color w:val="auto"/>
                      <w:spacing w:val="0"/>
                      <w:sz w:val="21"/>
                      <w:szCs w:val="21"/>
                    </w:rPr>
                  </w:pPr>
                </w:p>
              </w:tc>
              <w:tc>
                <w:tcPr>
                  <w:tcW w:w="281" w:type="pct"/>
                  <w:vMerge w:val="continue"/>
                  <w:noWrap w:val="0"/>
                  <w:tcMar>
                    <w:left w:w="28" w:type="dxa"/>
                    <w:right w:w="28" w:type="dxa"/>
                  </w:tcMar>
                  <w:vAlign w:val="center"/>
                </w:tcPr>
                <w:p w14:paraId="21F61821">
                  <w:pPr>
                    <w:spacing w:line="350" w:lineRule="exact"/>
                    <w:jc w:val="center"/>
                    <w:rPr>
                      <w:rFonts w:ascii="Times New Roman" w:hAnsi="Times New Roman" w:eastAsia="宋体" w:cs="Times New Roman"/>
                      <w:color w:val="auto"/>
                      <w:spacing w:val="0"/>
                      <w:sz w:val="21"/>
                      <w:szCs w:val="21"/>
                    </w:rPr>
                  </w:pPr>
                </w:p>
              </w:tc>
              <w:tc>
                <w:tcPr>
                  <w:tcW w:w="586" w:type="pct"/>
                  <w:noWrap w:val="0"/>
                  <w:tcMar>
                    <w:left w:w="28" w:type="dxa"/>
                    <w:right w:w="28" w:type="dxa"/>
                  </w:tcMar>
                  <w:vAlign w:val="center"/>
                </w:tcPr>
                <w:p w14:paraId="3BC2A604">
                  <w:pPr>
                    <w:widowControl/>
                    <w:spacing w:line="280" w:lineRule="exact"/>
                    <w:jc w:val="center"/>
                    <w:rPr>
                      <w:color w:val="auto"/>
                      <w:kern w:val="2"/>
                      <w:sz w:val="21"/>
                      <w:szCs w:val="21"/>
                      <w:lang w:val="en-US" w:eastAsia="zh-CN" w:bidi="ar-SA"/>
                    </w:rPr>
                  </w:pPr>
                  <w:r>
                    <w:rPr>
                      <w:color w:val="auto"/>
                      <w:sz w:val="21"/>
                      <w:szCs w:val="21"/>
                    </w:rPr>
                    <w:t>TN</w:t>
                  </w:r>
                </w:p>
              </w:tc>
              <w:tc>
                <w:tcPr>
                  <w:tcW w:w="400" w:type="pct"/>
                  <w:tcBorders>
                    <w:right w:val="single" w:color="auto" w:sz="2" w:space="0"/>
                  </w:tcBorders>
                  <w:noWrap w:val="0"/>
                  <w:vAlign w:val="center"/>
                </w:tcPr>
                <w:p w14:paraId="37A3DE66">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62" w:type="pct"/>
                  <w:tcBorders>
                    <w:left w:val="single" w:color="auto" w:sz="2" w:space="0"/>
                  </w:tcBorders>
                  <w:noWrap w:val="0"/>
                  <w:vAlign w:val="center"/>
                </w:tcPr>
                <w:p w14:paraId="7C783BFD">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45" w:type="pct"/>
                  <w:tcBorders>
                    <w:right w:val="single" w:color="auto" w:sz="2" w:space="0"/>
                  </w:tcBorders>
                  <w:noWrap w:val="0"/>
                  <w:vAlign w:val="center"/>
                </w:tcPr>
                <w:p w14:paraId="2F06BF57">
                  <w:pPr>
                    <w:spacing w:line="35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096</w:t>
                  </w:r>
                </w:p>
              </w:tc>
              <w:tc>
                <w:tcPr>
                  <w:tcW w:w="345" w:type="pct"/>
                  <w:tcBorders>
                    <w:left w:val="single" w:color="auto" w:sz="2" w:space="0"/>
                    <w:right w:val="single" w:color="auto" w:sz="2" w:space="0"/>
                  </w:tcBorders>
                  <w:noWrap w:val="0"/>
                  <w:vAlign w:val="center"/>
                </w:tcPr>
                <w:p w14:paraId="1AFAB029">
                  <w:pPr>
                    <w:spacing w:line="35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c>
                <w:tcPr>
                  <w:tcW w:w="353" w:type="pct"/>
                  <w:tcBorders>
                    <w:left w:val="single" w:color="auto" w:sz="2" w:space="0"/>
                  </w:tcBorders>
                  <w:noWrap w:val="0"/>
                  <w:vAlign w:val="center"/>
                </w:tcPr>
                <w:p w14:paraId="69AE4DFE">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096</w:t>
                  </w:r>
                </w:p>
              </w:tc>
              <w:tc>
                <w:tcPr>
                  <w:tcW w:w="581" w:type="pct"/>
                  <w:noWrap w:val="0"/>
                  <w:vAlign w:val="center"/>
                </w:tcPr>
                <w:p w14:paraId="5B78C7B3">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402" w:type="pct"/>
                  <w:noWrap w:val="0"/>
                  <w:vAlign w:val="center"/>
                </w:tcPr>
                <w:p w14:paraId="1CDFD2ED">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096</w:t>
                  </w:r>
                </w:p>
              </w:tc>
              <w:tc>
                <w:tcPr>
                  <w:tcW w:w="407" w:type="pct"/>
                  <w:noWrap w:val="0"/>
                  <w:vAlign w:val="center"/>
                </w:tcPr>
                <w:p w14:paraId="0E42E4ED">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096</w:t>
                  </w:r>
                </w:p>
              </w:tc>
              <w:tc>
                <w:tcPr>
                  <w:tcW w:w="344" w:type="pct"/>
                  <w:gridSpan w:val="2"/>
                  <w:tcBorders>
                    <w:right w:val="single" w:color="auto" w:sz="2" w:space="0"/>
                  </w:tcBorders>
                  <w:noWrap w:val="0"/>
                  <w:tcMar>
                    <w:left w:w="28" w:type="dxa"/>
                    <w:right w:w="28" w:type="dxa"/>
                  </w:tcMar>
                  <w:vAlign w:val="center"/>
                </w:tcPr>
                <w:p w14:paraId="7C0F3634">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096</w:t>
                  </w:r>
                </w:p>
              </w:tc>
              <w:tc>
                <w:tcPr>
                  <w:tcW w:w="326" w:type="pct"/>
                  <w:tcBorders>
                    <w:left w:val="single" w:color="auto" w:sz="2" w:space="0"/>
                  </w:tcBorders>
                  <w:noWrap w:val="0"/>
                  <w:vAlign w:val="center"/>
                </w:tcPr>
                <w:p w14:paraId="6ABD10E4">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14:paraId="632070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3" w:type="pct"/>
                  <w:vMerge w:val="continue"/>
                  <w:noWrap w:val="0"/>
                  <w:tcMar>
                    <w:left w:w="28" w:type="dxa"/>
                    <w:right w:w="28" w:type="dxa"/>
                  </w:tcMar>
                  <w:vAlign w:val="center"/>
                </w:tcPr>
                <w:p w14:paraId="58E08DAB">
                  <w:pPr>
                    <w:spacing w:line="350" w:lineRule="exact"/>
                    <w:jc w:val="center"/>
                    <w:rPr>
                      <w:rFonts w:ascii="Times New Roman" w:hAnsi="Times New Roman" w:eastAsia="宋体" w:cs="Times New Roman"/>
                      <w:color w:val="auto"/>
                      <w:spacing w:val="0"/>
                      <w:sz w:val="21"/>
                      <w:szCs w:val="21"/>
                    </w:rPr>
                  </w:pPr>
                </w:p>
              </w:tc>
              <w:tc>
                <w:tcPr>
                  <w:tcW w:w="281" w:type="pct"/>
                  <w:vMerge w:val="continue"/>
                  <w:noWrap w:val="0"/>
                  <w:tcMar>
                    <w:left w:w="28" w:type="dxa"/>
                    <w:right w:w="28" w:type="dxa"/>
                  </w:tcMar>
                  <w:vAlign w:val="center"/>
                </w:tcPr>
                <w:p w14:paraId="08A65609">
                  <w:pPr>
                    <w:spacing w:line="350" w:lineRule="exact"/>
                    <w:jc w:val="center"/>
                    <w:rPr>
                      <w:rFonts w:ascii="Times New Roman" w:hAnsi="Times New Roman" w:eastAsia="宋体" w:cs="Times New Roman"/>
                      <w:color w:val="auto"/>
                      <w:spacing w:val="0"/>
                      <w:sz w:val="21"/>
                      <w:szCs w:val="21"/>
                    </w:rPr>
                  </w:pPr>
                </w:p>
              </w:tc>
              <w:tc>
                <w:tcPr>
                  <w:tcW w:w="586" w:type="pct"/>
                  <w:noWrap w:val="0"/>
                  <w:tcMar>
                    <w:left w:w="28" w:type="dxa"/>
                    <w:right w:w="28" w:type="dxa"/>
                  </w:tcMar>
                  <w:vAlign w:val="center"/>
                </w:tcPr>
                <w:p w14:paraId="7666AC28">
                  <w:pPr>
                    <w:widowControl/>
                    <w:spacing w:line="280" w:lineRule="exact"/>
                    <w:jc w:val="center"/>
                    <w:rPr>
                      <w:rFonts w:hint="eastAsia"/>
                      <w:color w:val="auto"/>
                      <w:kern w:val="2"/>
                      <w:sz w:val="21"/>
                      <w:szCs w:val="21"/>
                      <w:lang w:val="en-US" w:eastAsia="zh-CN" w:bidi="ar-SA"/>
                    </w:rPr>
                  </w:pPr>
                  <w:r>
                    <w:rPr>
                      <w:color w:val="auto"/>
                      <w:sz w:val="21"/>
                      <w:szCs w:val="21"/>
                    </w:rPr>
                    <w:t>TP</w:t>
                  </w:r>
                </w:p>
              </w:tc>
              <w:tc>
                <w:tcPr>
                  <w:tcW w:w="400" w:type="pct"/>
                  <w:tcBorders>
                    <w:right w:val="single" w:color="auto" w:sz="2" w:space="0"/>
                  </w:tcBorders>
                  <w:noWrap w:val="0"/>
                  <w:vAlign w:val="center"/>
                </w:tcPr>
                <w:p w14:paraId="77573B4B">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62" w:type="pct"/>
                  <w:tcBorders>
                    <w:left w:val="single" w:color="auto" w:sz="2" w:space="0"/>
                  </w:tcBorders>
                  <w:noWrap w:val="0"/>
                  <w:vAlign w:val="center"/>
                </w:tcPr>
                <w:p w14:paraId="4691FB91">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345" w:type="pct"/>
                  <w:tcBorders>
                    <w:right w:val="single" w:color="auto" w:sz="2" w:space="0"/>
                  </w:tcBorders>
                  <w:noWrap w:val="0"/>
                  <w:vAlign w:val="center"/>
                </w:tcPr>
                <w:p w14:paraId="19C4E687">
                  <w:pPr>
                    <w:spacing w:line="35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0.00</w:t>
                  </w:r>
                  <w:r>
                    <w:rPr>
                      <w:rFonts w:hint="eastAsia" w:cs="Times New Roman"/>
                      <w:color w:val="auto"/>
                      <w:sz w:val="21"/>
                      <w:szCs w:val="21"/>
                      <w:lang w:val="en-US" w:eastAsia="zh-CN"/>
                    </w:rPr>
                    <w:t>072</w:t>
                  </w:r>
                </w:p>
              </w:tc>
              <w:tc>
                <w:tcPr>
                  <w:tcW w:w="345" w:type="pct"/>
                  <w:tcBorders>
                    <w:left w:val="single" w:color="auto" w:sz="2" w:space="0"/>
                    <w:right w:val="single" w:color="auto" w:sz="2" w:space="0"/>
                  </w:tcBorders>
                  <w:noWrap w:val="0"/>
                  <w:vAlign w:val="center"/>
                </w:tcPr>
                <w:p w14:paraId="64AB3312">
                  <w:pPr>
                    <w:spacing w:line="35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c>
                <w:tcPr>
                  <w:tcW w:w="353" w:type="pct"/>
                  <w:tcBorders>
                    <w:left w:val="single" w:color="auto" w:sz="2" w:space="0"/>
                  </w:tcBorders>
                  <w:noWrap w:val="0"/>
                  <w:vAlign w:val="center"/>
                </w:tcPr>
                <w:p w14:paraId="0EB1B0A9">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0.00</w:t>
                  </w:r>
                  <w:r>
                    <w:rPr>
                      <w:rFonts w:hint="eastAsia" w:cs="Times New Roman"/>
                      <w:color w:val="auto"/>
                      <w:sz w:val="21"/>
                      <w:szCs w:val="21"/>
                      <w:lang w:val="en-US" w:eastAsia="zh-CN"/>
                    </w:rPr>
                    <w:t>072</w:t>
                  </w:r>
                </w:p>
              </w:tc>
              <w:tc>
                <w:tcPr>
                  <w:tcW w:w="581" w:type="pct"/>
                  <w:noWrap w:val="0"/>
                  <w:vAlign w:val="center"/>
                </w:tcPr>
                <w:p w14:paraId="085709E9">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402" w:type="pct"/>
                  <w:noWrap w:val="0"/>
                  <w:vAlign w:val="center"/>
                </w:tcPr>
                <w:p w14:paraId="4409ABCF">
                  <w:pPr>
                    <w:spacing w:line="35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rPr>
                    <w:t>0.00</w:t>
                  </w:r>
                  <w:r>
                    <w:rPr>
                      <w:rFonts w:hint="eastAsia" w:cs="Times New Roman"/>
                      <w:color w:val="auto"/>
                      <w:sz w:val="21"/>
                      <w:szCs w:val="21"/>
                      <w:lang w:val="en-US" w:eastAsia="zh-CN"/>
                    </w:rPr>
                    <w:t>072</w:t>
                  </w:r>
                </w:p>
              </w:tc>
              <w:tc>
                <w:tcPr>
                  <w:tcW w:w="407" w:type="pct"/>
                  <w:noWrap w:val="0"/>
                  <w:vAlign w:val="center"/>
                </w:tcPr>
                <w:p w14:paraId="71B57DD0">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0.00</w:t>
                  </w:r>
                  <w:r>
                    <w:rPr>
                      <w:rFonts w:hint="eastAsia" w:cs="Times New Roman"/>
                      <w:color w:val="auto"/>
                      <w:sz w:val="21"/>
                      <w:szCs w:val="21"/>
                      <w:lang w:val="en-US" w:eastAsia="zh-CN"/>
                    </w:rPr>
                    <w:t>072</w:t>
                  </w:r>
                </w:p>
              </w:tc>
              <w:tc>
                <w:tcPr>
                  <w:tcW w:w="344" w:type="pct"/>
                  <w:gridSpan w:val="2"/>
                  <w:tcBorders>
                    <w:right w:val="single" w:color="auto" w:sz="2" w:space="0"/>
                  </w:tcBorders>
                  <w:noWrap w:val="0"/>
                  <w:tcMar>
                    <w:left w:w="28" w:type="dxa"/>
                    <w:right w:w="28" w:type="dxa"/>
                  </w:tcMar>
                  <w:vAlign w:val="center"/>
                </w:tcPr>
                <w:p w14:paraId="418F40DA">
                  <w:pPr>
                    <w:spacing w:line="3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0.00</w:t>
                  </w:r>
                  <w:r>
                    <w:rPr>
                      <w:rFonts w:hint="eastAsia" w:cs="Times New Roman"/>
                      <w:color w:val="auto"/>
                      <w:sz w:val="21"/>
                      <w:szCs w:val="21"/>
                      <w:lang w:val="en-US" w:eastAsia="zh-CN"/>
                    </w:rPr>
                    <w:t>072</w:t>
                  </w:r>
                </w:p>
              </w:tc>
              <w:tc>
                <w:tcPr>
                  <w:tcW w:w="326" w:type="pct"/>
                  <w:tcBorders>
                    <w:left w:val="single" w:color="auto" w:sz="2" w:space="0"/>
                  </w:tcBorders>
                  <w:noWrap w:val="0"/>
                  <w:vAlign w:val="center"/>
                </w:tcPr>
                <w:p w14:paraId="490204A2">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14:paraId="63DE1B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263" w:type="pct"/>
                  <w:vMerge w:val="restart"/>
                  <w:tcBorders>
                    <w:right w:val="single" w:color="auto" w:sz="2" w:space="0"/>
                  </w:tcBorders>
                  <w:noWrap w:val="0"/>
                  <w:tcMar>
                    <w:left w:w="28" w:type="dxa"/>
                    <w:right w:w="28" w:type="dxa"/>
                  </w:tcMar>
                  <w:vAlign w:val="center"/>
                </w:tcPr>
                <w:p w14:paraId="29E4C5FF">
                  <w:pPr>
                    <w:spacing w:line="350" w:lineRule="exact"/>
                    <w:jc w:val="center"/>
                    <w:rPr>
                      <w:rFonts w:hint="eastAsia"/>
                      <w:color w:val="auto"/>
                      <w:spacing w:val="0"/>
                      <w:sz w:val="21"/>
                      <w:szCs w:val="21"/>
                    </w:rPr>
                  </w:pPr>
                  <w:r>
                    <w:rPr>
                      <w:rFonts w:hint="eastAsia"/>
                      <w:color w:val="auto"/>
                      <w:spacing w:val="0"/>
                      <w:sz w:val="21"/>
                      <w:szCs w:val="21"/>
                    </w:rPr>
                    <w:t>大气污</w:t>
                  </w:r>
                </w:p>
                <w:p w14:paraId="654965AB">
                  <w:pPr>
                    <w:spacing w:line="350" w:lineRule="exact"/>
                    <w:jc w:val="center"/>
                    <w:rPr>
                      <w:color w:val="auto"/>
                      <w:spacing w:val="0"/>
                      <w:sz w:val="21"/>
                      <w:szCs w:val="21"/>
                    </w:rPr>
                  </w:pPr>
                  <w:r>
                    <w:rPr>
                      <w:rFonts w:hint="eastAsia"/>
                      <w:color w:val="auto"/>
                      <w:spacing w:val="0"/>
                      <w:sz w:val="21"/>
                      <w:szCs w:val="21"/>
                    </w:rPr>
                    <w:t>染物</w:t>
                  </w:r>
                </w:p>
              </w:tc>
              <w:tc>
                <w:tcPr>
                  <w:tcW w:w="281" w:type="pct"/>
                  <w:vMerge w:val="restart"/>
                  <w:tcBorders>
                    <w:left w:val="single" w:color="auto" w:sz="2" w:space="0"/>
                  </w:tcBorders>
                  <w:noWrap w:val="0"/>
                  <w:vAlign w:val="center"/>
                </w:tcPr>
                <w:p w14:paraId="3DB4DE06">
                  <w:pPr>
                    <w:spacing w:line="350" w:lineRule="exact"/>
                    <w:jc w:val="center"/>
                    <w:rPr>
                      <w:rFonts w:hint="eastAsia"/>
                      <w:color w:val="auto"/>
                      <w:spacing w:val="0"/>
                      <w:sz w:val="21"/>
                      <w:szCs w:val="21"/>
                    </w:rPr>
                  </w:pPr>
                  <w:r>
                    <w:rPr>
                      <w:rFonts w:hint="eastAsia"/>
                      <w:color w:val="auto"/>
                      <w:spacing w:val="0"/>
                      <w:sz w:val="21"/>
                      <w:szCs w:val="21"/>
                    </w:rPr>
                    <w:t>无组织</w:t>
                  </w:r>
                </w:p>
              </w:tc>
              <w:tc>
                <w:tcPr>
                  <w:tcW w:w="586" w:type="pct"/>
                  <w:noWrap w:val="0"/>
                  <w:tcMar>
                    <w:left w:w="28" w:type="dxa"/>
                    <w:right w:w="28" w:type="dxa"/>
                  </w:tcMar>
                  <w:vAlign w:val="center"/>
                </w:tcPr>
                <w:p w14:paraId="594A28DF">
                  <w:pPr>
                    <w:keepNext w:val="0"/>
                    <w:keepLines w:val="0"/>
                    <w:pageBreakBefore w:val="0"/>
                    <w:widowControl/>
                    <w:kinsoku/>
                    <w:wordWrap/>
                    <w:overflowPunct/>
                    <w:topLinePunct w:val="0"/>
                    <w:autoSpaceDE/>
                    <w:autoSpaceDN/>
                    <w:bidi w:val="0"/>
                    <w:adjustRightInd/>
                    <w:snapToGrid/>
                    <w:spacing w:line="310" w:lineRule="exact"/>
                    <w:jc w:val="center"/>
                    <w:rPr>
                      <w:rFonts w:hint="eastAsia"/>
                      <w:color w:val="FF0000"/>
                      <w:spacing w:val="0"/>
                      <w:kern w:val="0"/>
                      <w:sz w:val="21"/>
                      <w:szCs w:val="21"/>
                      <w:lang w:val="en-US" w:eastAsia="zh-CN" w:bidi="ar-SA"/>
                    </w:rPr>
                  </w:pPr>
                  <w:r>
                    <w:rPr>
                      <w:rFonts w:hint="eastAsia"/>
                      <w:color w:val="000000" w:themeColor="text1"/>
                      <w:spacing w:val="0"/>
                      <w:kern w:val="0"/>
                      <w:sz w:val="21"/>
                      <w:szCs w:val="21"/>
                      <w:lang w:val="en-US" w:eastAsia="zh-CN"/>
                      <w14:textFill>
                        <w14:solidFill>
                          <w14:schemeClr w14:val="tx1"/>
                        </w14:solidFill>
                      </w14:textFill>
                    </w:rPr>
                    <w:t>非甲烷总烃</w:t>
                  </w:r>
                </w:p>
              </w:tc>
              <w:tc>
                <w:tcPr>
                  <w:tcW w:w="400" w:type="pct"/>
                  <w:tcBorders>
                    <w:right w:val="single" w:color="auto" w:sz="2" w:space="0"/>
                  </w:tcBorders>
                  <w:noWrap w:val="0"/>
                  <w:vAlign w:val="center"/>
                </w:tcPr>
                <w:p w14:paraId="717C689C">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kern w:val="2"/>
                      <w:sz w:val="21"/>
                      <w:szCs w:val="21"/>
                      <w:lang w:val="en-US" w:eastAsia="zh-CN" w:bidi="ar-SA"/>
                    </w:rPr>
                  </w:pPr>
                  <w:r>
                    <w:rPr>
                      <w:rFonts w:hint="eastAsia"/>
                      <w:color w:val="000000" w:themeColor="text1"/>
                      <w:spacing w:val="0"/>
                      <w:kern w:val="2"/>
                      <w:sz w:val="21"/>
                      <w:szCs w:val="21"/>
                      <w:lang w:val="en-US" w:eastAsia="zh-CN" w:bidi="ar-SA"/>
                      <w14:textFill>
                        <w14:solidFill>
                          <w14:schemeClr w14:val="tx1"/>
                        </w14:solidFill>
                      </w14:textFill>
                    </w:rPr>
                    <w:t>/</w:t>
                  </w:r>
                </w:p>
              </w:tc>
              <w:tc>
                <w:tcPr>
                  <w:tcW w:w="362" w:type="pct"/>
                  <w:tcBorders>
                    <w:left w:val="single" w:color="auto" w:sz="2" w:space="0"/>
                  </w:tcBorders>
                  <w:noWrap w:val="0"/>
                  <w:vAlign w:val="center"/>
                </w:tcPr>
                <w:p w14:paraId="29EECFE8">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kern w:val="2"/>
                      <w:sz w:val="21"/>
                      <w:szCs w:val="21"/>
                      <w:lang w:val="en-US" w:eastAsia="zh-CN" w:bidi="ar-SA"/>
                    </w:rPr>
                  </w:pPr>
                  <w:r>
                    <w:rPr>
                      <w:rFonts w:hint="eastAsia"/>
                      <w:color w:val="000000" w:themeColor="text1"/>
                      <w:spacing w:val="0"/>
                      <w:kern w:val="2"/>
                      <w:sz w:val="21"/>
                      <w:szCs w:val="21"/>
                      <w:lang w:val="en-US" w:eastAsia="zh-CN" w:bidi="ar-SA"/>
                      <w14:textFill>
                        <w14:solidFill>
                          <w14:schemeClr w14:val="tx1"/>
                        </w14:solidFill>
                      </w14:textFill>
                    </w:rPr>
                    <w:t>/</w:t>
                  </w:r>
                </w:p>
              </w:tc>
              <w:tc>
                <w:tcPr>
                  <w:tcW w:w="345" w:type="pct"/>
                  <w:tcBorders>
                    <w:right w:val="single" w:color="auto" w:sz="2" w:space="0"/>
                  </w:tcBorders>
                  <w:noWrap w:val="0"/>
                  <w:vAlign w:val="center"/>
                </w:tcPr>
                <w:p w14:paraId="20C8DD49">
                  <w:pPr>
                    <w:keepNext w:val="0"/>
                    <w:keepLines w:val="0"/>
                    <w:pageBreakBefore w:val="0"/>
                    <w:kinsoku/>
                    <w:wordWrap/>
                    <w:overflowPunct/>
                    <w:topLinePunct w:val="0"/>
                    <w:autoSpaceDE/>
                    <w:autoSpaceDN/>
                    <w:bidi w:val="0"/>
                    <w:adjustRightInd/>
                    <w:snapToGrid/>
                    <w:spacing w:line="310" w:lineRule="exact"/>
                    <w:jc w:val="center"/>
                    <w:rPr>
                      <w:rFonts w:hint="default" w:eastAsia="宋体"/>
                      <w:color w:val="FF0000"/>
                      <w:spacing w:val="0"/>
                      <w:kern w:val="2"/>
                      <w:sz w:val="21"/>
                      <w:szCs w:val="21"/>
                      <w:lang w:val="en-US" w:eastAsia="zh-CN" w:bidi="ar-SA"/>
                    </w:rPr>
                  </w:pPr>
                  <w:r>
                    <w:rPr>
                      <w:rFonts w:hint="eastAsia"/>
                      <w:color w:val="000000" w:themeColor="text1"/>
                      <w:spacing w:val="0"/>
                      <w:sz w:val="21"/>
                      <w:szCs w:val="21"/>
                      <w:lang w:val="en-US" w:eastAsia="zh-CN"/>
                      <w14:textFill>
                        <w14:solidFill>
                          <w14:schemeClr w14:val="tx1"/>
                        </w14:solidFill>
                      </w14:textFill>
                    </w:rPr>
                    <w:t>0.039</w:t>
                  </w:r>
                </w:p>
              </w:tc>
              <w:tc>
                <w:tcPr>
                  <w:tcW w:w="345" w:type="pct"/>
                  <w:tcBorders>
                    <w:left w:val="single" w:color="auto" w:sz="2" w:space="0"/>
                    <w:right w:val="single" w:color="auto" w:sz="2" w:space="0"/>
                  </w:tcBorders>
                  <w:noWrap w:val="0"/>
                  <w:vAlign w:val="center"/>
                </w:tcPr>
                <w:p w14:paraId="402478CB">
                  <w:pPr>
                    <w:keepNext w:val="0"/>
                    <w:keepLines w:val="0"/>
                    <w:pageBreakBefore w:val="0"/>
                    <w:kinsoku/>
                    <w:wordWrap/>
                    <w:overflowPunct/>
                    <w:topLinePunct w:val="0"/>
                    <w:autoSpaceDE/>
                    <w:autoSpaceDN/>
                    <w:bidi w:val="0"/>
                    <w:adjustRightInd/>
                    <w:snapToGrid/>
                    <w:spacing w:line="310" w:lineRule="exact"/>
                    <w:jc w:val="center"/>
                    <w:rPr>
                      <w:rFonts w:hint="default" w:eastAsia="宋体"/>
                      <w:color w:val="FF0000"/>
                      <w:spacing w:val="0"/>
                      <w:kern w:val="2"/>
                      <w:sz w:val="21"/>
                      <w:szCs w:val="21"/>
                      <w:lang w:val="en-US" w:eastAsia="zh-CN" w:bidi="ar-SA"/>
                    </w:rPr>
                  </w:pPr>
                  <w:r>
                    <w:rPr>
                      <w:rFonts w:hint="eastAsia"/>
                      <w:color w:val="000000" w:themeColor="text1"/>
                      <w:spacing w:val="0"/>
                      <w:sz w:val="21"/>
                      <w:szCs w:val="21"/>
                      <w:lang w:val="en-US" w:eastAsia="zh-CN"/>
                      <w14:textFill>
                        <w14:solidFill>
                          <w14:schemeClr w14:val="tx1"/>
                        </w14:solidFill>
                      </w14:textFill>
                    </w:rPr>
                    <w:t>0.031</w:t>
                  </w:r>
                </w:p>
              </w:tc>
              <w:tc>
                <w:tcPr>
                  <w:tcW w:w="353" w:type="pct"/>
                  <w:tcBorders>
                    <w:left w:val="single" w:color="auto" w:sz="2" w:space="0"/>
                  </w:tcBorders>
                  <w:noWrap w:val="0"/>
                  <w:vAlign w:val="center"/>
                </w:tcPr>
                <w:p w14:paraId="3E03C423">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0.008</w:t>
                  </w:r>
                </w:p>
              </w:tc>
              <w:tc>
                <w:tcPr>
                  <w:tcW w:w="581" w:type="pct"/>
                  <w:noWrap w:val="0"/>
                  <w:vAlign w:val="center"/>
                </w:tcPr>
                <w:p w14:paraId="6DDFBF53">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w:t>
                  </w:r>
                </w:p>
              </w:tc>
              <w:tc>
                <w:tcPr>
                  <w:tcW w:w="402" w:type="pct"/>
                  <w:noWrap w:val="0"/>
                  <w:vAlign w:val="center"/>
                </w:tcPr>
                <w:p w14:paraId="3D45A56A">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0.008</w:t>
                  </w:r>
                </w:p>
              </w:tc>
              <w:tc>
                <w:tcPr>
                  <w:tcW w:w="407" w:type="pct"/>
                  <w:noWrap w:val="0"/>
                  <w:vAlign w:val="center"/>
                </w:tcPr>
                <w:p w14:paraId="693C023B">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+0.008</w:t>
                  </w:r>
                </w:p>
              </w:tc>
              <w:tc>
                <w:tcPr>
                  <w:tcW w:w="344" w:type="pct"/>
                  <w:gridSpan w:val="2"/>
                  <w:tcBorders>
                    <w:right w:val="single" w:color="auto" w:sz="2" w:space="0"/>
                  </w:tcBorders>
                  <w:noWrap w:val="0"/>
                  <w:tcMar>
                    <w:left w:w="28" w:type="dxa"/>
                    <w:right w:w="28" w:type="dxa"/>
                  </w:tcMar>
                  <w:vAlign w:val="center"/>
                </w:tcPr>
                <w:p w14:paraId="3FC5A986">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0.008</w:t>
                  </w:r>
                </w:p>
              </w:tc>
              <w:tc>
                <w:tcPr>
                  <w:tcW w:w="326" w:type="pct"/>
                  <w:tcBorders>
                    <w:left w:val="single" w:color="auto" w:sz="2" w:space="0"/>
                  </w:tcBorders>
                  <w:noWrap w:val="0"/>
                  <w:vAlign w:val="center"/>
                </w:tcPr>
                <w:p w14:paraId="4B10858D">
                  <w:pPr>
                    <w:keepNext w:val="0"/>
                    <w:keepLines w:val="0"/>
                    <w:pageBreakBefore w:val="0"/>
                    <w:kinsoku/>
                    <w:wordWrap/>
                    <w:overflowPunct/>
                    <w:topLinePunct w:val="0"/>
                    <w:autoSpaceDE/>
                    <w:autoSpaceDN/>
                    <w:bidi w:val="0"/>
                    <w:adjustRightInd/>
                    <w:snapToGrid/>
                    <w:spacing w:line="310" w:lineRule="exact"/>
                    <w:jc w:val="center"/>
                    <w:rPr>
                      <w:rFonts w:hint="default"/>
                      <w:color w:val="auto"/>
                      <w:spacing w:val="0"/>
                      <w:kern w:val="2"/>
                      <w:sz w:val="21"/>
                      <w:szCs w:val="21"/>
                      <w:lang w:val="en-US" w:eastAsia="zh-CN" w:bidi="ar-SA"/>
                    </w:rPr>
                  </w:pPr>
                  <w:r>
                    <w:rPr>
                      <w:rFonts w:hint="eastAsia"/>
                      <w:color w:val="auto"/>
                      <w:spacing w:val="0"/>
                      <w:kern w:val="2"/>
                      <w:sz w:val="21"/>
                      <w:szCs w:val="21"/>
                      <w:lang w:val="en-US" w:eastAsia="zh-CN" w:bidi="ar-SA"/>
                    </w:rPr>
                    <w:t>/</w:t>
                  </w:r>
                </w:p>
              </w:tc>
            </w:tr>
            <w:tr w14:paraId="27049E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263" w:type="pct"/>
                  <w:vMerge w:val="continue"/>
                  <w:tcBorders>
                    <w:right w:val="single" w:color="auto" w:sz="2" w:space="0"/>
                  </w:tcBorders>
                  <w:noWrap w:val="0"/>
                  <w:tcMar>
                    <w:left w:w="28" w:type="dxa"/>
                    <w:right w:w="28" w:type="dxa"/>
                  </w:tcMar>
                  <w:vAlign w:val="center"/>
                </w:tcPr>
                <w:p w14:paraId="0EF30385">
                  <w:pPr>
                    <w:spacing w:line="350" w:lineRule="exact"/>
                    <w:jc w:val="center"/>
                    <w:rPr>
                      <w:rFonts w:hint="eastAsia"/>
                      <w:color w:val="auto"/>
                      <w:spacing w:val="0"/>
                      <w:sz w:val="21"/>
                      <w:szCs w:val="21"/>
                    </w:rPr>
                  </w:pPr>
                </w:p>
              </w:tc>
              <w:tc>
                <w:tcPr>
                  <w:tcW w:w="281" w:type="pct"/>
                  <w:vMerge w:val="continue"/>
                  <w:tcBorders>
                    <w:left w:val="single" w:color="auto" w:sz="2" w:space="0"/>
                  </w:tcBorders>
                  <w:noWrap w:val="0"/>
                  <w:vAlign w:val="center"/>
                </w:tcPr>
                <w:p w14:paraId="5D51F110">
                  <w:pPr>
                    <w:spacing w:line="350" w:lineRule="exact"/>
                    <w:jc w:val="center"/>
                    <w:rPr>
                      <w:rFonts w:hint="eastAsia"/>
                      <w:color w:val="auto"/>
                      <w:spacing w:val="0"/>
                      <w:sz w:val="21"/>
                      <w:szCs w:val="21"/>
                    </w:rPr>
                  </w:pPr>
                </w:p>
              </w:tc>
              <w:tc>
                <w:tcPr>
                  <w:tcW w:w="586" w:type="pct"/>
                  <w:noWrap w:val="0"/>
                  <w:tcMar>
                    <w:left w:w="28" w:type="dxa"/>
                    <w:right w:w="28" w:type="dxa"/>
                  </w:tcMar>
                  <w:vAlign w:val="center"/>
                </w:tcPr>
                <w:p w14:paraId="11A910F2">
                  <w:pPr>
                    <w:keepNext w:val="0"/>
                    <w:keepLines w:val="0"/>
                    <w:pageBreakBefore w:val="0"/>
                    <w:widowControl/>
                    <w:kinsoku/>
                    <w:wordWrap/>
                    <w:overflowPunct/>
                    <w:topLinePunct w:val="0"/>
                    <w:autoSpaceDE/>
                    <w:autoSpaceDN/>
                    <w:bidi w:val="0"/>
                    <w:adjustRightInd/>
                    <w:snapToGrid/>
                    <w:spacing w:line="310" w:lineRule="exact"/>
                    <w:jc w:val="center"/>
                    <w:rPr>
                      <w:rFonts w:hint="eastAsia"/>
                      <w:color w:val="FF0000"/>
                      <w:spacing w:val="0"/>
                      <w:kern w:val="0"/>
                      <w:sz w:val="21"/>
                      <w:szCs w:val="21"/>
                      <w:lang w:val="en-US" w:eastAsia="zh-CN"/>
                    </w:rPr>
                  </w:pPr>
                  <w:r>
                    <w:rPr>
                      <w:rFonts w:hint="eastAsia"/>
                      <w:color w:val="000000" w:themeColor="text1"/>
                      <w:spacing w:val="0"/>
                      <w:kern w:val="0"/>
                      <w:sz w:val="21"/>
                      <w:szCs w:val="21"/>
                      <w:lang w:val="en-US" w:eastAsia="zh-CN"/>
                      <w14:textFill>
                        <w14:solidFill>
                          <w14:schemeClr w14:val="tx1"/>
                        </w14:solidFill>
                      </w14:textFill>
                    </w:rPr>
                    <w:t>氨</w:t>
                  </w:r>
                </w:p>
              </w:tc>
              <w:tc>
                <w:tcPr>
                  <w:tcW w:w="400" w:type="pct"/>
                  <w:tcBorders>
                    <w:right w:val="single" w:color="auto" w:sz="2" w:space="0"/>
                  </w:tcBorders>
                  <w:noWrap w:val="0"/>
                  <w:vAlign w:val="center"/>
                </w:tcPr>
                <w:p w14:paraId="232FB3A3">
                  <w:pPr>
                    <w:keepNext w:val="0"/>
                    <w:keepLines w:val="0"/>
                    <w:pageBreakBefore w:val="0"/>
                    <w:kinsoku/>
                    <w:wordWrap/>
                    <w:overflowPunct/>
                    <w:topLinePunct w:val="0"/>
                    <w:autoSpaceDE/>
                    <w:autoSpaceDN/>
                    <w:bidi w:val="0"/>
                    <w:adjustRightInd/>
                    <w:snapToGrid/>
                    <w:spacing w:line="310" w:lineRule="exact"/>
                    <w:jc w:val="center"/>
                    <w:rPr>
                      <w:rFonts w:hint="eastAsia"/>
                      <w:color w:val="FF0000"/>
                      <w:spacing w:val="0"/>
                      <w:kern w:val="2"/>
                      <w:sz w:val="21"/>
                      <w:szCs w:val="21"/>
                      <w:lang w:val="en-US" w:eastAsia="zh-CN" w:bidi="ar-SA"/>
                    </w:rPr>
                  </w:pPr>
                  <w:r>
                    <w:rPr>
                      <w:rFonts w:hint="eastAsia"/>
                      <w:color w:val="000000" w:themeColor="text1"/>
                      <w:spacing w:val="0"/>
                      <w:kern w:val="2"/>
                      <w:sz w:val="21"/>
                      <w:szCs w:val="21"/>
                      <w:lang w:val="en-US" w:eastAsia="zh-CN" w:bidi="ar-SA"/>
                      <w14:textFill>
                        <w14:solidFill>
                          <w14:schemeClr w14:val="tx1"/>
                        </w14:solidFill>
                      </w14:textFill>
                    </w:rPr>
                    <w:t>/</w:t>
                  </w:r>
                </w:p>
              </w:tc>
              <w:tc>
                <w:tcPr>
                  <w:tcW w:w="362" w:type="pct"/>
                  <w:tcBorders>
                    <w:left w:val="single" w:color="auto" w:sz="2" w:space="0"/>
                  </w:tcBorders>
                  <w:noWrap w:val="0"/>
                  <w:vAlign w:val="center"/>
                </w:tcPr>
                <w:p w14:paraId="1013BB53">
                  <w:pPr>
                    <w:keepNext w:val="0"/>
                    <w:keepLines w:val="0"/>
                    <w:pageBreakBefore w:val="0"/>
                    <w:kinsoku/>
                    <w:wordWrap/>
                    <w:overflowPunct/>
                    <w:topLinePunct w:val="0"/>
                    <w:autoSpaceDE/>
                    <w:autoSpaceDN/>
                    <w:bidi w:val="0"/>
                    <w:adjustRightInd/>
                    <w:snapToGrid/>
                    <w:spacing w:line="310" w:lineRule="exact"/>
                    <w:jc w:val="center"/>
                    <w:rPr>
                      <w:rFonts w:hint="eastAsia"/>
                      <w:color w:val="FF0000"/>
                      <w:spacing w:val="0"/>
                      <w:kern w:val="2"/>
                      <w:sz w:val="21"/>
                      <w:szCs w:val="21"/>
                      <w:lang w:val="en-US" w:eastAsia="zh-CN" w:bidi="ar-SA"/>
                    </w:rPr>
                  </w:pPr>
                  <w:r>
                    <w:rPr>
                      <w:rFonts w:hint="eastAsia"/>
                      <w:color w:val="000000" w:themeColor="text1"/>
                      <w:spacing w:val="0"/>
                      <w:kern w:val="2"/>
                      <w:sz w:val="21"/>
                      <w:szCs w:val="21"/>
                      <w:lang w:val="en-US" w:eastAsia="zh-CN" w:bidi="ar-SA"/>
                      <w14:textFill>
                        <w14:solidFill>
                          <w14:schemeClr w14:val="tx1"/>
                        </w14:solidFill>
                      </w14:textFill>
                    </w:rPr>
                    <w:t>/</w:t>
                  </w:r>
                </w:p>
              </w:tc>
              <w:tc>
                <w:tcPr>
                  <w:tcW w:w="345" w:type="pct"/>
                  <w:tcBorders>
                    <w:right w:val="single" w:color="auto" w:sz="2" w:space="0"/>
                  </w:tcBorders>
                  <w:noWrap w:val="0"/>
                  <w:vAlign w:val="center"/>
                </w:tcPr>
                <w:p w14:paraId="5613FAB7">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0.0002</w:t>
                  </w:r>
                </w:p>
              </w:tc>
              <w:tc>
                <w:tcPr>
                  <w:tcW w:w="345" w:type="pct"/>
                  <w:tcBorders>
                    <w:left w:val="single" w:color="auto" w:sz="2" w:space="0"/>
                    <w:right w:val="single" w:color="auto" w:sz="2" w:space="0"/>
                  </w:tcBorders>
                  <w:noWrap w:val="0"/>
                  <w:vAlign w:val="center"/>
                </w:tcPr>
                <w:p w14:paraId="31689C49">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0.0001</w:t>
                  </w:r>
                </w:p>
              </w:tc>
              <w:tc>
                <w:tcPr>
                  <w:tcW w:w="353" w:type="pct"/>
                  <w:tcBorders>
                    <w:left w:val="single" w:color="auto" w:sz="2" w:space="0"/>
                  </w:tcBorders>
                  <w:noWrap w:val="0"/>
                  <w:vAlign w:val="center"/>
                </w:tcPr>
                <w:p w14:paraId="7DA49969">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0.0001</w:t>
                  </w:r>
                </w:p>
              </w:tc>
              <w:tc>
                <w:tcPr>
                  <w:tcW w:w="581" w:type="pct"/>
                  <w:noWrap w:val="0"/>
                  <w:vAlign w:val="center"/>
                </w:tcPr>
                <w:p w14:paraId="6E90AC6E">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w:t>
                  </w:r>
                </w:p>
              </w:tc>
              <w:tc>
                <w:tcPr>
                  <w:tcW w:w="402" w:type="pct"/>
                  <w:noWrap w:val="0"/>
                  <w:vAlign w:val="center"/>
                </w:tcPr>
                <w:p w14:paraId="4D18D765">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0.0001</w:t>
                  </w:r>
                </w:p>
              </w:tc>
              <w:tc>
                <w:tcPr>
                  <w:tcW w:w="407" w:type="pct"/>
                  <w:noWrap w:val="0"/>
                  <w:vAlign w:val="center"/>
                </w:tcPr>
                <w:p w14:paraId="63FFD69A">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+0.0001</w:t>
                  </w:r>
                </w:p>
              </w:tc>
              <w:tc>
                <w:tcPr>
                  <w:tcW w:w="344" w:type="pct"/>
                  <w:gridSpan w:val="2"/>
                  <w:tcBorders>
                    <w:right w:val="single" w:color="auto" w:sz="2" w:space="0"/>
                  </w:tcBorders>
                  <w:noWrap w:val="0"/>
                  <w:tcMar>
                    <w:left w:w="28" w:type="dxa"/>
                    <w:right w:w="28" w:type="dxa"/>
                  </w:tcMar>
                  <w:vAlign w:val="center"/>
                </w:tcPr>
                <w:p w14:paraId="7006D662">
                  <w:pPr>
                    <w:keepNext w:val="0"/>
                    <w:keepLines w:val="0"/>
                    <w:pageBreakBefore w:val="0"/>
                    <w:kinsoku/>
                    <w:wordWrap/>
                    <w:overflowPunct/>
                    <w:topLinePunct w:val="0"/>
                    <w:autoSpaceDE/>
                    <w:autoSpaceDN/>
                    <w:bidi w:val="0"/>
                    <w:adjustRightInd/>
                    <w:snapToGrid/>
                    <w:spacing w:line="310" w:lineRule="exact"/>
                    <w:jc w:val="center"/>
                    <w:rPr>
                      <w:rFonts w:hint="default"/>
                      <w:color w:val="FF0000"/>
                      <w:spacing w:val="0"/>
                      <w:sz w:val="21"/>
                      <w:szCs w:val="21"/>
                      <w:lang w:val="en-US" w:eastAsia="zh-CN"/>
                    </w:rPr>
                  </w:pPr>
                  <w:r>
                    <w:rPr>
                      <w:rFonts w:hint="eastAsia"/>
                      <w:color w:val="000000" w:themeColor="text1"/>
                      <w:spacing w:val="0"/>
                      <w:sz w:val="21"/>
                      <w:szCs w:val="21"/>
                      <w:lang w:val="en-US" w:eastAsia="zh-CN"/>
                      <w14:textFill>
                        <w14:solidFill>
                          <w14:schemeClr w14:val="tx1"/>
                        </w14:solidFill>
                      </w14:textFill>
                    </w:rPr>
                    <w:t>0.0001</w:t>
                  </w:r>
                </w:p>
              </w:tc>
              <w:tc>
                <w:tcPr>
                  <w:tcW w:w="326" w:type="pct"/>
                  <w:tcBorders>
                    <w:left w:val="single" w:color="auto" w:sz="2" w:space="0"/>
                  </w:tcBorders>
                  <w:noWrap w:val="0"/>
                  <w:vAlign w:val="center"/>
                </w:tcPr>
                <w:p w14:paraId="64BBDADF">
                  <w:pPr>
                    <w:keepNext w:val="0"/>
                    <w:keepLines w:val="0"/>
                    <w:pageBreakBefore w:val="0"/>
                    <w:kinsoku/>
                    <w:wordWrap/>
                    <w:overflowPunct/>
                    <w:topLinePunct w:val="0"/>
                    <w:autoSpaceDE/>
                    <w:autoSpaceDN/>
                    <w:bidi w:val="0"/>
                    <w:adjustRightInd/>
                    <w:snapToGrid/>
                    <w:spacing w:line="310" w:lineRule="exact"/>
                    <w:jc w:val="center"/>
                    <w:rPr>
                      <w:rFonts w:hint="default"/>
                      <w:color w:val="auto"/>
                      <w:spacing w:val="0"/>
                      <w:kern w:val="2"/>
                      <w:sz w:val="21"/>
                      <w:szCs w:val="21"/>
                      <w:lang w:val="en-US" w:eastAsia="zh-CN" w:bidi="ar-SA"/>
                    </w:rPr>
                  </w:pPr>
                  <w:r>
                    <w:rPr>
                      <w:rFonts w:hint="eastAsia"/>
                      <w:color w:val="auto"/>
                      <w:spacing w:val="0"/>
                      <w:kern w:val="2"/>
                      <w:sz w:val="21"/>
                      <w:szCs w:val="21"/>
                      <w:lang w:val="en-US" w:eastAsia="zh-CN" w:bidi="ar-SA"/>
                    </w:rPr>
                    <w:t>/</w:t>
                  </w:r>
                </w:p>
              </w:tc>
            </w:tr>
            <w:tr w14:paraId="50398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63" w:type="pct"/>
                  <w:vMerge w:val="restart"/>
                  <w:noWrap w:val="0"/>
                  <w:tcMar>
                    <w:left w:w="28" w:type="dxa"/>
                    <w:right w:w="28" w:type="dxa"/>
                  </w:tcMar>
                  <w:vAlign w:val="center"/>
                </w:tcPr>
                <w:p w14:paraId="258A8AAF">
                  <w:pPr>
                    <w:spacing w:line="350" w:lineRule="exact"/>
                    <w:jc w:val="center"/>
                    <w:rPr>
                      <w:rFonts w:hint="eastAsia"/>
                      <w:color w:val="auto"/>
                      <w:spacing w:val="0"/>
                      <w:sz w:val="21"/>
                      <w:szCs w:val="21"/>
                    </w:rPr>
                  </w:pPr>
                  <w:r>
                    <w:rPr>
                      <w:rFonts w:hint="eastAsia"/>
                      <w:color w:val="auto"/>
                      <w:spacing w:val="0"/>
                      <w:sz w:val="21"/>
                      <w:szCs w:val="21"/>
                    </w:rPr>
                    <w:t>固废</w:t>
                  </w:r>
                </w:p>
                <w:p w14:paraId="4DF97F65">
                  <w:pPr>
                    <w:spacing w:line="350" w:lineRule="exact"/>
                    <w:jc w:val="center"/>
                    <w:rPr>
                      <w:color w:val="auto"/>
                      <w:spacing w:val="0"/>
                      <w:sz w:val="21"/>
                      <w:szCs w:val="21"/>
                    </w:rPr>
                  </w:pPr>
                </w:p>
              </w:tc>
              <w:tc>
                <w:tcPr>
                  <w:tcW w:w="281" w:type="pct"/>
                  <w:vMerge w:val="restart"/>
                  <w:noWrap w:val="0"/>
                  <w:tcMar>
                    <w:left w:w="28" w:type="dxa"/>
                    <w:right w:w="28" w:type="dxa"/>
                  </w:tcMar>
                  <w:vAlign w:val="center"/>
                </w:tcPr>
                <w:p w14:paraId="68E0EF1A">
                  <w:pPr>
                    <w:spacing w:line="350" w:lineRule="exact"/>
                    <w:jc w:val="center"/>
                    <w:rPr>
                      <w:rFonts w:hint="eastAsia"/>
                      <w:bCs/>
                      <w:color w:val="auto"/>
                      <w:spacing w:val="0"/>
                      <w:sz w:val="21"/>
                      <w:szCs w:val="21"/>
                      <w:lang w:val="en-US" w:eastAsia="zh-CN"/>
                    </w:rPr>
                  </w:pPr>
                  <w:r>
                    <w:rPr>
                      <w:rFonts w:hint="eastAsia"/>
                      <w:bCs/>
                      <w:color w:val="auto"/>
                      <w:spacing w:val="0"/>
                      <w:sz w:val="21"/>
                      <w:szCs w:val="21"/>
                      <w:lang w:val="en-US" w:eastAsia="zh-CN"/>
                    </w:rPr>
                    <w:t>一般</w:t>
                  </w:r>
                </w:p>
                <w:p w14:paraId="0ADA51F7">
                  <w:pPr>
                    <w:spacing w:line="350" w:lineRule="exact"/>
                    <w:jc w:val="center"/>
                    <w:rPr>
                      <w:rFonts w:hint="eastAsia"/>
                      <w:color w:val="auto"/>
                      <w:spacing w:val="0"/>
                      <w:sz w:val="21"/>
                      <w:szCs w:val="21"/>
                    </w:rPr>
                  </w:pPr>
                  <w:r>
                    <w:rPr>
                      <w:rFonts w:hint="eastAsia"/>
                      <w:bCs/>
                      <w:color w:val="auto"/>
                      <w:spacing w:val="0"/>
                      <w:sz w:val="21"/>
                      <w:szCs w:val="21"/>
                      <w:lang w:val="en-US" w:eastAsia="zh-CN"/>
                    </w:rPr>
                    <w:t>固废</w:t>
                  </w:r>
                </w:p>
              </w:tc>
              <w:tc>
                <w:tcPr>
                  <w:tcW w:w="586" w:type="pct"/>
                  <w:noWrap w:val="0"/>
                  <w:tcMar>
                    <w:left w:w="28" w:type="dxa"/>
                    <w:right w:w="28" w:type="dxa"/>
                  </w:tcMar>
                  <w:vAlign w:val="center"/>
                </w:tcPr>
                <w:p w14:paraId="6BA4E9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试剂废包装箱</w:t>
                  </w:r>
                </w:p>
              </w:tc>
              <w:tc>
                <w:tcPr>
                  <w:tcW w:w="400" w:type="pct"/>
                  <w:tcBorders>
                    <w:right w:val="single" w:color="auto" w:sz="2" w:space="0"/>
                  </w:tcBorders>
                  <w:noWrap w:val="0"/>
                  <w:vAlign w:val="center"/>
                </w:tcPr>
                <w:p w14:paraId="4E974E3A">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11"/>
                      <w:sz w:val="21"/>
                      <w:szCs w:val="21"/>
                      <w:lang w:val="en-US" w:eastAsia="zh-CN"/>
                    </w:rPr>
                  </w:pPr>
                  <w:r>
                    <w:rPr>
                      <w:rFonts w:hint="eastAsia"/>
                      <w:color w:val="auto"/>
                      <w:spacing w:val="0"/>
                      <w:kern w:val="2"/>
                      <w:sz w:val="21"/>
                      <w:szCs w:val="21"/>
                      <w:lang w:val="en-US" w:eastAsia="zh-CN" w:bidi="ar-SA"/>
                    </w:rPr>
                    <w:t>/</w:t>
                  </w:r>
                </w:p>
              </w:tc>
              <w:tc>
                <w:tcPr>
                  <w:tcW w:w="362" w:type="pct"/>
                  <w:tcBorders>
                    <w:left w:val="single" w:color="auto" w:sz="2" w:space="0"/>
                  </w:tcBorders>
                  <w:noWrap w:val="0"/>
                  <w:vAlign w:val="center"/>
                </w:tcPr>
                <w:p w14:paraId="363A70D9">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345" w:type="pct"/>
                  <w:tcBorders>
                    <w:right w:val="single" w:color="auto" w:sz="2" w:space="0"/>
                  </w:tcBorders>
                  <w:noWrap w:val="0"/>
                  <w:vAlign w:val="center"/>
                </w:tcPr>
                <w:p w14:paraId="77D7C3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kern w:val="2"/>
                      <w:sz w:val="21"/>
                      <w:szCs w:val="21"/>
                      <w:lang w:val="en-US" w:eastAsia="zh-CN" w:bidi="ar-SA"/>
                    </w:rPr>
                  </w:pPr>
                  <w:r>
                    <w:rPr>
                      <w:rFonts w:hint="eastAsia" w:cs="Times New Roman"/>
                      <w:color w:val="auto"/>
                      <w:spacing w:val="-11"/>
                      <w:sz w:val="21"/>
                      <w:szCs w:val="21"/>
                      <w:lang w:val="en-US" w:eastAsia="zh-CN"/>
                    </w:rPr>
                    <w:t>0.05</w:t>
                  </w:r>
                </w:p>
              </w:tc>
              <w:tc>
                <w:tcPr>
                  <w:tcW w:w="345" w:type="pct"/>
                  <w:tcBorders>
                    <w:left w:val="single" w:color="auto" w:sz="2" w:space="0"/>
                    <w:right w:val="single" w:color="auto" w:sz="2" w:space="0"/>
                  </w:tcBorders>
                  <w:noWrap w:val="0"/>
                  <w:vAlign w:val="center"/>
                </w:tcPr>
                <w:p w14:paraId="652C15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cs="Times New Roman"/>
                      <w:color w:val="auto"/>
                      <w:spacing w:val="-11"/>
                      <w:sz w:val="21"/>
                      <w:szCs w:val="21"/>
                      <w:lang w:val="en-US" w:eastAsia="zh-CN"/>
                    </w:rPr>
                    <w:t>0.05</w:t>
                  </w:r>
                </w:p>
              </w:tc>
              <w:tc>
                <w:tcPr>
                  <w:tcW w:w="353" w:type="pct"/>
                  <w:tcBorders>
                    <w:left w:val="single" w:color="auto" w:sz="2" w:space="0"/>
                  </w:tcBorders>
                  <w:noWrap w:val="0"/>
                  <w:vAlign w:val="center"/>
                </w:tcPr>
                <w:p w14:paraId="12C378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581" w:type="pct"/>
                  <w:noWrap w:val="0"/>
                  <w:vAlign w:val="center"/>
                </w:tcPr>
                <w:p w14:paraId="4DAD2329">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402" w:type="pct"/>
                  <w:noWrap w:val="0"/>
                  <w:vAlign w:val="center"/>
                </w:tcPr>
                <w:p w14:paraId="0124D8E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407" w:type="pct"/>
                  <w:noWrap w:val="0"/>
                  <w:vAlign w:val="center"/>
                </w:tcPr>
                <w:p w14:paraId="698403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44" w:type="pct"/>
                  <w:gridSpan w:val="2"/>
                  <w:tcBorders>
                    <w:right w:val="single" w:color="auto" w:sz="2" w:space="0"/>
                  </w:tcBorders>
                  <w:noWrap w:val="0"/>
                  <w:tcMar>
                    <w:left w:w="28" w:type="dxa"/>
                    <w:right w:w="28" w:type="dxa"/>
                  </w:tcMar>
                  <w:vAlign w:val="center"/>
                </w:tcPr>
                <w:p w14:paraId="271F4E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26" w:type="pct"/>
                  <w:tcBorders>
                    <w:left w:val="single" w:color="auto" w:sz="2" w:space="0"/>
                  </w:tcBorders>
                  <w:noWrap w:val="0"/>
                  <w:vAlign w:val="center"/>
                </w:tcPr>
                <w:p w14:paraId="0E3E2E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r>
            <w:tr w14:paraId="11303D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63" w:type="pct"/>
                  <w:vMerge w:val="continue"/>
                  <w:noWrap w:val="0"/>
                  <w:tcMar>
                    <w:left w:w="28" w:type="dxa"/>
                    <w:right w:w="28" w:type="dxa"/>
                  </w:tcMar>
                  <w:vAlign w:val="center"/>
                </w:tcPr>
                <w:p w14:paraId="41CF4AA3">
                  <w:pPr>
                    <w:spacing w:line="350" w:lineRule="exact"/>
                    <w:jc w:val="center"/>
                    <w:rPr>
                      <w:rFonts w:hint="eastAsia"/>
                      <w:color w:val="auto"/>
                      <w:spacing w:val="0"/>
                      <w:sz w:val="21"/>
                      <w:szCs w:val="21"/>
                    </w:rPr>
                  </w:pPr>
                </w:p>
              </w:tc>
              <w:tc>
                <w:tcPr>
                  <w:tcW w:w="281" w:type="pct"/>
                  <w:vMerge w:val="continue"/>
                  <w:noWrap w:val="0"/>
                  <w:tcMar>
                    <w:left w:w="28" w:type="dxa"/>
                    <w:right w:w="28" w:type="dxa"/>
                  </w:tcMar>
                  <w:vAlign w:val="center"/>
                </w:tcPr>
                <w:p w14:paraId="4228F8FF">
                  <w:pPr>
                    <w:spacing w:line="350" w:lineRule="exact"/>
                    <w:jc w:val="center"/>
                    <w:rPr>
                      <w:rFonts w:hint="eastAsia"/>
                      <w:color w:val="auto"/>
                      <w:spacing w:val="0"/>
                      <w:sz w:val="21"/>
                      <w:szCs w:val="21"/>
                    </w:rPr>
                  </w:pPr>
                </w:p>
              </w:tc>
              <w:tc>
                <w:tcPr>
                  <w:tcW w:w="586" w:type="pct"/>
                  <w:noWrap w:val="0"/>
                  <w:tcMar>
                    <w:left w:w="28" w:type="dxa"/>
                    <w:right w:w="28" w:type="dxa"/>
                  </w:tcMar>
                  <w:vAlign w:val="center"/>
                </w:tcPr>
                <w:p w14:paraId="0E2C6D6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纯水废瓶</w:t>
                  </w:r>
                </w:p>
              </w:tc>
              <w:tc>
                <w:tcPr>
                  <w:tcW w:w="400" w:type="pct"/>
                  <w:tcBorders>
                    <w:right w:val="single" w:color="auto" w:sz="2" w:space="0"/>
                  </w:tcBorders>
                  <w:noWrap w:val="0"/>
                  <w:vAlign w:val="center"/>
                </w:tcPr>
                <w:p w14:paraId="701346AD">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11"/>
                      <w:sz w:val="21"/>
                      <w:szCs w:val="21"/>
                      <w:lang w:val="en-US" w:eastAsia="zh-CN"/>
                    </w:rPr>
                  </w:pPr>
                  <w:r>
                    <w:rPr>
                      <w:rFonts w:hint="eastAsia"/>
                      <w:color w:val="auto"/>
                      <w:spacing w:val="0"/>
                      <w:kern w:val="2"/>
                      <w:sz w:val="21"/>
                      <w:szCs w:val="21"/>
                      <w:lang w:val="en-US" w:eastAsia="zh-CN" w:bidi="ar-SA"/>
                    </w:rPr>
                    <w:t>/</w:t>
                  </w:r>
                </w:p>
              </w:tc>
              <w:tc>
                <w:tcPr>
                  <w:tcW w:w="362" w:type="pct"/>
                  <w:tcBorders>
                    <w:left w:val="single" w:color="auto" w:sz="2" w:space="0"/>
                  </w:tcBorders>
                  <w:noWrap w:val="0"/>
                  <w:vAlign w:val="center"/>
                </w:tcPr>
                <w:p w14:paraId="1D438DD9">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345" w:type="pct"/>
                  <w:tcBorders>
                    <w:right w:val="single" w:color="auto" w:sz="2" w:space="0"/>
                  </w:tcBorders>
                  <w:noWrap w:val="0"/>
                  <w:vAlign w:val="center"/>
                </w:tcPr>
                <w:p w14:paraId="01F879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0.02</w:t>
                  </w:r>
                </w:p>
              </w:tc>
              <w:tc>
                <w:tcPr>
                  <w:tcW w:w="345" w:type="pct"/>
                  <w:tcBorders>
                    <w:left w:val="single" w:color="auto" w:sz="2" w:space="0"/>
                    <w:right w:val="single" w:color="auto" w:sz="2" w:space="0"/>
                  </w:tcBorders>
                  <w:noWrap w:val="0"/>
                  <w:vAlign w:val="center"/>
                </w:tcPr>
                <w:p w14:paraId="5236658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0.02</w:t>
                  </w:r>
                </w:p>
              </w:tc>
              <w:tc>
                <w:tcPr>
                  <w:tcW w:w="353" w:type="pct"/>
                  <w:tcBorders>
                    <w:left w:val="single" w:color="auto" w:sz="2" w:space="0"/>
                  </w:tcBorders>
                  <w:noWrap w:val="0"/>
                  <w:vAlign w:val="center"/>
                </w:tcPr>
                <w:p w14:paraId="5D2B97A2">
                  <w:pPr>
                    <w:keepNext w:val="0"/>
                    <w:keepLines w:val="0"/>
                    <w:pageBreakBefore w:val="0"/>
                    <w:widowControl w:val="0"/>
                    <w:tabs>
                      <w:tab w:val="left" w:pos="329"/>
                      <w:tab w:val="center" w:pos="501"/>
                    </w:tabs>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pacing w:val="-11"/>
                      <w:kern w:val="2"/>
                      <w:sz w:val="21"/>
                      <w:szCs w:val="21"/>
                      <w:lang w:val="en-US" w:eastAsia="zh-CN" w:bidi="ar-SA"/>
                    </w:rPr>
                  </w:pPr>
                  <w:r>
                    <w:rPr>
                      <w:rFonts w:hint="eastAsia" w:cs="Times New Roman"/>
                      <w:color w:val="auto"/>
                      <w:spacing w:val="-11"/>
                      <w:sz w:val="21"/>
                      <w:szCs w:val="21"/>
                      <w:lang w:val="en-US" w:eastAsia="zh-CN"/>
                    </w:rPr>
                    <w:tab/>
                  </w:r>
                  <w:r>
                    <w:rPr>
                      <w:rFonts w:hint="eastAsia" w:cs="Times New Roman"/>
                      <w:color w:val="auto"/>
                      <w:spacing w:val="-11"/>
                      <w:sz w:val="21"/>
                      <w:szCs w:val="21"/>
                      <w:lang w:val="en-US" w:eastAsia="zh-CN"/>
                    </w:rPr>
                    <w:t xml:space="preserve"> </w:t>
                  </w:r>
                  <w:r>
                    <w:rPr>
                      <w:rFonts w:hint="eastAsia" w:ascii="Times New Roman" w:hAnsi="Times New Roman" w:eastAsia="宋体" w:cs="Times New Roman"/>
                      <w:color w:val="auto"/>
                      <w:spacing w:val="-11"/>
                      <w:sz w:val="21"/>
                      <w:szCs w:val="21"/>
                      <w:lang w:val="en-US" w:eastAsia="zh-CN"/>
                    </w:rPr>
                    <w:t>0</w:t>
                  </w:r>
                </w:p>
              </w:tc>
              <w:tc>
                <w:tcPr>
                  <w:tcW w:w="581" w:type="pct"/>
                  <w:noWrap w:val="0"/>
                  <w:vAlign w:val="center"/>
                </w:tcPr>
                <w:p w14:paraId="314F8CD2">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402" w:type="pct"/>
                  <w:noWrap w:val="0"/>
                  <w:vAlign w:val="center"/>
                </w:tcPr>
                <w:p w14:paraId="09E40B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407" w:type="pct"/>
                  <w:noWrap w:val="0"/>
                  <w:vAlign w:val="center"/>
                </w:tcPr>
                <w:p w14:paraId="5E71D3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44" w:type="pct"/>
                  <w:gridSpan w:val="2"/>
                  <w:tcBorders>
                    <w:right w:val="single" w:color="auto" w:sz="2" w:space="0"/>
                  </w:tcBorders>
                  <w:noWrap w:val="0"/>
                  <w:tcMar>
                    <w:left w:w="28" w:type="dxa"/>
                    <w:right w:w="28" w:type="dxa"/>
                  </w:tcMar>
                  <w:vAlign w:val="center"/>
                </w:tcPr>
                <w:p w14:paraId="6AA23C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26" w:type="pct"/>
                  <w:tcBorders>
                    <w:left w:val="single" w:color="auto" w:sz="2" w:space="0"/>
                  </w:tcBorders>
                  <w:noWrap w:val="0"/>
                  <w:vAlign w:val="center"/>
                </w:tcPr>
                <w:p w14:paraId="3BB673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r>
            <w:tr w14:paraId="35DE0F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63" w:type="pct"/>
                  <w:vMerge w:val="continue"/>
                  <w:noWrap w:val="0"/>
                  <w:tcMar>
                    <w:left w:w="28" w:type="dxa"/>
                    <w:right w:w="28" w:type="dxa"/>
                  </w:tcMar>
                  <w:vAlign w:val="center"/>
                </w:tcPr>
                <w:p w14:paraId="6917F493">
                  <w:pPr>
                    <w:spacing w:line="350" w:lineRule="exact"/>
                    <w:jc w:val="center"/>
                    <w:rPr>
                      <w:rFonts w:hint="eastAsia"/>
                      <w:color w:val="auto"/>
                      <w:spacing w:val="0"/>
                      <w:sz w:val="21"/>
                      <w:szCs w:val="21"/>
                    </w:rPr>
                  </w:pPr>
                </w:p>
              </w:tc>
              <w:tc>
                <w:tcPr>
                  <w:tcW w:w="281" w:type="pct"/>
                  <w:vMerge w:val="restart"/>
                  <w:noWrap w:val="0"/>
                  <w:tcMar>
                    <w:left w:w="28" w:type="dxa"/>
                    <w:right w:w="28" w:type="dxa"/>
                  </w:tcMar>
                  <w:vAlign w:val="center"/>
                </w:tcPr>
                <w:p w14:paraId="4E65EAAF">
                  <w:pPr>
                    <w:spacing w:line="350" w:lineRule="exact"/>
                    <w:jc w:val="center"/>
                    <w:rPr>
                      <w:rFonts w:hint="eastAsia" w:eastAsia="宋体"/>
                      <w:bCs/>
                      <w:color w:val="auto"/>
                      <w:spacing w:val="0"/>
                      <w:sz w:val="21"/>
                      <w:szCs w:val="21"/>
                      <w:lang w:val="en-US" w:eastAsia="zh-CN"/>
                    </w:rPr>
                  </w:pPr>
                  <w:r>
                    <w:rPr>
                      <w:rFonts w:hint="eastAsia"/>
                      <w:bCs/>
                      <w:color w:val="auto"/>
                      <w:spacing w:val="0"/>
                      <w:sz w:val="21"/>
                      <w:szCs w:val="21"/>
                    </w:rPr>
                    <w:t>危险</w:t>
                  </w:r>
                </w:p>
                <w:p w14:paraId="6FECAD70">
                  <w:pPr>
                    <w:spacing w:line="350" w:lineRule="exact"/>
                    <w:jc w:val="center"/>
                    <w:rPr>
                      <w:rFonts w:hint="eastAsia"/>
                      <w:color w:val="auto"/>
                      <w:spacing w:val="0"/>
                      <w:sz w:val="21"/>
                      <w:szCs w:val="21"/>
                    </w:rPr>
                  </w:pPr>
                  <w:r>
                    <w:rPr>
                      <w:rFonts w:hint="eastAsia"/>
                      <w:bCs/>
                      <w:color w:val="auto"/>
                      <w:spacing w:val="0"/>
                      <w:sz w:val="21"/>
                      <w:szCs w:val="21"/>
                    </w:rPr>
                    <w:t>固废</w:t>
                  </w:r>
                </w:p>
              </w:tc>
              <w:tc>
                <w:tcPr>
                  <w:tcW w:w="586" w:type="pct"/>
                  <w:noWrap w:val="0"/>
                  <w:tcMar>
                    <w:left w:w="28" w:type="dxa"/>
                    <w:right w:w="28" w:type="dxa"/>
                  </w:tcMar>
                  <w:vAlign w:val="center"/>
                </w:tcPr>
                <w:p w14:paraId="49674FB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s="Times New Roman"/>
                      <w:color w:val="auto"/>
                      <w:spacing w:val="0"/>
                      <w:sz w:val="21"/>
                      <w:szCs w:val="21"/>
                      <w:lang w:val="en-US" w:eastAsia="zh-CN"/>
                    </w:rPr>
                  </w:pPr>
                  <w:r>
                    <w:rPr>
                      <w:rFonts w:hint="eastAsia" w:cs="Times New Roman"/>
                      <w:color w:val="auto"/>
                      <w:spacing w:val="0"/>
                      <w:sz w:val="21"/>
                      <w:szCs w:val="21"/>
                      <w:lang w:val="en-US" w:eastAsia="zh-CN"/>
                    </w:rPr>
                    <w:t>废渣</w:t>
                  </w:r>
                </w:p>
              </w:tc>
              <w:tc>
                <w:tcPr>
                  <w:tcW w:w="400" w:type="pct"/>
                  <w:tcBorders>
                    <w:right w:val="single" w:color="auto" w:sz="2" w:space="0"/>
                  </w:tcBorders>
                  <w:noWrap w:val="0"/>
                  <w:vAlign w:val="center"/>
                </w:tcPr>
                <w:p w14:paraId="0371084A">
                  <w:pPr>
                    <w:keepNext w:val="0"/>
                    <w:keepLines w:val="0"/>
                    <w:pageBreakBefore w:val="0"/>
                    <w:kinsoku/>
                    <w:wordWrap/>
                    <w:overflowPunct/>
                    <w:topLinePunct w:val="0"/>
                    <w:autoSpaceDE/>
                    <w:autoSpaceDN/>
                    <w:bidi w:val="0"/>
                    <w:adjustRightInd/>
                    <w:snapToGrid/>
                    <w:spacing w:line="310" w:lineRule="exact"/>
                    <w:jc w:val="center"/>
                    <w:rPr>
                      <w:rFonts w:hint="eastAsia"/>
                      <w:color w:val="auto"/>
                      <w:spacing w:val="0"/>
                      <w:kern w:val="2"/>
                      <w:sz w:val="21"/>
                      <w:szCs w:val="21"/>
                      <w:lang w:val="en-US" w:eastAsia="zh-CN" w:bidi="ar-SA"/>
                    </w:rPr>
                  </w:pPr>
                  <w:r>
                    <w:rPr>
                      <w:rFonts w:hint="eastAsia"/>
                      <w:color w:val="auto"/>
                      <w:spacing w:val="0"/>
                      <w:kern w:val="2"/>
                      <w:sz w:val="21"/>
                      <w:szCs w:val="21"/>
                      <w:lang w:val="en-US" w:eastAsia="zh-CN" w:bidi="ar-SA"/>
                    </w:rPr>
                    <w:t>/</w:t>
                  </w:r>
                </w:p>
              </w:tc>
              <w:tc>
                <w:tcPr>
                  <w:tcW w:w="362" w:type="pct"/>
                  <w:tcBorders>
                    <w:left w:val="single" w:color="auto" w:sz="2" w:space="0"/>
                  </w:tcBorders>
                  <w:noWrap w:val="0"/>
                  <w:vAlign w:val="center"/>
                </w:tcPr>
                <w:p w14:paraId="3A27F9E5">
                  <w:pPr>
                    <w:keepNext w:val="0"/>
                    <w:keepLines w:val="0"/>
                    <w:pageBreakBefore w:val="0"/>
                    <w:kinsoku/>
                    <w:wordWrap/>
                    <w:overflowPunct/>
                    <w:topLinePunct w:val="0"/>
                    <w:autoSpaceDE/>
                    <w:autoSpaceDN/>
                    <w:bidi w:val="0"/>
                    <w:adjustRightInd/>
                    <w:snapToGrid/>
                    <w:spacing w:line="310" w:lineRule="exact"/>
                    <w:jc w:val="center"/>
                    <w:rPr>
                      <w:rFonts w:hint="eastAsia"/>
                      <w:color w:val="auto"/>
                      <w:spacing w:val="0"/>
                      <w:kern w:val="2"/>
                      <w:sz w:val="21"/>
                      <w:szCs w:val="21"/>
                      <w:lang w:val="en-US" w:eastAsia="zh-CN" w:bidi="ar-SA"/>
                    </w:rPr>
                  </w:pPr>
                  <w:r>
                    <w:rPr>
                      <w:rFonts w:hint="eastAsia"/>
                      <w:color w:val="auto"/>
                      <w:spacing w:val="0"/>
                      <w:kern w:val="2"/>
                      <w:sz w:val="21"/>
                      <w:szCs w:val="21"/>
                      <w:lang w:val="en-US" w:eastAsia="zh-CN" w:bidi="ar-SA"/>
                    </w:rPr>
                    <w:t>/</w:t>
                  </w:r>
                </w:p>
              </w:tc>
              <w:tc>
                <w:tcPr>
                  <w:tcW w:w="345" w:type="pct"/>
                  <w:tcBorders>
                    <w:right w:val="single" w:color="auto" w:sz="2" w:space="0"/>
                  </w:tcBorders>
                  <w:noWrap w:val="0"/>
                  <w:vAlign w:val="center"/>
                </w:tcPr>
                <w:p w14:paraId="07022FE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0.1</w:t>
                  </w:r>
                </w:p>
              </w:tc>
              <w:tc>
                <w:tcPr>
                  <w:tcW w:w="345" w:type="pct"/>
                  <w:tcBorders>
                    <w:left w:val="single" w:color="auto" w:sz="2" w:space="0"/>
                    <w:right w:val="single" w:color="auto" w:sz="2" w:space="0"/>
                  </w:tcBorders>
                  <w:noWrap w:val="0"/>
                  <w:vAlign w:val="center"/>
                </w:tcPr>
                <w:p w14:paraId="2130A7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0.1</w:t>
                  </w:r>
                </w:p>
              </w:tc>
              <w:tc>
                <w:tcPr>
                  <w:tcW w:w="353" w:type="pct"/>
                  <w:tcBorders>
                    <w:left w:val="single" w:color="auto" w:sz="2" w:space="0"/>
                  </w:tcBorders>
                  <w:noWrap w:val="0"/>
                  <w:vAlign w:val="center"/>
                </w:tcPr>
                <w:p w14:paraId="16C7D8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w:t>
                  </w:r>
                </w:p>
              </w:tc>
              <w:tc>
                <w:tcPr>
                  <w:tcW w:w="581" w:type="pct"/>
                  <w:noWrap w:val="0"/>
                  <w:vAlign w:val="center"/>
                </w:tcPr>
                <w:p w14:paraId="4911E38C">
                  <w:pPr>
                    <w:keepNext w:val="0"/>
                    <w:keepLines w:val="0"/>
                    <w:pageBreakBefore w:val="0"/>
                    <w:kinsoku/>
                    <w:wordWrap/>
                    <w:overflowPunct/>
                    <w:topLinePunct w:val="0"/>
                    <w:autoSpaceDE/>
                    <w:autoSpaceDN/>
                    <w:bidi w:val="0"/>
                    <w:adjustRightInd/>
                    <w:snapToGrid/>
                    <w:spacing w:line="310" w:lineRule="exact"/>
                    <w:jc w:val="center"/>
                    <w:rPr>
                      <w:rFonts w:hint="default"/>
                      <w:color w:val="auto"/>
                      <w:spacing w:val="0"/>
                      <w:kern w:val="2"/>
                      <w:sz w:val="21"/>
                      <w:szCs w:val="21"/>
                      <w:lang w:val="en-US" w:eastAsia="zh-CN" w:bidi="ar-SA"/>
                    </w:rPr>
                  </w:pPr>
                  <w:r>
                    <w:rPr>
                      <w:rFonts w:hint="eastAsia"/>
                      <w:color w:val="auto"/>
                      <w:spacing w:val="0"/>
                      <w:kern w:val="2"/>
                      <w:sz w:val="21"/>
                      <w:szCs w:val="21"/>
                      <w:lang w:val="en-US" w:eastAsia="zh-CN" w:bidi="ar-SA"/>
                    </w:rPr>
                    <w:t>/</w:t>
                  </w:r>
                </w:p>
              </w:tc>
              <w:tc>
                <w:tcPr>
                  <w:tcW w:w="402" w:type="pct"/>
                  <w:noWrap w:val="0"/>
                  <w:vAlign w:val="center"/>
                </w:tcPr>
                <w:p w14:paraId="3A01A3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w:t>
                  </w:r>
                </w:p>
              </w:tc>
              <w:tc>
                <w:tcPr>
                  <w:tcW w:w="407" w:type="pct"/>
                  <w:noWrap w:val="0"/>
                  <w:vAlign w:val="center"/>
                </w:tcPr>
                <w:p w14:paraId="22AB366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w:t>
                  </w:r>
                </w:p>
              </w:tc>
              <w:tc>
                <w:tcPr>
                  <w:tcW w:w="344" w:type="pct"/>
                  <w:gridSpan w:val="2"/>
                  <w:tcBorders>
                    <w:right w:val="single" w:color="auto" w:sz="2" w:space="0"/>
                  </w:tcBorders>
                  <w:noWrap w:val="0"/>
                  <w:tcMar>
                    <w:left w:w="28" w:type="dxa"/>
                    <w:right w:w="28" w:type="dxa"/>
                  </w:tcMar>
                  <w:vAlign w:val="center"/>
                </w:tcPr>
                <w:p w14:paraId="6E5F0D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w:t>
                  </w:r>
                </w:p>
              </w:tc>
              <w:tc>
                <w:tcPr>
                  <w:tcW w:w="326" w:type="pct"/>
                  <w:tcBorders>
                    <w:left w:val="single" w:color="auto" w:sz="2" w:space="0"/>
                  </w:tcBorders>
                  <w:noWrap w:val="0"/>
                  <w:vAlign w:val="center"/>
                </w:tcPr>
                <w:p w14:paraId="3E7211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w:t>
                  </w:r>
                </w:p>
              </w:tc>
            </w:tr>
            <w:tr w14:paraId="23F321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3" w:type="pct"/>
                  <w:vMerge w:val="continue"/>
                  <w:noWrap w:val="0"/>
                  <w:tcMar>
                    <w:left w:w="28" w:type="dxa"/>
                    <w:right w:w="28" w:type="dxa"/>
                  </w:tcMar>
                  <w:vAlign w:val="center"/>
                </w:tcPr>
                <w:p w14:paraId="36092116">
                  <w:pPr>
                    <w:spacing w:line="350" w:lineRule="exact"/>
                    <w:jc w:val="center"/>
                    <w:rPr>
                      <w:rFonts w:hint="eastAsia"/>
                      <w:color w:val="auto"/>
                      <w:spacing w:val="0"/>
                      <w:sz w:val="21"/>
                      <w:szCs w:val="21"/>
                    </w:rPr>
                  </w:pPr>
                </w:p>
              </w:tc>
              <w:tc>
                <w:tcPr>
                  <w:tcW w:w="281" w:type="pct"/>
                  <w:vMerge w:val="continue"/>
                  <w:noWrap w:val="0"/>
                  <w:tcMar>
                    <w:left w:w="28" w:type="dxa"/>
                    <w:right w:w="28" w:type="dxa"/>
                  </w:tcMar>
                  <w:vAlign w:val="center"/>
                </w:tcPr>
                <w:p w14:paraId="57EE3600">
                  <w:pPr>
                    <w:spacing w:line="350" w:lineRule="exact"/>
                    <w:jc w:val="center"/>
                    <w:rPr>
                      <w:rFonts w:hint="eastAsia"/>
                      <w:color w:val="auto"/>
                      <w:spacing w:val="0"/>
                      <w:sz w:val="21"/>
                      <w:szCs w:val="21"/>
                    </w:rPr>
                  </w:pPr>
                </w:p>
              </w:tc>
              <w:tc>
                <w:tcPr>
                  <w:tcW w:w="586" w:type="pct"/>
                  <w:noWrap w:val="0"/>
                  <w:tcMar>
                    <w:left w:w="28" w:type="dxa"/>
                    <w:right w:w="28" w:type="dxa"/>
                  </w:tcMar>
                  <w:vAlign w:val="center"/>
                </w:tcPr>
                <w:p w14:paraId="0406D79B">
                  <w:pPr>
                    <w:spacing w:line="350" w:lineRule="exact"/>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试剂</w:t>
                  </w:r>
                  <w:r>
                    <w:rPr>
                      <w:rFonts w:hint="eastAsia" w:cs="Times New Roman"/>
                      <w:color w:val="auto"/>
                      <w:spacing w:val="0"/>
                      <w:sz w:val="21"/>
                      <w:szCs w:val="21"/>
                      <w:lang w:val="en-US" w:eastAsia="zh-CN"/>
                    </w:rPr>
                    <w:t>废瓶</w:t>
                  </w:r>
                </w:p>
              </w:tc>
              <w:tc>
                <w:tcPr>
                  <w:tcW w:w="400" w:type="pct"/>
                  <w:tcBorders>
                    <w:right w:val="single" w:color="auto" w:sz="2" w:space="0"/>
                  </w:tcBorders>
                  <w:noWrap w:val="0"/>
                  <w:vAlign w:val="center"/>
                </w:tcPr>
                <w:p w14:paraId="2F91B1E6">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362" w:type="pct"/>
                  <w:tcBorders>
                    <w:left w:val="single" w:color="auto" w:sz="2" w:space="0"/>
                  </w:tcBorders>
                  <w:noWrap w:val="0"/>
                  <w:vAlign w:val="center"/>
                </w:tcPr>
                <w:p w14:paraId="66976875">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345" w:type="pct"/>
                  <w:tcBorders>
                    <w:right w:val="single" w:color="auto" w:sz="2" w:space="0"/>
                  </w:tcBorders>
                  <w:noWrap w:val="0"/>
                  <w:vAlign w:val="center"/>
                </w:tcPr>
                <w:p w14:paraId="39B3FCB7">
                  <w:pPr>
                    <w:spacing w:line="350" w:lineRule="exact"/>
                    <w:jc w:val="center"/>
                    <w:rPr>
                      <w:rFonts w:hint="eastAsia"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0.05</w:t>
                  </w:r>
                </w:p>
              </w:tc>
              <w:tc>
                <w:tcPr>
                  <w:tcW w:w="345" w:type="pct"/>
                  <w:tcBorders>
                    <w:left w:val="single" w:color="auto" w:sz="2" w:space="0"/>
                    <w:right w:val="single" w:color="auto" w:sz="2" w:space="0"/>
                  </w:tcBorders>
                  <w:noWrap w:val="0"/>
                  <w:vAlign w:val="center"/>
                </w:tcPr>
                <w:p w14:paraId="1F583939">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s="Times New Roman"/>
                      <w:color w:val="auto"/>
                      <w:spacing w:val="-11"/>
                      <w:sz w:val="21"/>
                      <w:szCs w:val="21"/>
                      <w:lang w:val="en-US" w:eastAsia="zh-CN"/>
                    </w:rPr>
                    <w:t>0.05</w:t>
                  </w:r>
                </w:p>
              </w:tc>
              <w:tc>
                <w:tcPr>
                  <w:tcW w:w="353" w:type="pct"/>
                  <w:tcBorders>
                    <w:left w:val="single" w:color="auto" w:sz="2" w:space="0"/>
                  </w:tcBorders>
                  <w:noWrap w:val="0"/>
                  <w:vAlign w:val="center"/>
                </w:tcPr>
                <w:p w14:paraId="685A84EE">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581" w:type="pct"/>
                  <w:noWrap w:val="0"/>
                  <w:vAlign w:val="center"/>
                </w:tcPr>
                <w:p w14:paraId="55FD04ED">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402" w:type="pct"/>
                  <w:noWrap w:val="0"/>
                  <w:vAlign w:val="center"/>
                </w:tcPr>
                <w:p w14:paraId="305AE656">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407" w:type="pct"/>
                  <w:noWrap w:val="0"/>
                  <w:vAlign w:val="center"/>
                </w:tcPr>
                <w:p w14:paraId="46D2B931">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44" w:type="pct"/>
                  <w:gridSpan w:val="2"/>
                  <w:tcBorders>
                    <w:right w:val="single" w:color="auto" w:sz="2" w:space="0"/>
                  </w:tcBorders>
                  <w:noWrap w:val="0"/>
                  <w:tcMar>
                    <w:left w:w="28" w:type="dxa"/>
                    <w:right w:w="28" w:type="dxa"/>
                  </w:tcMar>
                  <w:vAlign w:val="center"/>
                </w:tcPr>
                <w:p w14:paraId="52E8B1C2">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26" w:type="pct"/>
                  <w:tcBorders>
                    <w:left w:val="single" w:color="auto" w:sz="2" w:space="0"/>
                  </w:tcBorders>
                  <w:noWrap w:val="0"/>
                  <w:vAlign w:val="center"/>
                </w:tcPr>
                <w:p w14:paraId="131BDCC3">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r>
            <w:tr w14:paraId="238C3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63" w:type="pct"/>
                  <w:vMerge w:val="continue"/>
                  <w:noWrap w:val="0"/>
                  <w:tcMar>
                    <w:left w:w="28" w:type="dxa"/>
                    <w:right w:w="28" w:type="dxa"/>
                  </w:tcMar>
                  <w:vAlign w:val="center"/>
                </w:tcPr>
                <w:p w14:paraId="04316BD8">
                  <w:pPr>
                    <w:spacing w:line="350" w:lineRule="exact"/>
                    <w:jc w:val="center"/>
                    <w:rPr>
                      <w:rFonts w:hint="eastAsia"/>
                      <w:color w:val="auto"/>
                      <w:spacing w:val="0"/>
                      <w:sz w:val="21"/>
                      <w:szCs w:val="21"/>
                    </w:rPr>
                  </w:pPr>
                </w:p>
              </w:tc>
              <w:tc>
                <w:tcPr>
                  <w:tcW w:w="281" w:type="pct"/>
                  <w:vMerge w:val="continue"/>
                  <w:noWrap w:val="0"/>
                  <w:tcMar>
                    <w:left w:w="28" w:type="dxa"/>
                    <w:right w:w="28" w:type="dxa"/>
                  </w:tcMar>
                  <w:vAlign w:val="center"/>
                </w:tcPr>
                <w:p w14:paraId="5746CC8C">
                  <w:pPr>
                    <w:spacing w:line="350" w:lineRule="exact"/>
                    <w:jc w:val="center"/>
                    <w:rPr>
                      <w:rFonts w:hint="eastAsia"/>
                      <w:bCs/>
                      <w:color w:val="auto"/>
                      <w:spacing w:val="0"/>
                      <w:sz w:val="21"/>
                      <w:szCs w:val="21"/>
                    </w:rPr>
                  </w:pPr>
                </w:p>
              </w:tc>
              <w:tc>
                <w:tcPr>
                  <w:tcW w:w="586" w:type="pct"/>
                  <w:noWrap w:val="0"/>
                  <w:tcMar>
                    <w:left w:w="28" w:type="dxa"/>
                    <w:right w:w="28" w:type="dxa"/>
                  </w:tcMar>
                  <w:vAlign w:val="center"/>
                </w:tcPr>
                <w:p w14:paraId="3DA3E26A">
                  <w:pPr>
                    <w:spacing w:line="35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废液</w:t>
                  </w:r>
                </w:p>
              </w:tc>
              <w:tc>
                <w:tcPr>
                  <w:tcW w:w="400" w:type="pct"/>
                  <w:tcBorders>
                    <w:right w:val="single" w:color="auto" w:sz="2" w:space="0"/>
                  </w:tcBorders>
                  <w:noWrap w:val="0"/>
                  <w:vAlign w:val="center"/>
                </w:tcPr>
                <w:p w14:paraId="11FDE9D8">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362" w:type="pct"/>
                  <w:tcBorders>
                    <w:left w:val="single" w:color="auto" w:sz="2" w:space="0"/>
                  </w:tcBorders>
                  <w:noWrap w:val="0"/>
                  <w:vAlign w:val="center"/>
                </w:tcPr>
                <w:p w14:paraId="0C072226">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345" w:type="pct"/>
                  <w:tcBorders>
                    <w:right w:val="single" w:color="auto" w:sz="2" w:space="0"/>
                  </w:tcBorders>
                  <w:noWrap w:val="0"/>
                  <w:vAlign w:val="center"/>
                </w:tcPr>
                <w:p w14:paraId="508A65B4">
                  <w:pPr>
                    <w:spacing w:line="350" w:lineRule="exact"/>
                    <w:jc w:val="center"/>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7.588</w:t>
                  </w:r>
                </w:p>
              </w:tc>
              <w:tc>
                <w:tcPr>
                  <w:tcW w:w="345" w:type="pct"/>
                  <w:tcBorders>
                    <w:left w:val="single" w:color="auto" w:sz="2" w:space="0"/>
                    <w:right w:val="single" w:color="auto" w:sz="2" w:space="0"/>
                  </w:tcBorders>
                  <w:noWrap w:val="0"/>
                  <w:vAlign w:val="center"/>
                </w:tcPr>
                <w:p w14:paraId="30A7D7E5">
                  <w:pPr>
                    <w:spacing w:line="350" w:lineRule="exact"/>
                    <w:jc w:val="center"/>
                    <w:rPr>
                      <w:rFonts w:hint="default" w:ascii="Times New Roman" w:hAnsi="Times New Roman" w:eastAsia="宋体" w:cs="Times New Roman"/>
                      <w:color w:val="auto"/>
                      <w:spacing w:val="-11"/>
                      <w:kern w:val="2"/>
                      <w:sz w:val="21"/>
                      <w:szCs w:val="21"/>
                      <w:lang w:val="en-US" w:eastAsia="zh-CN" w:bidi="ar-SA"/>
                    </w:rPr>
                  </w:pPr>
                  <w:r>
                    <w:rPr>
                      <w:rFonts w:hint="eastAsia" w:cs="Times New Roman"/>
                      <w:color w:val="auto"/>
                      <w:spacing w:val="-11"/>
                      <w:sz w:val="21"/>
                      <w:szCs w:val="21"/>
                      <w:lang w:val="en-US" w:eastAsia="zh-CN"/>
                    </w:rPr>
                    <w:t>7.588</w:t>
                  </w:r>
                </w:p>
              </w:tc>
              <w:tc>
                <w:tcPr>
                  <w:tcW w:w="353" w:type="pct"/>
                  <w:tcBorders>
                    <w:left w:val="single" w:color="auto" w:sz="2" w:space="0"/>
                  </w:tcBorders>
                  <w:noWrap w:val="0"/>
                  <w:vAlign w:val="center"/>
                </w:tcPr>
                <w:p w14:paraId="1DC155FB">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581" w:type="pct"/>
                  <w:noWrap w:val="0"/>
                  <w:vAlign w:val="center"/>
                </w:tcPr>
                <w:p w14:paraId="427A9685">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402" w:type="pct"/>
                  <w:noWrap w:val="0"/>
                  <w:vAlign w:val="center"/>
                </w:tcPr>
                <w:p w14:paraId="5A071CD7">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407" w:type="pct"/>
                  <w:noWrap w:val="0"/>
                  <w:vAlign w:val="center"/>
                </w:tcPr>
                <w:p w14:paraId="4FEF701C">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44" w:type="pct"/>
                  <w:gridSpan w:val="2"/>
                  <w:tcBorders>
                    <w:right w:val="single" w:color="auto" w:sz="2" w:space="0"/>
                  </w:tcBorders>
                  <w:noWrap w:val="0"/>
                  <w:tcMar>
                    <w:left w:w="28" w:type="dxa"/>
                    <w:right w:w="28" w:type="dxa"/>
                  </w:tcMar>
                  <w:vAlign w:val="center"/>
                </w:tcPr>
                <w:p w14:paraId="1417DF86">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26" w:type="pct"/>
                  <w:tcBorders>
                    <w:left w:val="single" w:color="auto" w:sz="2" w:space="0"/>
                  </w:tcBorders>
                  <w:noWrap w:val="0"/>
                  <w:vAlign w:val="center"/>
                </w:tcPr>
                <w:p w14:paraId="6CED0E33">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r>
            <w:tr w14:paraId="6104F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63" w:type="pct"/>
                  <w:vMerge w:val="continue"/>
                  <w:noWrap w:val="0"/>
                  <w:tcMar>
                    <w:left w:w="28" w:type="dxa"/>
                    <w:right w:w="28" w:type="dxa"/>
                  </w:tcMar>
                  <w:vAlign w:val="center"/>
                </w:tcPr>
                <w:p w14:paraId="7FAAD2DF">
                  <w:pPr>
                    <w:spacing w:line="350" w:lineRule="exact"/>
                    <w:jc w:val="center"/>
                    <w:rPr>
                      <w:rFonts w:hint="eastAsia"/>
                      <w:color w:val="auto"/>
                      <w:spacing w:val="0"/>
                      <w:sz w:val="21"/>
                      <w:szCs w:val="21"/>
                    </w:rPr>
                  </w:pPr>
                </w:p>
              </w:tc>
              <w:tc>
                <w:tcPr>
                  <w:tcW w:w="281" w:type="pct"/>
                  <w:vMerge w:val="continue"/>
                  <w:noWrap w:val="0"/>
                  <w:tcMar>
                    <w:left w:w="28" w:type="dxa"/>
                    <w:right w:w="28" w:type="dxa"/>
                  </w:tcMar>
                  <w:vAlign w:val="center"/>
                </w:tcPr>
                <w:p w14:paraId="05C5BCF0">
                  <w:pPr>
                    <w:spacing w:line="350" w:lineRule="exact"/>
                    <w:jc w:val="center"/>
                    <w:rPr>
                      <w:rFonts w:hint="eastAsia"/>
                      <w:bCs/>
                      <w:color w:val="auto"/>
                      <w:spacing w:val="0"/>
                      <w:sz w:val="21"/>
                      <w:szCs w:val="21"/>
                    </w:rPr>
                  </w:pPr>
                </w:p>
              </w:tc>
              <w:tc>
                <w:tcPr>
                  <w:tcW w:w="586" w:type="pct"/>
                  <w:noWrap w:val="0"/>
                  <w:tcMar>
                    <w:left w:w="28" w:type="dxa"/>
                    <w:right w:w="28" w:type="dxa"/>
                  </w:tcMar>
                  <w:vAlign w:val="center"/>
                </w:tcPr>
                <w:p w14:paraId="7B3F7CA9">
                  <w:pPr>
                    <w:spacing w:line="350" w:lineRule="exact"/>
                    <w:jc w:val="center"/>
                    <w:rPr>
                      <w:rFonts w:hint="default" w:cs="Times New Roman"/>
                      <w:color w:val="auto"/>
                      <w:spacing w:val="0"/>
                      <w:sz w:val="21"/>
                      <w:szCs w:val="21"/>
                      <w:lang w:val="en-US" w:eastAsia="zh-CN"/>
                    </w:rPr>
                  </w:pPr>
                  <w:r>
                    <w:rPr>
                      <w:rFonts w:hint="eastAsia" w:cs="Times New Roman"/>
                      <w:color w:val="auto"/>
                      <w:spacing w:val="0"/>
                      <w:sz w:val="21"/>
                      <w:szCs w:val="21"/>
                      <w:lang w:val="en-US" w:eastAsia="zh-CN"/>
                    </w:rPr>
                    <w:t xml:space="preserve"> 性炭</w:t>
                  </w:r>
                </w:p>
              </w:tc>
              <w:tc>
                <w:tcPr>
                  <w:tcW w:w="400" w:type="pct"/>
                  <w:tcBorders>
                    <w:right w:val="single" w:color="auto" w:sz="2" w:space="0"/>
                  </w:tcBorders>
                  <w:noWrap w:val="0"/>
                  <w:vAlign w:val="center"/>
                </w:tcPr>
                <w:p w14:paraId="370E87B4">
                  <w:pPr>
                    <w:keepNext w:val="0"/>
                    <w:keepLines w:val="0"/>
                    <w:pageBreakBefore w:val="0"/>
                    <w:kinsoku/>
                    <w:wordWrap/>
                    <w:overflowPunct/>
                    <w:topLinePunct w:val="0"/>
                    <w:autoSpaceDE/>
                    <w:autoSpaceDN/>
                    <w:bidi w:val="0"/>
                    <w:adjustRightInd/>
                    <w:snapToGrid/>
                    <w:spacing w:line="310" w:lineRule="exact"/>
                    <w:jc w:val="center"/>
                    <w:rPr>
                      <w:rFonts w:hint="eastAsia"/>
                      <w:color w:val="auto"/>
                      <w:spacing w:val="0"/>
                      <w:kern w:val="2"/>
                      <w:sz w:val="21"/>
                      <w:szCs w:val="21"/>
                      <w:lang w:val="en-US" w:eastAsia="zh-CN" w:bidi="ar-SA"/>
                    </w:rPr>
                  </w:pPr>
                  <w:r>
                    <w:rPr>
                      <w:rFonts w:hint="eastAsia"/>
                      <w:color w:val="auto"/>
                      <w:spacing w:val="0"/>
                      <w:kern w:val="2"/>
                      <w:sz w:val="21"/>
                      <w:szCs w:val="21"/>
                      <w:lang w:val="en-US" w:eastAsia="zh-CN" w:bidi="ar-SA"/>
                    </w:rPr>
                    <w:t>/</w:t>
                  </w:r>
                </w:p>
              </w:tc>
              <w:tc>
                <w:tcPr>
                  <w:tcW w:w="362" w:type="pct"/>
                  <w:tcBorders>
                    <w:left w:val="single" w:color="auto" w:sz="2" w:space="0"/>
                  </w:tcBorders>
                  <w:noWrap w:val="0"/>
                  <w:vAlign w:val="center"/>
                </w:tcPr>
                <w:p w14:paraId="4EB1BAFB">
                  <w:pPr>
                    <w:keepNext w:val="0"/>
                    <w:keepLines w:val="0"/>
                    <w:pageBreakBefore w:val="0"/>
                    <w:kinsoku/>
                    <w:wordWrap/>
                    <w:overflowPunct/>
                    <w:topLinePunct w:val="0"/>
                    <w:autoSpaceDE/>
                    <w:autoSpaceDN/>
                    <w:bidi w:val="0"/>
                    <w:adjustRightInd/>
                    <w:snapToGrid/>
                    <w:spacing w:line="310" w:lineRule="exact"/>
                    <w:jc w:val="center"/>
                    <w:rPr>
                      <w:rFonts w:hint="eastAsia"/>
                      <w:color w:val="auto"/>
                      <w:spacing w:val="0"/>
                      <w:kern w:val="2"/>
                      <w:sz w:val="21"/>
                      <w:szCs w:val="21"/>
                      <w:lang w:val="en-US" w:eastAsia="zh-CN" w:bidi="ar-SA"/>
                    </w:rPr>
                  </w:pPr>
                  <w:r>
                    <w:rPr>
                      <w:rFonts w:hint="eastAsia"/>
                      <w:color w:val="auto"/>
                      <w:spacing w:val="0"/>
                      <w:kern w:val="2"/>
                      <w:sz w:val="21"/>
                      <w:szCs w:val="21"/>
                      <w:lang w:val="en-US" w:eastAsia="zh-CN" w:bidi="ar-SA"/>
                    </w:rPr>
                    <w:t>/</w:t>
                  </w:r>
                </w:p>
              </w:tc>
              <w:tc>
                <w:tcPr>
                  <w:tcW w:w="345" w:type="pct"/>
                  <w:tcBorders>
                    <w:right w:val="single" w:color="auto" w:sz="2" w:space="0"/>
                  </w:tcBorders>
                  <w:noWrap w:val="0"/>
                  <w:vAlign w:val="center"/>
                </w:tcPr>
                <w:p w14:paraId="294B6662">
                  <w:pPr>
                    <w:spacing w:line="350" w:lineRule="exact"/>
                    <w:jc w:val="center"/>
                    <w:rPr>
                      <w:rFonts w:hint="default" w:cs="Times New Roman"/>
                      <w:color w:val="auto"/>
                      <w:spacing w:val="-11"/>
                      <w:sz w:val="21"/>
                      <w:szCs w:val="21"/>
                      <w:lang w:val="en-US" w:eastAsia="zh-CN"/>
                    </w:rPr>
                  </w:pPr>
                  <w:r>
                    <w:rPr>
                      <w:rFonts w:hint="eastAsia" w:cs="Times New Roman"/>
                      <w:color w:val="auto"/>
                      <w:spacing w:val="-11"/>
                      <w:sz w:val="21"/>
                      <w:szCs w:val="21"/>
                      <w:lang w:val="en-US" w:eastAsia="zh-CN"/>
                    </w:rPr>
                    <w:t>0.231</w:t>
                  </w:r>
                </w:p>
              </w:tc>
              <w:tc>
                <w:tcPr>
                  <w:tcW w:w="345" w:type="pct"/>
                  <w:tcBorders>
                    <w:left w:val="single" w:color="auto" w:sz="2" w:space="0"/>
                    <w:right w:val="single" w:color="auto" w:sz="2" w:space="0"/>
                  </w:tcBorders>
                  <w:noWrap w:val="0"/>
                  <w:vAlign w:val="center"/>
                </w:tcPr>
                <w:p w14:paraId="1A822ABA">
                  <w:pPr>
                    <w:spacing w:line="350" w:lineRule="exact"/>
                    <w:jc w:val="center"/>
                    <w:rPr>
                      <w:rFonts w:hint="default" w:cs="Times New Roman"/>
                      <w:color w:val="auto"/>
                      <w:spacing w:val="-11"/>
                      <w:sz w:val="21"/>
                      <w:szCs w:val="21"/>
                      <w:lang w:val="en-US" w:eastAsia="zh-CN"/>
                    </w:rPr>
                  </w:pPr>
                  <w:r>
                    <w:rPr>
                      <w:rFonts w:hint="eastAsia" w:cs="Times New Roman"/>
                      <w:color w:val="auto"/>
                      <w:spacing w:val="-11"/>
                      <w:sz w:val="21"/>
                      <w:szCs w:val="21"/>
                      <w:lang w:val="en-US" w:eastAsia="zh-CN"/>
                    </w:rPr>
                    <w:t>0.231</w:t>
                  </w:r>
                </w:p>
              </w:tc>
              <w:tc>
                <w:tcPr>
                  <w:tcW w:w="353" w:type="pct"/>
                  <w:tcBorders>
                    <w:left w:val="single" w:color="auto" w:sz="2" w:space="0"/>
                  </w:tcBorders>
                  <w:noWrap w:val="0"/>
                  <w:vAlign w:val="center"/>
                </w:tcPr>
                <w:p w14:paraId="48FC8AF2">
                  <w:pPr>
                    <w:spacing w:line="350" w:lineRule="exact"/>
                    <w:jc w:val="center"/>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w:t>
                  </w:r>
                </w:p>
              </w:tc>
              <w:tc>
                <w:tcPr>
                  <w:tcW w:w="581" w:type="pct"/>
                  <w:noWrap w:val="0"/>
                  <w:vAlign w:val="center"/>
                </w:tcPr>
                <w:p w14:paraId="0AC5C993">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402" w:type="pct"/>
                  <w:noWrap w:val="0"/>
                  <w:vAlign w:val="center"/>
                </w:tcPr>
                <w:p w14:paraId="66EE6D1D">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407" w:type="pct"/>
                  <w:noWrap w:val="0"/>
                  <w:vAlign w:val="center"/>
                </w:tcPr>
                <w:p w14:paraId="4BCECF77">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44" w:type="pct"/>
                  <w:gridSpan w:val="2"/>
                  <w:tcBorders>
                    <w:right w:val="single" w:color="auto" w:sz="2" w:space="0"/>
                  </w:tcBorders>
                  <w:noWrap w:val="0"/>
                  <w:tcMar>
                    <w:left w:w="28" w:type="dxa"/>
                    <w:right w:w="28" w:type="dxa"/>
                  </w:tcMar>
                  <w:vAlign w:val="center"/>
                </w:tcPr>
                <w:p w14:paraId="0F1FCAF9">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26" w:type="pct"/>
                  <w:tcBorders>
                    <w:left w:val="single" w:color="auto" w:sz="2" w:space="0"/>
                  </w:tcBorders>
                  <w:noWrap w:val="0"/>
                  <w:vAlign w:val="center"/>
                </w:tcPr>
                <w:p w14:paraId="19D311C4">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r>
            <w:tr w14:paraId="14C829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3" w:type="pct"/>
                  <w:vMerge w:val="continue"/>
                  <w:tcBorders>
                    <w:bottom w:val="single" w:color="auto" w:sz="12" w:space="0"/>
                  </w:tcBorders>
                  <w:noWrap w:val="0"/>
                  <w:tcMar>
                    <w:left w:w="28" w:type="dxa"/>
                    <w:right w:w="28" w:type="dxa"/>
                  </w:tcMar>
                  <w:vAlign w:val="center"/>
                </w:tcPr>
                <w:p w14:paraId="220954C5">
                  <w:pPr>
                    <w:spacing w:line="350" w:lineRule="exact"/>
                    <w:jc w:val="center"/>
                    <w:rPr>
                      <w:color w:val="auto"/>
                      <w:spacing w:val="0"/>
                      <w:sz w:val="21"/>
                      <w:szCs w:val="21"/>
                    </w:rPr>
                  </w:pPr>
                </w:p>
              </w:tc>
              <w:tc>
                <w:tcPr>
                  <w:tcW w:w="868" w:type="pct"/>
                  <w:gridSpan w:val="2"/>
                  <w:tcBorders>
                    <w:bottom w:val="single" w:color="auto" w:sz="12" w:space="0"/>
                  </w:tcBorders>
                  <w:noWrap w:val="0"/>
                  <w:tcMar>
                    <w:left w:w="28" w:type="dxa"/>
                    <w:right w:w="28" w:type="dxa"/>
                  </w:tcMar>
                  <w:vAlign w:val="center"/>
                </w:tcPr>
                <w:p w14:paraId="5F241BFC">
                  <w:pPr>
                    <w:spacing w:line="350" w:lineRule="exact"/>
                    <w:jc w:val="center"/>
                    <w:rPr>
                      <w:rFonts w:hint="eastAsia" w:eastAsia="宋体"/>
                      <w:bCs/>
                      <w:color w:val="auto"/>
                      <w:spacing w:val="0"/>
                      <w:sz w:val="21"/>
                      <w:szCs w:val="21"/>
                      <w:lang w:val="en-US" w:eastAsia="zh-CN"/>
                    </w:rPr>
                  </w:pPr>
                  <w:r>
                    <w:rPr>
                      <w:rFonts w:hint="eastAsia"/>
                      <w:bCs/>
                      <w:color w:val="auto"/>
                      <w:spacing w:val="0"/>
                      <w:sz w:val="21"/>
                      <w:szCs w:val="21"/>
                      <w:lang w:val="en-US" w:eastAsia="zh-CN"/>
                    </w:rPr>
                    <w:t>生活垃圾</w:t>
                  </w:r>
                </w:p>
              </w:tc>
              <w:tc>
                <w:tcPr>
                  <w:tcW w:w="400" w:type="pct"/>
                  <w:tcBorders>
                    <w:bottom w:val="single" w:color="auto" w:sz="12" w:space="0"/>
                    <w:right w:val="single" w:color="auto" w:sz="2" w:space="0"/>
                  </w:tcBorders>
                  <w:noWrap w:val="0"/>
                  <w:vAlign w:val="center"/>
                </w:tcPr>
                <w:p w14:paraId="177901A7">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sz w:val="21"/>
                      <w:szCs w:val="21"/>
                    </w:rPr>
                  </w:pPr>
                  <w:r>
                    <w:rPr>
                      <w:rFonts w:hint="eastAsia"/>
                      <w:color w:val="auto"/>
                      <w:spacing w:val="0"/>
                      <w:kern w:val="2"/>
                      <w:sz w:val="21"/>
                      <w:szCs w:val="21"/>
                      <w:lang w:val="en-US" w:eastAsia="zh-CN" w:bidi="ar-SA"/>
                    </w:rPr>
                    <w:t>/</w:t>
                  </w:r>
                </w:p>
              </w:tc>
              <w:tc>
                <w:tcPr>
                  <w:tcW w:w="362" w:type="pct"/>
                  <w:tcBorders>
                    <w:left w:val="single" w:color="auto" w:sz="2" w:space="0"/>
                    <w:bottom w:val="single" w:color="auto" w:sz="12" w:space="0"/>
                  </w:tcBorders>
                  <w:noWrap w:val="0"/>
                  <w:vAlign w:val="center"/>
                </w:tcPr>
                <w:p w14:paraId="1137BD42">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345" w:type="pct"/>
                  <w:tcBorders>
                    <w:bottom w:val="single" w:color="auto" w:sz="12" w:space="0"/>
                    <w:right w:val="single" w:color="auto" w:sz="2" w:space="0"/>
                  </w:tcBorders>
                  <w:noWrap w:val="0"/>
                  <w:vAlign w:val="center"/>
                </w:tcPr>
                <w:p w14:paraId="3EA4E2E6">
                  <w:pPr>
                    <w:spacing w:line="350" w:lineRule="exact"/>
                    <w:jc w:val="center"/>
                    <w:rPr>
                      <w:rFonts w:hint="default" w:ascii="Times New Roman" w:hAnsi="Times New Roman" w:eastAsia="宋体"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1.5</w:t>
                  </w:r>
                </w:p>
              </w:tc>
              <w:tc>
                <w:tcPr>
                  <w:tcW w:w="345" w:type="pct"/>
                  <w:tcBorders>
                    <w:left w:val="single" w:color="auto" w:sz="2" w:space="0"/>
                    <w:bottom w:val="single" w:color="auto" w:sz="12" w:space="0"/>
                    <w:right w:val="single" w:color="auto" w:sz="2" w:space="0"/>
                  </w:tcBorders>
                  <w:noWrap w:val="0"/>
                  <w:vAlign w:val="center"/>
                </w:tcPr>
                <w:p w14:paraId="4B85829E">
                  <w:pPr>
                    <w:spacing w:line="350" w:lineRule="exact"/>
                    <w:jc w:val="center"/>
                    <w:rPr>
                      <w:rFonts w:hint="default" w:ascii="Times New Roman" w:hAnsi="Times New Roman" w:eastAsia="宋体" w:cs="Times New Roman"/>
                      <w:color w:val="auto"/>
                      <w:spacing w:val="-11"/>
                      <w:sz w:val="21"/>
                      <w:szCs w:val="21"/>
                      <w:lang w:val="en-US"/>
                    </w:rPr>
                  </w:pPr>
                  <w:r>
                    <w:rPr>
                      <w:rFonts w:hint="eastAsia" w:cs="Times New Roman"/>
                      <w:color w:val="auto"/>
                      <w:spacing w:val="-11"/>
                      <w:kern w:val="2"/>
                      <w:sz w:val="21"/>
                      <w:szCs w:val="21"/>
                      <w:lang w:val="en-US" w:eastAsia="zh-CN" w:bidi="ar-SA"/>
                    </w:rPr>
                    <w:t>1.5</w:t>
                  </w:r>
                </w:p>
              </w:tc>
              <w:tc>
                <w:tcPr>
                  <w:tcW w:w="353" w:type="pct"/>
                  <w:tcBorders>
                    <w:left w:val="single" w:color="auto" w:sz="2" w:space="0"/>
                    <w:bottom w:val="single" w:color="auto" w:sz="12" w:space="0"/>
                  </w:tcBorders>
                  <w:noWrap w:val="0"/>
                  <w:vAlign w:val="center"/>
                </w:tcPr>
                <w:p w14:paraId="7B40CD44">
                  <w:pPr>
                    <w:spacing w:line="350" w:lineRule="exact"/>
                    <w:jc w:val="center"/>
                    <w:rPr>
                      <w:rFonts w:hint="default" w:ascii="Times New Roman" w:hAnsi="Times New Roman" w:eastAsia="宋体"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w:t>
                  </w:r>
                </w:p>
              </w:tc>
              <w:tc>
                <w:tcPr>
                  <w:tcW w:w="581" w:type="pct"/>
                  <w:tcBorders>
                    <w:bottom w:val="single" w:color="auto" w:sz="12" w:space="0"/>
                  </w:tcBorders>
                  <w:noWrap w:val="0"/>
                  <w:vAlign w:val="center"/>
                </w:tcPr>
                <w:p w14:paraId="22CB1974">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color w:val="auto"/>
                      <w:spacing w:val="0"/>
                      <w:kern w:val="2"/>
                      <w:sz w:val="21"/>
                      <w:szCs w:val="21"/>
                      <w:lang w:val="en-US" w:eastAsia="zh-CN" w:bidi="ar-SA"/>
                    </w:rPr>
                    <w:t>/</w:t>
                  </w:r>
                </w:p>
              </w:tc>
              <w:tc>
                <w:tcPr>
                  <w:tcW w:w="402" w:type="pct"/>
                  <w:tcBorders>
                    <w:bottom w:val="single" w:color="auto" w:sz="12" w:space="0"/>
                  </w:tcBorders>
                  <w:noWrap w:val="0"/>
                  <w:vAlign w:val="center"/>
                </w:tcPr>
                <w:p w14:paraId="68670ABE">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407" w:type="pct"/>
                  <w:tcBorders>
                    <w:bottom w:val="single" w:color="auto" w:sz="12" w:space="0"/>
                  </w:tcBorders>
                  <w:noWrap w:val="0"/>
                  <w:vAlign w:val="center"/>
                </w:tcPr>
                <w:p w14:paraId="680C9E9A">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44" w:type="pct"/>
                  <w:gridSpan w:val="2"/>
                  <w:tcBorders>
                    <w:bottom w:val="single" w:color="auto" w:sz="12" w:space="0"/>
                    <w:right w:val="single" w:color="auto" w:sz="2" w:space="0"/>
                  </w:tcBorders>
                  <w:noWrap w:val="0"/>
                  <w:tcMar>
                    <w:left w:w="28" w:type="dxa"/>
                    <w:right w:w="28" w:type="dxa"/>
                  </w:tcMar>
                  <w:vAlign w:val="center"/>
                </w:tcPr>
                <w:p w14:paraId="7CB33251">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326" w:type="pct"/>
                  <w:tcBorders>
                    <w:left w:val="single" w:color="auto" w:sz="2" w:space="0"/>
                    <w:bottom w:val="single" w:color="auto" w:sz="12" w:space="0"/>
                  </w:tcBorders>
                  <w:noWrap w:val="0"/>
                  <w:vAlign w:val="center"/>
                </w:tcPr>
                <w:p w14:paraId="6EF038D7">
                  <w:pPr>
                    <w:spacing w:line="350" w:lineRule="exact"/>
                    <w:jc w:val="center"/>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r>
          </w:tbl>
          <w:p w14:paraId="10904A24">
            <w:pPr>
              <w:pStyle w:val="18"/>
              <w:spacing w:before="0" w:beforeAutospacing="0" w:after="0" w:afterAutospacing="0"/>
              <w:jc w:val="both"/>
              <w:outlineLvl w:val="0"/>
              <w:rPr>
                <w:rFonts w:ascii="Times New Roman" w:hAnsi="Times New Roman"/>
                <w:snapToGrid w:val="0"/>
                <w:color w:val="auto"/>
                <w:sz w:val="24"/>
                <w:szCs w:val="24"/>
                <w:vertAlign w:val="baseline"/>
              </w:rPr>
            </w:pPr>
          </w:p>
        </w:tc>
      </w:tr>
    </w:tbl>
    <w:p w14:paraId="26D6EC19">
      <w:pPr>
        <w:pStyle w:val="18"/>
        <w:spacing w:before="0" w:beforeAutospacing="0" w:after="0" w:afterAutospacing="0"/>
        <w:jc w:val="center"/>
        <w:outlineLvl w:val="0"/>
        <w:rPr>
          <w:rFonts w:ascii="Times New Roman" w:hAnsi="Times New Roman"/>
          <w:snapToGrid w:val="0"/>
          <w:color w:val="auto"/>
          <w:sz w:val="36"/>
          <w:szCs w:val="36"/>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8695"/>
      </w:tblGrid>
      <w:tr w14:paraId="19BD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dxa"/>
            <w:vAlign w:val="center"/>
          </w:tcPr>
          <w:p w14:paraId="6001CA76">
            <w:pPr>
              <w:adjustRightInd w:val="0"/>
              <w:snapToGrid w:val="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总量</w:t>
            </w:r>
          </w:p>
          <w:p w14:paraId="37188D44">
            <w:pPr>
              <w:adjustRightInd w:val="0"/>
              <w:snapToGrid w:val="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控制</w:t>
            </w:r>
          </w:p>
          <w:p w14:paraId="1F0F25AC">
            <w:pPr>
              <w:adjustRightInd w:val="0"/>
              <w:snapToGrid w:val="0"/>
              <w:jc w:val="center"/>
              <w:rPr>
                <w:rFonts w:ascii="Times New Roman" w:hAnsi="Times New Roman"/>
                <w:snapToGrid w:val="0"/>
                <w:color w:val="auto"/>
                <w:sz w:val="24"/>
                <w:szCs w:val="24"/>
                <w:vertAlign w:val="baseline"/>
              </w:rPr>
            </w:pPr>
            <w:r>
              <w:rPr>
                <w:rFonts w:ascii="Times New Roman" w:hAnsi="Times New Roman" w:eastAsia="宋体" w:cs="Times New Roman"/>
                <w:color w:val="auto"/>
                <w:kern w:val="0"/>
                <w:sz w:val="24"/>
                <w:szCs w:val="24"/>
              </w:rPr>
              <w:t>指标</w:t>
            </w:r>
          </w:p>
        </w:tc>
        <w:tc>
          <w:tcPr>
            <w:tcW w:w="8695" w:type="dxa"/>
          </w:tcPr>
          <w:p w14:paraId="4DED44B8">
            <w:pPr>
              <w:spacing w:line="360" w:lineRule="exact"/>
              <w:ind w:firstLine="482" w:firstLineChars="200"/>
              <w:rPr>
                <w:rFonts w:hint="default" w:ascii="Times New Roman" w:hAnsi="Times New Roman"/>
                <w:snapToGrid w:val="0"/>
                <w:color w:val="auto"/>
                <w:sz w:val="24"/>
                <w:szCs w:val="24"/>
                <w:vertAlign w:val="baseline"/>
                <w:lang w:val="en-US" w:eastAsia="zh-CN"/>
              </w:rPr>
            </w:pPr>
            <w:r>
              <w:rPr>
                <w:b/>
                <w:color w:val="auto"/>
                <w:sz w:val="24"/>
                <w:szCs w:val="24"/>
              </w:rPr>
              <w:t>2、总量平衡方案</w:t>
            </w:r>
            <w:r>
              <w:rPr>
                <w:rFonts w:hint="eastAsia"/>
                <w:b/>
                <w:color w:val="auto"/>
                <w:sz w:val="24"/>
                <w:szCs w:val="24"/>
                <w:lang w:val="en-US" w:eastAsia="zh-CN"/>
              </w:rPr>
              <w:t xml:space="preserve">  </w:t>
            </w:r>
            <w:r>
              <w:rPr>
                <w:rFonts w:hint="default" w:ascii="Times New Roman" w:hAnsi="Times New Roman"/>
                <w:snapToGrid w:val="0"/>
                <w:color w:val="auto"/>
                <w:sz w:val="24"/>
                <w:szCs w:val="24"/>
                <w:vertAlign w:val="baseline"/>
                <w:lang w:eastAsia="zh-CN"/>
              </w:rPr>
              <w:t>（</w:t>
            </w:r>
            <w:r>
              <w:rPr>
                <w:rFonts w:hint="default" w:ascii="Times New Roman" w:hAnsi="Times New Roman"/>
                <w:snapToGrid w:val="0"/>
                <w:color w:val="auto"/>
                <w:sz w:val="24"/>
                <w:szCs w:val="24"/>
                <w:vertAlign w:val="baseline"/>
                <w:lang w:val="en-US" w:eastAsia="zh-CN"/>
              </w:rPr>
              <w:t>1</w:t>
            </w:r>
            <w:r>
              <w:rPr>
                <w:rFonts w:hint="default" w:ascii="Times New Roman" w:hAnsi="Times New Roman"/>
                <w:snapToGrid w:val="0"/>
                <w:color w:val="auto"/>
                <w:sz w:val="24"/>
                <w:szCs w:val="24"/>
                <w:vertAlign w:val="baseline"/>
                <w:lang w:eastAsia="zh-CN"/>
              </w:rPr>
              <w:t>）</w:t>
            </w:r>
            <w:r>
              <w:rPr>
                <w:rFonts w:hint="default" w:ascii="Times New Roman" w:hAnsi="Times New Roman"/>
                <w:snapToGrid w:val="0"/>
                <w:color w:val="auto"/>
                <w:sz w:val="24"/>
                <w:szCs w:val="24"/>
                <w:vertAlign w:val="baseline"/>
              </w:rPr>
              <w:t>废项目</w:t>
            </w:r>
            <w:r>
              <w:rPr>
                <w:rFonts w:hint="eastAsia"/>
                <w:snapToGrid w:val="0"/>
                <w:color w:val="auto"/>
                <w:sz w:val="24"/>
                <w:szCs w:val="24"/>
                <w:vertAlign w:val="baseline"/>
                <w:lang w:val="en-US" w:eastAsia="zh-CN"/>
              </w:rPr>
              <w:t>非甲烷总烃无组织</w:t>
            </w:r>
            <w:r>
              <w:rPr>
                <w:rFonts w:hint="default" w:ascii="Times New Roman" w:hAnsi="Times New Roman"/>
                <w:snapToGrid w:val="0"/>
                <w:color w:val="auto"/>
                <w:sz w:val="24"/>
                <w:szCs w:val="24"/>
                <w:vertAlign w:val="baseline"/>
                <w:lang w:val="en-US" w:eastAsia="zh-CN"/>
              </w:rPr>
              <w:t>排放量</w:t>
            </w:r>
            <w:r>
              <w:rPr>
                <w:rFonts w:hint="eastAsia" w:ascii="Times New Roman" w:hAnsi="Times New Roman"/>
                <w:snapToGrid w:val="0"/>
                <w:color w:val="auto"/>
                <w:sz w:val="24"/>
                <w:szCs w:val="24"/>
                <w:vertAlign w:val="baseline"/>
                <w:lang w:val="en-US" w:eastAsia="zh-CN"/>
              </w:rPr>
              <w:t>0.</w:t>
            </w:r>
            <w:r>
              <w:rPr>
                <w:rFonts w:hint="eastAsia"/>
                <w:snapToGrid w:val="0"/>
                <w:color w:val="auto"/>
                <w:sz w:val="24"/>
                <w:szCs w:val="24"/>
                <w:vertAlign w:val="baseline"/>
                <w:lang w:val="en-US" w:eastAsia="zh-CN"/>
              </w:rPr>
              <w:t>008</w:t>
            </w:r>
            <w:r>
              <w:rPr>
                <w:rFonts w:hint="default" w:ascii="Times New Roman" w:hAnsi="Times New Roman"/>
                <w:snapToGrid w:val="0"/>
                <w:color w:val="auto"/>
                <w:sz w:val="24"/>
                <w:szCs w:val="24"/>
                <w:vertAlign w:val="baseline"/>
                <w:lang w:val="en-US" w:eastAsia="zh-CN"/>
              </w:rPr>
              <w:t>t/a</w:t>
            </w:r>
            <w:r>
              <w:rPr>
                <w:rFonts w:hint="eastAsia"/>
                <w:snapToGrid w:val="0"/>
                <w:color w:val="auto"/>
                <w:sz w:val="24"/>
                <w:szCs w:val="24"/>
                <w:vertAlign w:val="baseline"/>
                <w:lang w:val="en-US" w:eastAsia="zh-CN"/>
              </w:rPr>
              <w:t>，氨无排放量0.0001t/a，无组织</w:t>
            </w:r>
            <w:r>
              <w:rPr>
                <w:rFonts w:hint="default" w:ascii="Times New Roman" w:hAnsi="Times New Roman"/>
                <w:snapToGrid w:val="0"/>
                <w:color w:val="auto"/>
                <w:sz w:val="24"/>
                <w:szCs w:val="24"/>
                <w:vertAlign w:val="baseline"/>
              </w:rPr>
              <w:t>在</w:t>
            </w:r>
            <w:r>
              <w:rPr>
                <w:rFonts w:hint="eastAsia" w:ascii="Times New Roman" w:hAnsi="Times New Roman"/>
                <w:snapToGrid w:val="0"/>
                <w:color w:val="auto"/>
                <w:sz w:val="24"/>
                <w:szCs w:val="24"/>
                <w:vertAlign w:val="baseline"/>
                <w:lang w:val="en-US" w:eastAsia="zh-CN"/>
              </w:rPr>
              <w:t>金坛</w:t>
            </w:r>
            <w:r>
              <w:rPr>
                <w:rFonts w:hint="default" w:ascii="Times New Roman" w:hAnsi="Times New Roman"/>
                <w:snapToGrid w:val="0"/>
                <w:color w:val="auto"/>
                <w:sz w:val="24"/>
                <w:szCs w:val="24"/>
                <w:vertAlign w:val="baseline"/>
                <w:lang w:val="en-US" w:eastAsia="zh-CN"/>
              </w:rPr>
              <w:t>区</w:t>
            </w:r>
            <w:r>
              <w:rPr>
                <w:rFonts w:hint="default" w:ascii="Times New Roman" w:hAnsi="Times New Roman"/>
                <w:snapToGrid w:val="0"/>
                <w:color w:val="auto"/>
                <w:sz w:val="24"/>
                <w:szCs w:val="24"/>
                <w:vertAlign w:val="baseline"/>
              </w:rPr>
              <w:t>内平衡；</w:t>
            </w:r>
          </w:p>
          <w:p w14:paraId="446C199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snapToGrid w:val="0"/>
                <w:color w:val="auto"/>
                <w:sz w:val="24"/>
                <w:szCs w:val="24"/>
                <w:vertAlign w:val="baseline"/>
              </w:rPr>
            </w:pPr>
            <w:r>
              <w:rPr>
                <w:rFonts w:hint="default" w:ascii="Times New Roman" w:hAnsi="Times New Roman"/>
                <w:snapToGrid w:val="0"/>
                <w:color w:val="auto"/>
                <w:sz w:val="24"/>
                <w:szCs w:val="24"/>
                <w:vertAlign w:val="baseline"/>
              </w:rPr>
              <w:t>（</w:t>
            </w:r>
            <w:r>
              <w:rPr>
                <w:rFonts w:hint="default" w:ascii="Times New Roman" w:hAnsi="Times New Roman"/>
                <w:snapToGrid w:val="0"/>
                <w:color w:val="auto"/>
                <w:sz w:val="24"/>
                <w:szCs w:val="24"/>
                <w:vertAlign w:val="baseline"/>
                <w:lang w:val="en-US" w:eastAsia="zh-CN"/>
              </w:rPr>
              <w:t>2</w:t>
            </w:r>
            <w:r>
              <w:rPr>
                <w:rFonts w:hint="default" w:ascii="Times New Roman" w:hAnsi="Times New Roman"/>
                <w:snapToGrid w:val="0"/>
                <w:color w:val="auto"/>
                <w:sz w:val="24"/>
                <w:szCs w:val="24"/>
                <w:vertAlign w:val="baseline"/>
              </w:rPr>
              <w:t>）本项目</w:t>
            </w:r>
            <w:r>
              <w:rPr>
                <w:rFonts w:hint="eastAsia" w:ascii="Times New Roman" w:hAnsi="Times New Roman"/>
                <w:snapToGrid w:val="0"/>
                <w:color w:val="auto"/>
                <w:sz w:val="24"/>
                <w:szCs w:val="24"/>
                <w:vertAlign w:val="baseline"/>
                <w:lang w:val="en-US" w:eastAsia="zh-CN"/>
              </w:rPr>
              <w:t>新增</w:t>
            </w:r>
            <w:r>
              <w:rPr>
                <w:rFonts w:hint="default" w:ascii="Times New Roman" w:hAnsi="Times New Roman"/>
                <w:snapToGrid w:val="0"/>
                <w:color w:val="auto"/>
                <w:sz w:val="24"/>
                <w:szCs w:val="24"/>
                <w:vertAlign w:val="baseline"/>
              </w:rPr>
              <w:t>生活污水量为</w:t>
            </w:r>
            <w:r>
              <w:rPr>
                <w:rFonts w:hint="eastAsia"/>
                <w:snapToGrid w:val="0"/>
                <w:color w:val="auto"/>
                <w:sz w:val="24"/>
                <w:szCs w:val="24"/>
                <w:vertAlign w:val="baseline"/>
                <w:lang w:val="en-US" w:eastAsia="zh-CN"/>
              </w:rPr>
              <w:t>240</w:t>
            </w:r>
            <w:r>
              <w:rPr>
                <w:rFonts w:hint="default" w:ascii="Times New Roman" w:hAnsi="Times New Roman"/>
                <w:snapToGrid w:val="0"/>
                <w:color w:val="auto"/>
                <w:sz w:val="24"/>
                <w:szCs w:val="24"/>
                <w:vertAlign w:val="baseline"/>
              </w:rPr>
              <w:t>m</w:t>
            </w:r>
            <w:r>
              <w:rPr>
                <w:rFonts w:hint="default" w:ascii="Times New Roman" w:hAnsi="Times New Roman"/>
                <w:snapToGrid w:val="0"/>
                <w:color w:val="auto"/>
                <w:sz w:val="24"/>
                <w:szCs w:val="24"/>
                <w:vertAlign w:val="superscript"/>
              </w:rPr>
              <w:t>3</w:t>
            </w:r>
            <w:r>
              <w:rPr>
                <w:rFonts w:hint="default" w:ascii="Times New Roman" w:hAnsi="Times New Roman"/>
                <w:snapToGrid w:val="0"/>
                <w:color w:val="auto"/>
                <w:sz w:val="24"/>
                <w:szCs w:val="24"/>
                <w:vertAlign w:val="baseline"/>
              </w:rPr>
              <w:t>/a，接管量COD</w:t>
            </w:r>
            <w:r>
              <w:rPr>
                <w:rFonts w:hint="default" w:ascii="Times New Roman" w:hAnsi="Times New Roman"/>
                <w:snapToGrid w:val="0"/>
                <w:color w:val="auto"/>
                <w:sz w:val="24"/>
                <w:szCs w:val="24"/>
                <w:vertAlign w:val="baseline"/>
                <w:lang w:val="en-US" w:eastAsia="zh-CN"/>
              </w:rPr>
              <w:t xml:space="preserve"> </w:t>
            </w:r>
            <w:r>
              <w:rPr>
                <w:rFonts w:hint="eastAsia"/>
                <w:snapToGrid w:val="0"/>
                <w:color w:val="auto"/>
                <w:sz w:val="24"/>
                <w:szCs w:val="24"/>
                <w:vertAlign w:val="baseline"/>
                <w:lang w:val="en-US" w:eastAsia="zh-CN"/>
              </w:rPr>
              <w:t>0.096</w:t>
            </w:r>
            <w:r>
              <w:rPr>
                <w:rFonts w:hint="default" w:ascii="Times New Roman" w:hAnsi="Times New Roman"/>
                <w:snapToGrid w:val="0"/>
                <w:color w:val="auto"/>
                <w:sz w:val="24"/>
                <w:szCs w:val="24"/>
                <w:vertAlign w:val="baseline"/>
              </w:rPr>
              <w:t>t/a、SS</w:t>
            </w:r>
            <w:r>
              <w:rPr>
                <w:rFonts w:hint="default" w:ascii="Times New Roman" w:hAnsi="Times New Roman"/>
                <w:snapToGrid w:val="0"/>
                <w:color w:val="auto"/>
                <w:sz w:val="24"/>
                <w:szCs w:val="24"/>
                <w:vertAlign w:val="baseline"/>
                <w:lang w:val="en-US" w:eastAsia="zh-CN"/>
              </w:rPr>
              <w:t xml:space="preserve"> </w:t>
            </w:r>
            <w:r>
              <w:rPr>
                <w:rFonts w:hint="eastAsia"/>
                <w:snapToGrid w:val="0"/>
                <w:color w:val="auto"/>
                <w:sz w:val="24"/>
                <w:szCs w:val="24"/>
                <w:vertAlign w:val="baseline"/>
                <w:lang w:val="en-US" w:eastAsia="zh-CN"/>
              </w:rPr>
              <w:t>0.06</w:t>
            </w:r>
            <w:r>
              <w:rPr>
                <w:rFonts w:hint="default" w:ascii="Times New Roman" w:hAnsi="Times New Roman"/>
                <w:snapToGrid w:val="0"/>
                <w:color w:val="auto"/>
                <w:sz w:val="24"/>
                <w:szCs w:val="24"/>
                <w:vertAlign w:val="baseline"/>
              </w:rPr>
              <w:t>t/a、NH3-N</w:t>
            </w:r>
            <w:r>
              <w:rPr>
                <w:rFonts w:hint="default" w:ascii="Times New Roman" w:hAnsi="Times New Roman"/>
                <w:snapToGrid w:val="0"/>
                <w:color w:val="auto"/>
                <w:sz w:val="24"/>
                <w:szCs w:val="24"/>
                <w:vertAlign w:val="baseline"/>
                <w:lang w:val="en-US" w:eastAsia="zh-CN"/>
              </w:rPr>
              <w:t xml:space="preserve"> </w:t>
            </w:r>
            <w:r>
              <w:rPr>
                <w:rFonts w:hint="eastAsia" w:ascii="Times New Roman" w:hAnsi="Times New Roman"/>
                <w:snapToGrid w:val="0"/>
                <w:color w:val="auto"/>
                <w:sz w:val="24"/>
                <w:szCs w:val="24"/>
                <w:vertAlign w:val="baseline"/>
                <w:lang w:val="en-US" w:eastAsia="zh-CN"/>
              </w:rPr>
              <w:t>0.0</w:t>
            </w:r>
            <w:r>
              <w:rPr>
                <w:rFonts w:hint="eastAsia"/>
                <w:snapToGrid w:val="0"/>
                <w:color w:val="auto"/>
                <w:sz w:val="24"/>
                <w:szCs w:val="24"/>
                <w:vertAlign w:val="baseline"/>
                <w:lang w:val="en-US" w:eastAsia="zh-CN"/>
              </w:rPr>
              <w:t>0</w:t>
            </w:r>
            <w:r>
              <w:rPr>
                <w:rFonts w:hint="eastAsia" w:ascii="Times New Roman" w:hAnsi="Times New Roman"/>
                <w:snapToGrid w:val="0"/>
                <w:color w:val="auto"/>
                <w:sz w:val="24"/>
                <w:szCs w:val="24"/>
                <w:vertAlign w:val="baseline"/>
                <w:lang w:val="en-US" w:eastAsia="zh-CN"/>
              </w:rPr>
              <w:t>6</w:t>
            </w:r>
            <w:r>
              <w:rPr>
                <w:rFonts w:hint="default" w:ascii="Times New Roman" w:hAnsi="Times New Roman"/>
                <w:snapToGrid w:val="0"/>
                <w:color w:val="auto"/>
                <w:sz w:val="24"/>
                <w:szCs w:val="24"/>
                <w:vertAlign w:val="baseline"/>
              </w:rPr>
              <w:t>t/a、TP</w:t>
            </w:r>
            <w:r>
              <w:rPr>
                <w:rFonts w:hint="default" w:ascii="Times New Roman" w:hAnsi="Times New Roman"/>
                <w:snapToGrid w:val="0"/>
                <w:color w:val="auto"/>
                <w:sz w:val="24"/>
                <w:szCs w:val="24"/>
                <w:vertAlign w:val="baseline"/>
                <w:lang w:val="en-US" w:eastAsia="zh-CN"/>
              </w:rPr>
              <w:t xml:space="preserve"> 0.00</w:t>
            </w:r>
            <w:r>
              <w:rPr>
                <w:rFonts w:hint="eastAsia"/>
                <w:snapToGrid w:val="0"/>
                <w:color w:val="auto"/>
                <w:sz w:val="24"/>
                <w:szCs w:val="24"/>
                <w:vertAlign w:val="baseline"/>
                <w:lang w:val="en-US" w:eastAsia="zh-CN"/>
              </w:rPr>
              <w:t>072</w:t>
            </w:r>
            <w:r>
              <w:rPr>
                <w:rFonts w:hint="default" w:ascii="Times New Roman" w:hAnsi="Times New Roman"/>
                <w:snapToGrid w:val="0"/>
                <w:color w:val="auto"/>
                <w:sz w:val="24"/>
                <w:szCs w:val="24"/>
                <w:vertAlign w:val="baseline"/>
              </w:rPr>
              <w:t>t/a、TN</w:t>
            </w:r>
            <w:r>
              <w:rPr>
                <w:rFonts w:hint="default" w:ascii="Times New Roman" w:hAnsi="Times New Roman"/>
                <w:snapToGrid w:val="0"/>
                <w:color w:val="auto"/>
                <w:sz w:val="24"/>
                <w:szCs w:val="24"/>
                <w:vertAlign w:val="baseline"/>
                <w:lang w:val="en-US" w:eastAsia="zh-CN"/>
              </w:rPr>
              <w:t xml:space="preserve"> </w:t>
            </w:r>
            <w:r>
              <w:rPr>
                <w:rFonts w:hint="eastAsia" w:ascii="Times New Roman" w:hAnsi="Times New Roman"/>
                <w:snapToGrid w:val="0"/>
                <w:color w:val="auto"/>
                <w:sz w:val="24"/>
                <w:szCs w:val="24"/>
                <w:vertAlign w:val="baseline"/>
                <w:lang w:val="en-US" w:eastAsia="zh-CN"/>
              </w:rPr>
              <w:t>0.</w:t>
            </w:r>
            <w:r>
              <w:rPr>
                <w:rFonts w:hint="eastAsia"/>
                <w:snapToGrid w:val="0"/>
                <w:color w:val="auto"/>
                <w:sz w:val="24"/>
                <w:szCs w:val="24"/>
                <w:vertAlign w:val="baseline"/>
                <w:lang w:val="en-US" w:eastAsia="zh-CN"/>
              </w:rPr>
              <w:t>0096</w:t>
            </w:r>
            <w:r>
              <w:rPr>
                <w:rFonts w:hint="default" w:ascii="Times New Roman" w:hAnsi="Times New Roman"/>
                <w:snapToGrid w:val="0"/>
                <w:color w:val="auto"/>
                <w:sz w:val="24"/>
                <w:szCs w:val="24"/>
                <w:vertAlign w:val="baseline"/>
              </w:rPr>
              <w:t>t/a，</w:t>
            </w:r>
            <w:r>
              <w:rPr>
                <w:rFonts w:hint="default" w:ascii="Times New Roman" w:hAnsi="Times New Roman"/>
                <w:snapToGrid w:val="0"/>
                <w:color w:val="auto"/>
                <w:sz w:val="24"/>
                <w:szCs w:val="24"/>
                <w:vertAlign w:val="baseline"/>
                <w:lang w:val="en-US" w:eastAsia="zh-CN"/>
              </w:rPr>
              <w:t>生活污水进入</w:t>
            </w:r>
            <w:r>
              <w:rPr>
                <w:rFonts w:hint="eastAsia" w:ascii="Times New Roman" w:hAnsi="Times New Roman"/>
                <w:snapToGrid w:val="0"/>
                <w:color w:val="auto"/>
                <w:sz w:val="24"/>
                <w:szCs w:val="24"/>
                <w:vertAlign w:val="baseline"/>
                <w:lang w:val="en-US" w:eastAsia="zh-CN"/>
              </w:rPr>
              <w:t>金坛第二污水处理厂</w:t>
            </w:r>
            <w:r>
              <w:rPr>
                <w:rFonts w:hint="default" w:ascii="Times New Roman" w:hAnsi="Times New Roman"/>
                <w:snapToGrid w:val="0"/>
                <w:color w:val="auto"/>
                <w:sz w:val="24"/>
                <w:szCs w:val="24"/>
                <w:vertAlign w:val="baseline"/>
              </w:rPr>
              <w:t>集中处理，总量在</w:t>
            </w:r>
            <w:r>
              <w:rPr>
                <w:rFonts w:hint="default" w:ascii="Times New Roman" w:hAnsi="Times New Roman"/>
                <w:snapToGrid w:val="0"/>
                <w:color w:val="auto"/>
                <w:sz w:val="24"/>
                <w:szCs w:val="24"/>
                <w:vertAlign w:val="baseline"/>
                <w:lang w:eastAsia="zh-CN"/>
              </w:rPr>
              <w:t>污水处理厂</w:t>
            </w:r>
            <w:r>
              <w:rPr>
                <w:rFonts w:hint="default" w:ascii="Times New Roman" w:hAnsi="Times New Roman"/>
                <w:snapToGrid w:val="0"/>
                <w:color w:val="auto"/>
                <w:sz w:val="24"/>
                <w:szCs w:val="24"/>
                <w:vertAlign w:val="baseline"/>
              </w:rPr>
              <w:t>内平衡；</w:t>
            </w:r>
          </w:p>
          <w:p w14:paraId="40A73E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snapToGrid w:val="0"/>
                <w:color w:val="auto"/>
                <w:sz w:val="24"/>
                <w:szCs w:val="24"/>
                <w:vertAlign w:val="baseline"/>
              </w:rPr>
            </w:pPr>
            <w:r>
              <w:rPr>
                <w:rFonts w:hint="default" w:ascii="Times New Roman" w:hAnsi="Times New Roman"/>
                <w:snapToGrid w:val="0"/>
                <w:color w:val="auto"/>
                <w:sz w:val="24"/>
                <w:szCs w:val="24"/>
                <w:vertAlign w:val="baseline"/>
              </w:rPr>
              <w:t>（</w:t>
            </w:r>
            <w:r>
              <w:rPr>
                <w:rFonts w:hint="default" w:ascii="Times New Roman" w:hAnsi="Times New Roman"/>
                <w:snapToGrid w:val="0"/>
                <w:color w:val="auto"/>
                <w:sz w:val="24"/>
                <w:szCs w:val="24"/>
                <w:vertAlign w:val="baseline"/>
                <w:lang w:val="en-US" w:eastAsia="zh-CN"/>
              </w:rPr>
              <w:t>3</w:t>
            </w:r>
            <w:r>
              <w:rPr>
                <w:rFonts w:hint="default" w:ascii="Times New Roman" w:hAnsi="Times New Roman"/>
                <w:snapToGrid w:val="0"/>
                <w:color w:val="auto"/>
                <w:sz w:val="24"/>
                <w:szCs w:val="24"/>
                <w:vertAlign w:val="baseline"/>
              </w:rPr>
              <w:t>）固体废物总量控制方案：本项目固体废物均得到有效处置，不直接排入外环境，企业不需单独申请总量指标</w:t>
            </w:r>
          </w:p>
          <w:p w14:paraId="4717D72C">
            <w:pPr>
              <w:spacing w:line="360" w:lineRule="exact"/>
              <w:ind w:firstLine="480" w:firstLineChars="200"/>
              <w:rPr>
                <w:rFonts w:ascii="Times New Roman" w:hAnsi="Times New Roman"/>
                <w:snapToGrid w:val="0"/>
                <w:color w:val="auto"/>
                <w:sz w:val="24"/>
                <w:szCs w:val="24"/>
                <w:vertAlign w:val="baseline"/>
              </w:rPr>
            </w:pPr>
          </w:p>
          <w:p w14:paraId="368E2BCE">
            <w:pPr>
              <w:spacing w:line="360" w:lineRule="exact"/>
              <w:ind w:firstLine="480" w:firstLineChars="200"/>
              <w:rPr>
                <w:rFonts w:ascii="Times New Roman" w:hAnsi="Times New Roman"/>
                <w:snapToGrid w:val="0"/>
                <w:color w:val="auto"/>
                <w:sz w:val="24"/>
                <w:szCs w:val="24"/>
                <w:vertAlign w:val="baseline"/>
              </w:rPr>
            </w:pPr>
          </w:p>
          <w:p w14:paraId="64F1888F">
            <w:pPr>
              <w:spacing w:line="360" w:lineRule="exact"/>
              <w:ind w:firstLine="480" w:firstLineChars="200"/>
              <w:rPr>
                <w:rFonts w:ascii="Times New Roman" w:hAnsi="Times New Roman"/>
                <w:snapToGrid w:val="0"/>
                <w:color w:val="auto"/>
                <w:sz w:val="24"/>
                <w:szCs w:val="24"/>
                <w:vertAlign w:val="baseline"/>
              </w:rPr>
            </w:pPr>
          </w:p>
          <w:p w14:paraId="13AF55AD">
            <w:pPr>
              <w:spacing w:line="360" w:lineRule="exact"/>
              <w:ind w:firstLine="480" w:firstLineChars="200"/>
              <w:rPr>
                <w:rFonts w:ascii="Times New Roman" w:hAnsi="Times New Roman"/>
                <w:snapToGrid w:val="0"/>
                <w:color w:val="auto"/>
                <w:sz w:val="24"/>
                <w:szCs w:val="24"/>
                <w:vertAlign w:val="baseline"/>
              </w:rPr>
            </w:pPr>
          </w:p>
          <w:p w14:paraId="22E70149">
            <w:pPr>
              <w:spacing w:line="360" w:lineRule="exact"/>
              <w:ind w:firstLine="480" w:firstLineChars="200"/>
              <w:rPr>
                <w:rFonts w:ascii="Times New Roman" w:hAnsi="Times New Roman"/>
                <w:snapToGrid w:val="0"/>
                <w:color w:val="auto"/>
                <w:sz w:val="24"/>
                <w:szCs w:val="24"/>
                <w:vertAlign w:val="baseline"/>
              </w:rPr>
            </w:pPr>
          </w:p>
          <w:p w14:paraId="29B9C1DC">
            <w:pPr>
              <w:spacing w:line="360" w:lineRule="exact"/>
              <w:ind w:firstLine="480" w:firstLineChars="200"/>
              <w:rPr>
                <w:rFonts w:ascii="Times New Roman" w:hAnsi="Times New Roman"/>
                <w:snapToGrid w:val="0"/>
                <w:color w:val="auto"/>
                <w:sz w:val="24"/>
                <w:szCs w:val="24"/>
                <w:vertAlign w:val="baseline"/>
              </w:rPr>
            </w:pPr>
          </w:p>
          <w:p w14:paraId="2B7A956C">
            <w:pPr>
              <w:spacing w:line="360" w:lineRule="exact"/>
              <w:ind w:firstLine="480" w:firstLineChars="200"/>
              <w:rPr>
                <w:rFonts w:ascii="Times New Roman" w:hAnsi="Times New Roman"/>
                <w:snapToGrid w:val="0"/>
                <w:color w:val="auto"/>
                <w:sz w:val="24"/>
                <w:szCs w:val="24"/>
                <w:vertAlign w:val="baseline"/>
              </w:rPr>
            </w:pPr>
          </w:p>
          <w:p w14:paraId="612692D6">
            <w:pPr>
              <w:spacing w:line="360" w:lineRule="exact"/>
              <w:ind w:firstLine="480" w:firstLineChars="200"/>
              <w:rPr>
                <w:rFonts w:ascii="Times New Roman" w:hAnsi="Times New Roman"/>
                <w:snapToGrid w:val="0"/>
                <w:color w:val="auto"/>
                <w:sz w:val="24"/>
                <w:szCs w:val="24"/>
                <w:vertAlign w:val="baseline"/>
              </w:rPr>
            </w:pPr>
          </w:p>
          <w:p w14:paraId="33ABABB0">
            <w:pPr>
              <w:spacing w:line="360" w:lineRule="exact"/>
              <w:ind w:firstLine="480" w:firstLineChars="200"/>
              <w:rPr>
                <w:rFonts w:ascii="Times New Roman" w:hAnsi="Times New Roman"/>
                <w:snapToGrid w:val="0"/>
                <w:color w:val="auto"/>
                <w:sz w:val="24"/>
                <w:szCs w:val="24"/>
                <w:vertAlign w:val="baseline"/>
              </w:rPr>
            </w:pPr>
          </w:p>
          <w:p w14:paraId="651091E6">
            <w:pPr>
              <w:spacing w:line="360" w:lineRule="exact"/>
              <w:ind w:firstLine="480" w:firstLineChars="200"/>
              <w:rPr>
                <w:rFonts w:ascii="Times New Roman" w:hAnsi="Times New Roman"/>
                <w:snapToGrid w:val="0"/>
                <w:color w:val="auto"/>
                <w:sz w:val="24"/>
                <w:szCs w:val="24"/>
                <w:vertAlign w:val="baseline"/>
              </w:rPr>
            </w:pPr>
          </w:p>
          <w:p w14:paraId="5D143AEC">
            <w:pPr>
              <w:spacing w:line="360" w:lineRule="exact"/>
              <w:ind w:firstLine="480" w:firstLineChars="200"/>
              <w:rPr>
                <w:rFonts w:ascii="Times New Roman" w:hAnsi="Times New Roman"/>
                <w:snapToGrid w:val="0"/>
                <w:color w:val="auto"/>
                <w:sz w:val="24"/>
                <w:szCs w:val="24"/>
                <w:vertAlign w:val="baseline"/>
              </w:rPr>
            </w:pPr>
          </w:p>
          <w:p w14:paraId="36D27BCB">
            <w:pPr>
              <w:spacing w:line="360" w:lineRule="exact"/>
              <w:ind w:firstLine="480" w:firstLineChars="200"/>
              <w:rPr>
                <w:rFonts w:ascii="Times New Roman" w:hAnsi="Times New Roman"/>
                <w:snapToGrid w:val="0"/>
                <w:color w:val="auto"/>
                <w:sz w:val="24"/>
                <w:szCs w:val="24"/>
                <w:vertAlign w:val="baseline"/>
              </w:rPr>
            </w:pPr>
          </w:p>
          <w:p w14:paraId="10077056">
            <w:pPr>
              <w:spacing w:line="360" w:lineRule="exact"/>
              <w:ind w:firstLine="480" w:firstLineChars="200"/>
              <w:rPr>
                <w:rFonts w:ascii="Times New Roman" w:hAnsi="Times New Roman"/>
                <w:snapToGrid w:val="0"/>
                <w:color w:val="auto"/>
                <w:sz w:val="24"/>
                <w:szCs w:val="24"/>
                <w:vertAlign w:val="baseline"/>
              </w:rPr>
            </w:pPr>
          </w:p>
          <w:p w14:paraId="4A0FF274">
            <w:pPr>
              <w:spacing w:line="360" w:lineRule="exact"/>
              <w:ind w:firstLine="480" w:firstLineChars="200"/>
              <w:rPr>
                <w:rFonts w:ascii="Times New Roman" w:hAnsi="Times New Roman"/>
                <w:snapToGrid w:val="0"/>
                <w:color w:val="auto"/>
                <w:sz w:val="24"/>
                <w:szCs w:val="24"/>
                <w:vertAlign w:val="baseline"/>
              </w:rPr>
            </w:pPr>
          </w:p>
          <w:p w14:paraId="6766E6F4">
            <w:pPr>
              <w:spacing w:line="360" w:lineRule="exact"/>
              <w:ind w:firstLine="480" w:firstLineChars="200"/>
              <w:rPr>
                <w:rFonts w:ascii="Times New Roman" w:hAnsi="Times New Roman"/>
                <w:snapToGrid w:val="0"/>
                <w:color w:val="auto"/>
                <w:sz w:val="24"/>
                <w:szCs w:val="24"/>
                <w:vertAlign w:val="baseline"/>
              </w:rPr>
            </w:pPr>
          </w:p>
          <w:p w14:paraId="1BF557CF">
            <w:pPr>
              <w:spacing w:line="360" w:lineRule="exact"/>
              <w:ind w:firstLine="480" w:firstLineChars="200"/>
              <w:rPr>
                <w:rFonts w:ascii="Times New Roman" w:hAnsi="Times New Roman"/>
                <w:snapToGrid w:val="0"/>
                <w:color w:val="auto"/>
                <w:sz w:val="24"/>
                <w:szCs w:val="24"/>
                <w:vertAlign w:val="baseline"/>
              </w:rPr>
            </w:pPr>
          </w:p>
          <w:p w14:paraId="1174BD0B">
            <w:pPr>
              <w:spacing w:line="360" w:lineRule="exact"/>
              <w:ind w:firstLine="480" w:firstLineChars="200"/>
              <w:rPr>
                <w:rFonts w:ascii="Times New Roman" w:hAnsi="Times New Roman"/>
                <w:snapToGrid w:val="0"/>
                <w:color w:val="auto"/>
                <w:sz w:val="24"/>
                <w:szCs w:val="24"/>
                <w:vertAlign w:val="baseline"/>
              </w:rPr>
            </w:pPr>
          </w:p>
          <w:p w14:paraId="11FE04C0">
            <w:pPr>
              <w:spacing w:line="360" w:lineRule="exact"/>
              <w:ind w:firstLine="480" w:firstLineChars="200"/>
              <w:rPr>
                <w:rFonts w:ascii="Times New Roman" w:hAnsi="Times New Roman"/>
                <w:snapToGrid w:val="0"/>
                <w:color w:val="auto"/>
                <w:sz w:val="24"/>
                <w:szCs w:val="24"/>
                <w:vertAlign w:val="baseline"/>
              </w:rPr>
            </w:pPr>
          </w:p>
          <w:p w14:paraId="4E06EF03">
            <w:pPr>
              <w:spacing w:line="360" w:lineRule="exact"/>
              <w:ind w:firstLine="480" w:firstLineChars="200"/>
              <w:rPr>
                <w:rFonts w:ascii="Times New Roman" w:hAnsi="Times New Roman"/>
                <w:snapToGrid w:val="0"/>
                <w:color w:val="auto"/>
                <w:sz w:val="24"/>
                <w:szCs w:val="24"/>
                <w:vertAlign w:val="baseline"/>
              </w:rPr>
            </w:pPr>
          </w:p>
          <w:p w14:paraId="4D5965E0">
            <w:pPr>
              <w:spacing w:line="360" w:lineRule="exact"/>
              <w:ind w:firstLine="480" w:firstLineChars="200"/>
              <w:rPr>
                <w:rFonts w:ascii="Times New Roman" w:hAnsi="Times New Roman"/>
                <w:snapToGrid w:val="0"/>
                <w:color w:val="auto"/>
                <w:sz w:val="24"/>
                <w:szCs w:val="24"/>
                <w:vertAlign w:val="baseline"/>
              </w:rPr>
            </w:pPr>
          </w:p>
          <w:p w14:paraId="686A03FE">
            <w:pPr>
              <w:spacing w:line="360" w:lineRule="exact"/>
              <w:ind w:firstLine="480" w:firstLineChars="200"/>
              <w:rPr>
                <w:rFonts w:ascii="Times New Roman" w:hAnsi="Times New Roman"/>
                <w:snapToGrid w:val="0"/>
                <w:color w:val="auto"/>
                <w:sz w:val="24"/>
                <w:szCs w:val="24"/>
                <w:vertAlign w:val="baseline"/>
              </w:rPr>
            </w:pPr>
          </w:p>
          <w:p w14:paraId="2BDB6003">
            <w:pPr>
              <w:spacing w:line="360" w:lineRule="exact"/>
              <w:ind w:firstLine="480" w:firstLineChars="200"/>
              <w:rPr>
                <w:rFonts w:ascii="Times New Roman" w:hAnsi="Times New Roman"/>
                <w:snapToGrid w:val="0"/>
                <w:color w:val="auto"/>
                <w:sz w:val="24"/>
                <w:szCs w:val="24"/>
                <w:vertAlign w:val="baseline"/>
              </w:rPr>
            </w:pPr>
          </w:p>
          <w:p w14:paraId="3B3F5A22">
            <w:pPr>
              <w:spacing w:line="360" w:lineRule="exact"/>
              <w:ind w:firstLine="480" w:firstLineChars="200"/>
              <w:rPr>
                <w:rFonts w:ascii="Times New Roman" w:hAnsi="Times New Roman"/>
                <w:snapToGrid w:val="0"/>
                <w:color w:val="auto"/>
                <w:sz w:val="24"/>
                <w:szCs w:val="24"/>
                <w:vertAlign w:val="baseline"/>
              </w:rPr>
            </w:pPr>
          </w:p>
          <w:p w14:paraId="531CF18F">
            <w:pPr>
              <w:spacing w:line="360" w:lineRule="exact"/>
              <w:ind w:firstLine="480" w:firstLineChars="200"/>
              <w:rPr>
                <w:rFonts w:ascii="Times New Roman" w:hAnsi="Times New Roman"/>
                <w:snapToGrid w:val="0"/>
                <w:color w:val="auto"/>
                <w:sz w:val="24"/>
                <w:szCs w:val="24"/>
                <w:vertAlign w:val="baseline"/>
              </w:rPr>
            </w:pPr>
          </w:p>
          <w:p w14:paraId="24C07975">
            <w:pPr>
              <w:spacing w:line="360" w:lineRule="exact"/>
              <w:rPr>
                <w:rFonts w:ascii="Times New Roman" w:hAnsi="Times New Roman"/>
                <w:snapToGrid w:val="0"/>
                <w:color w:val="auto"/>
                <w:sz w:val="24"/>
                <w:szCs w:val="24"/>
                <w:vertAlign w:val="baseline"/>
              </w:rPr>
            </w:pPr>
          </w:p>
        </w:tc>
      </w:tr>
    </w:tbl>
    <w:p w14:paraId="2BCDBDAC">
      <w:pPr>
        <w:pStyle w:val="18"/>
        <w:spacing w:before="0" w:beforeAutospacing="0" w:after="0" w:afterAutospacing="0"/>
        <w:jc w:val="both"/>
        <w:outlineLvl w:val="0"/>
        <w:rPr>
          <w:rFonts w:ascii="Times New Roman" w:hAnsi="Times New Roman"/>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9CA9D84">
      <w:pPr>
        <w:pStyle w:val="18"/>
        <w:spacing w:before="0" w:beforeAutospacing="0" w:after="0" w:afterAutospacing="0"/>
        <w:jc w:val="center"/>
        <w:outlineLvl w:val="0"/>
        <w:rPr>
          <w:rFonts w:ascii="Times New Roman" w:hAnsi="Times New Roman"/>
          <w:snapToGrid w:val="0"/>
          <w:color w:val="auto"/>
          <w:sz w:val="30"/>
          <w:szCs w:val="30"/>
        </w:rPr>
      </w:pPr>
      <w:r>
        <w:rPr>
          <w:rFonts w:ascii="Times New Roman" w:hAnsi="Times New Roman" w:eastAsia="黑体"/>
          <w:snapToGrid w:val="0"/>
          <w:color w:val="auto"/>
          <w:sz w:val="30"/>
          <w:szCs w:val="30"/>
        </w:rPr>
        <w:t>四、主要环境影响和保护措施</w:t>
      </w:r>
    </w:p>
    <w:tbl>
      <w:tblPr>
        <w:tblStyle w:val="22"/>
        <w:tblW w:w="95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9066"/>
      </w:tblGrid>
      <w:tr w14:paraId="73487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549" w:type="dxa"/>
            <w:noWrap w:val="0"/>
            <w:tcMar>
              <w:left w:w="28" w:type="dxa"/>
              <w:right w:w="28" w:type="dxa"/>
            </w:tcMar>
            <w:vAlign w:val="center"/>
          </w:tcPr>
          <w:p w14:paraId="7E409CBA">
            <w:pPr>
              <w:pStyle w:val="18"/>
              <w:adjustRightInd w:val="0"/>
              <w:snapToGrid w:val="0"/>
              <w:spacing w:before="0" w:beforeAutospacing="0" w:after="0" w:afterAutospacing="0"/>
              <w:jc w:val="center"/>
              <w:rPr>
                <w:rFonts w:ascii="Times New Roman" w:hAnsi="Times New Roman"/>
                <w:bCs/>
                <w:color w:val="auto"/>
                <w:kern w:val="2"/>
                <w:sz w:val="24"/>
                <w:szCs w:val="24"/>
                <w:lang w:val="en-US" w:eastAsia="zh-CN"/>
              </w:rPr>
            </w:pPr>
            <w:r>
              <w:rPr>
                <w:rFonts w:ascii="Times New Roman" w:hAnsi="Times New Roman"/>
                <w:color w:val="auto"/>
                <w:kern w:val="2"/>
                <w:sz w:val="24"/>
                <w:szCs w:val="24"/>
                <w:lang w:val="en-US" w:eastAsia="zh-CN"/>
              </w:rPr>
              <w:t>施工期环境保护措施</w:t>
            </w:r>
          </w:p>
        </w:tc>
        <w:tc>
          <w:tcPr>
            <w:tcW w:w="9017" w:type="dxa"/>
            <w:noWrap w:val="0"/>
            <w:vAlign w:val="center"/>
          </w:tcPr>
          <w:p w14:paraId="2C62AA96">
            <w:pPr>
              <w:keepNext w:val="0"/>
              <w:keepLines w:val="0"/>
              <w:pageBreakBefore w:val="0"/>
              <w:widowControl w:val="0"/>
              <w:tabs>
                <w:tab w:val="left" w:pos="2160"/>
              </w:tabs>
              <w:kinsoku/>
              <w:wordWrap/>
              <w:overflowPunct/>
              <w:topLinePunct w:val="0"/>
              <w:autoSpaceDE/>
              <w:autoSpaceDN/>
              <w:bidi w:val="0"/>
              <w:adjustRightInd/>
              <w:snapToGrid/>
              <w:spacing w:line="480" w:lineRule="exact"/>
              <w:ind w:firstLine="480" w:firstLineChars="200"/>
              <w:textAlignment w:val="auto"/>
              <w:rPr>
                <w:bCs/>
                <w:color w:val="auto"/>
                <w:spacing w:val="-10"/>
                <w:sz w:val="24"/>
                <w:szCs w:val="24"/>
              </w:rPr>
            </w:pPr>
            <w:r>
              <w:rPr>
                <w:bCs/>
                <w:color w:val="auto"/>
                <w:sz w:val="24"/>
                <w:szCs w:val="24"/>
              </w:rPr>
              <w:t>本项目</w:t>
            </w:r>
            <w:r>
              <w:rPr>
                <w:rFonts w:hint="eastAsia"/>
                <w:color w:val="auto"/>
                <w:sz w:val="24"/>
                <w:szCs w:val="24"/>
              </w:rPr>
              <w:t>利用现有厂房</w:t>
            </w:r>
            <w:r>
              <w:rPr>
                <w:bCs/>
                <w:color w:val="auto"/>
                <w:sz w:val="24"/>
                <w:szCs w:val="24"/>
              </w:rPr>
              <w:t>进行生产建设，主要进行设备安装、调试，因此该项目建设期对环境产生的影响不明显。</w:t>
            </w:r>
          </w:p>
        </w:tc>
      </w:tr>
      <w:tr w14:paraId="2507F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49" w:type="dxa"/>
            <w:noWrap w:val="0"/>
            <w:tcMar>
              <w:left w:w="28" w:type="dxa"/>
              <w:right w:w="28" w:type="dxa"/>
            </w:tcMar>
            <w:vAlign w:val="center"/>
          </w:tcPr>
          <w:p w14:paraId="2EEB3799">
            <w:pPr>
              <w:adjustRightInd w:val="0"/>
              <w:snapToGrid w:val="0"/>
              <w:jc w:val="center"/>
              <w:rPr>
                <w:bCs/>
                <w:color w:val="auto"/>
                <w:sz w:val="24"/>
                <w:szCs w:val="24"/>
              </w:rPr>
            </w:pPr>
            <w:r>
              <w:rPr>
                <w:bCs/>
                <w:color w:val="auto"/>
                <w:sz w:val="24"/>
                <w:szCs w:val="24"/>
              </w:rPr>
              <w:t>运营</w:t>
            </w:r>
          </w:p>
          <w:p w14:paraId="5872EB7C">
            <w:pPr>
              <w:adjustRightInd w:val="0"/>
              <w:snapToGrid w:val="0"/>
              <w:jc w:val="center"/>
              <w:rPr>
                <w:bCs/>
                <w:color w:val="auto"/>
                <w:sz w:val="24"/>
                <w:szCs w:val="24"/>
              </w:rPr>
            </w:pPr>
            <w:r>
              <w:rPr>
                <w:bCs/>
                <w:color w:val="auto"/>
                <w:sz w:val="24"/>
                <w:szCs w:val="24"/>
              </w:rPr>
              <w:t>期环</w:t>
            </w:r>
          </w:p>
          <w:p w14:paraId="6E00323A">
            <w:pPr>
              <w:adjustRightInd w:val="0"/>
              <w:snapToGrid w:val="0"/>
              <w:jc w:val="center"/>
              <w:rPr>
                <w:bCs/>
                <w:color w:val="auto"/>
                <w:sz w:val="24"/>
                <w:szCs w:val="24"/>
              </w:rPr>
            </w:pPr>
            <w:r>
              <w:rPr>
                <w:bCs/>
                <w:color w:val="auto"/>
                <w:sz w:val="24"/>
                <w:szCs w:val="24"/>
              </w:rPr>
              <w:t>境影</w:t>
            </w:r>
          </w:p>
          <w:p w14:paraId="6DB7F245">
            <w:pPr>
              <w:adjustRightInd w:val="0"/>
              <w:snapToGrid w:val="0"/>
              <w:jc w:val="center"/>
              <w:rPr>
                <w:bCs/>
                <w:color w:val="auto"/>
                <w:sz w:val="24"/>
                <w:szCs w:val="24"/>
              </w:rPr>
            </w:pPr>
            <w:r>
              <w:rPr>
                <w:bCs/>
                <w:color w:val="auto"/>
                <w:sz w:val="24"/>
                <w:szCs w:val="24"/>
              </w:rPr>
              <w:t>响和</w:t>
            </w:r>
          </w:p>
          <w:p w14:paraId="5F9B42E0">
            <w:pPr>
              <w:adjustRightInd w:val="0"/>
              <w:snapToGrid w:val="0"/>
              <w:jc w:val="center"/>
              <w:rPr>
                <w:bCs/>
                <w:color w:val="auto"/>
                <w:sz w:val="24"/>
                <w:szCs w:val="24"/>
              </w:rPr>
            </w:pPr>
            <w:r>
              <w:rPr>
                <w:bCs/>
                <w:color w:val="auto"/>
                <w:sz w:val="24"/>
                <w:szCs w:val="24"/>
              </w:rPr>
              <w:t>保护</w:t>
            </w:r>
          </w:p>
          <w:p w14:paraId="0D6E2EB2">
            <w:pPr>
              <w:adjustRightInd w:val="0"/>
              <w:snapToGrid w:val="0"/>
              <w:jc w:val="center"/>
              <w:rPr>
                <w:bCs/>
                <w:color w:val="auto"/>
                <w:sz w:val="24"/>
                <w:szCs w:val="24"/>
              </w:rPr>
            </w:pPr>
            <w:r>
              <w:rPr>
                <w:bCs/>
                <w:color w:val="auto"/>
                <w:sz w:val="24"/>
                <w:szCs w:val="24"/>
              </w:rPr>
              <w:t>措施</w:t>
            </w:r>
          </w:p>
        </w:tc>
        <w:tc>
          <w:tcPr>
            <w:tcW w:w="9017" w:type="dxa"/>
            <w:noWrap w:val="0"/>
            <w:vAlign w:val="center"/>
          </w:tcPr>
          <w:p w14:paraId="3568AF02">
            <w:pPr>
              <w:keepNext w:val="0"/>
              <w:keepLines w:val="0"/>
              <w:pageBreakBefore w:val="0"/>
              <w:widowControl w:val="0"/>
              <w:kinsoku/>
              <w:wordWrap/>
              <w:overflowPunct/>
              <w:topLinePunct w:val="0"/>
              <w:autoSpaceDE/>
              <w:autoSpaceDN/>
              <w:bidi w:val="0"/>
              <w:adjustRightInd/>
              <w:snapToGrid/>
              <w:spacing w:line="480" w:lineRule="exact"/>
              <w:ind w:right="0" w:firstLine="466" w:firstLineChars="200"/>
              <w:textAlignment w:val="auto"/>
              <w:rPr>
                <w:rFonts w:hint="default" w:cs="Times New Roman"/>
                <w:color w:val="auto"/>
                <w:spacing w:val="-2"/>
                <w:sz w:val="24"/>
                <w:szCs w:val="24"/>
                <w:lang w:val="en-US" w:eastAsia="zh-CN"/>
              </w:rPr>
            </w:pPr>
            <w:r>
              <w:rPr>
                <w:b/>
                <w:bCs/>
                <w:color w:val="auto"/>
                <w:spacing w:val="-4"/>
                <w:sz w:val="24"/>
                <w:szCs w:val="24"/>
              </w:rPr>
              <w:t>1、废气</w:t>
            </w:r>
          </w:p>
          <w:p w14:paraId="4A9BEDA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textAlignment w:val="auto"/>
              <w:rPr>
                <w:rFonts w:hint="default" w:ascii="Times New Roman" w:hAnsi="Times New Roman" w:eastAsia="宋体" w:cs="Times New Roman"/>
                <w:color w:val="auto"/>
                <w:spacing w:val="-2"/>
                <w:sz w:val="24"/>
                <w:szCs w:val="24"/>
                <w:lang w:val="en-US" w:eastAsia="zh-CN"/>
              </w:rPr>
            </w:pPr>
            <w:r>
              <w:rPr>
                <w:rFonts w:hint="default" w:ascii="宋体" w:hAnsi="宋体" w:eastAsia="宋体" w:cs="宋体"/>
                <w:color w:val="auto"/>
                <w:kern w:val="0"/>
                <w:sz w:val="24"/>
                <w:szCs w:val="24"/>
                <w:lang w:val="en-US" w:eastAsia="zh-CN" w:bidi="ar-SA"/>
              </w:rPr>
              <w:t>①</w:t>
            </w:r>
            <w:r>
              <w:rPr>
                <w:rFonts w:hint="default" w:ascii="Times New Roman" w:hAnsi="Times New Roman" w:eastAsia="宋体" w:cs="Times New Roman"/>
                <w:color w:val="auto"/>
                <w:spacing w:val="-2"/>
                <w:sz w:val="24"/>
                <w:szCs w:val="24"/>
                <w:lang w:val="en-US" w:eastAsia="zh-CN"/>
              </w:rPr>
              <w:t>非甲烷总烃</w:t>
            </w:r>
          </w:p>
          <w:p w14:paraId="3DC8587A">
            <w:pPr>
              <w:keepNext w:val="0"/>
              <w:keepLines w:val="0"/>
              <w:pageBreakBefore w:val="0"/>
              <w:widowControl w:val="0"/>
              <w:kinsoku/>
              <w:wordWrap/>
              <w:overflowPunct/>
              <w:topLinePunct w:val="0"/>
              <w:autoSpaceDE/>
              <w:autoSpaceDN/>
              <w:bidi w:val="0"/>
              <w:adjustRightInd/>
              <w:snapToGrid/>
              <w:spacing w:line="480" w:lineRule="exact"/>
              <w:ind w:right="0" w:firstLine="472" w:firstLineChars="200"/>
              <w:textAlignment w:val="auto"/>
              <w:rPr>
                <w:rFonts w:hint="default" w:ascii="Times New Roman" w:hAnsi="Times New Roman" w:cs="Times New Roman"/>
                <w:color w:val="auto"/>
                <w:spacing w:val="-2"/>
                <w:sz w:val="24"/>
                <w:szCs w:val="24"/>
                <w:lang w:val="en-US" w:eastAsia="zh-CN"/>
              </w:rPr>
            </w:pPr>
            <w:r>
              <w:rPr>
                <w:rFonts w:hint="default" w:ascii="Times New Roman" w:hAnsi="Times New Roman" w:cs="Times New Roman"/>
                <w:color w:val="auto"/>
                <w:spacing w:val="-2"/>
                <w:sz w:val="24"/>
                <w:szCs w:val="24"/>
                <w:lang w:val="en-US" w:eastAsia="zh-CN"/>
              </w:rPr>
              <w:t>本项目产生的非甲烷总烃主要是使用</w:t>
            </w:r>
            <w:r>
              <w:rPr>
                <w:rFonts w:hint="eastAsia" w:cs="Times New Roman"/>
                <w:color w:val="auto"/>
                <w:spacing w:val="-2"/>
                <w:sz w:val="24"/>
                <w:szCs w:val="24"/>
                <w:lang w:val="en-US" w:eastAsia="zh-CN"/>
              </w:rPr>
              <w:t>乙醇</w:t>
            </w:r>
            <w:r>
              <w:rPr>
                <w:rFonts w:hint="default" w:ascii="Times New Roman" w:hAnsi="Times New Roman" w:cs="Times New Roman"/>
                <w:color w:val="auto"/>
                <w:spacing w:val="-2"/>
                <w:sz w:val="24"/>
                <w:szCs w:val="24"/>
                <w:lang w:val="en-US" w:eastAsia="zh-CN"/>
              </w:rPr>
              <w:t>用于手部消毒以及实验室台面消毒产生的非甲烷总烃，乙醇使用量为</w:t>
            </w:r>
            <w:r>
              <w:rPr>
                <w:rFonts w:hint="eastAsia" w:cs="Times New Roman"/>
                <w:color w:val="auto"/>
                <w:spacing w:val="-2"/>
                <w:sz w:val="24"/>
                <w:szCs w:val="24"/>
                <w:lang w:val="en-US" w:eastAsia="zh-CN"/>
              </w:rPr>
              <w:t>5</w:t>
            </w:r>
            <w:r>
              <w:rPr>
                <w:rFonts w:hint="default" w:ascii="Times New Roman" w:hAnsi="Times New Roman" w:cs="Times New Roman"/>
                <w:color w:val="auto"/>
                <w:spacing w:val="-2"/>
                <w:sz w:val="24"/>
                <w:szCs w:val="24"/>
                <w:lang w:val="en-US" w:eastAsia="zh-CN"/>
              </w:rPr>
              <w:t>0L，其密度为0.789g/cm</w:t>
            </w:r>
            <w:r>
              <w:rPr>
                <w:rFonts w:hint="default" w:ascii="Times New Roman" w:hAnsi="Times New Roman" w:cs="Times New Roman"/>
                <w:color w:val="auto"/>
                <w:spacing w:val="-2"/>
                <w:sz w:val="24"/>
                <w:szCs w:val="24"/>
                <w:vertAlign w:val="superscript"/>
                <w:lang w:val="en-US" w:eastAsia="zh-CN"/>
              </w:rPr>
              <w:t>3</w:t>
            </w:r>
            <w:r>
              <w:rPr>
                <w:rFonts w:hint="default" w:ascii="Times New Roman" w:hAnsi="Times New Roman" w:cs="Times New Roman"/>
                <w:color w:val="auto"/>
                <w:spacing w:val="-2"/>
                <w:sz w:val="24"/>
                <w:szCs w:val="24"/>
                <w:lang w:val="en-US" w:eastAsia="zh-CN"/>
              </w:rPr>
              <w:t>，乙醇使用量为0.</w:t>
            </w:r>
            <w:r>
              <w:rPr>
                <w:rFonts w:hint="eastAsia" w:cs="Times New Roman"/>
                <w:color w:val="auto"/>
                <w:spacing w:val="-2"/>
                <w:sz w:val="24"/>
                <w:szCs w:val="24"/>
                <w:lang w:val="en-US" w:eastAsia="zh-CN"/>
              </w:rPr>
              <w:t>039</w:t>
            </w:r>
            <w:r>
              <w:rPr>
                <w:rFonts w:hint="default" w:ascii="Times New Roman" w:hAnsi="Times New Roman" w:cs="Times New Roman"/>
                <w:color w:val="auto"/>
                <w:spacing w:val="-2"/>
                <w:sz w:val="24"/>
                <w:szCs w:val="24"/>
                <w:lang w:val="en-US" w:eastAsia="zh-CN"/>
              </w:rPr>
              <w:t>t/a，</w:t>
            </w:r>
            <w:r>
              <w:rPr>
                <w:rFonts w:hint="eastAsia" w:cs="Times New Roman"/>
                <w:color w:val="auto"/>
                <w:spacing w:val="-2"/>
                <w:sz w:val="24"/>
                <w:szCs w:val="24"/>
                <w:lang w:val="en-US" w:eastAsia="zh-CN"/>
              </w:rPr>
              <w:t>以完全会发考虑，</w:t>
            </w:r>
            <w:r>
              <w:rPr>
                <w:rFonts w:hint="default" w:ascii="Times New Roman" w:hAnsi="Times New Roman" w:cs="Times New Roman"/>
                <w:color w:val="auto"/>
                <w:spacing w:val="-2"/>
                <w:sz w:val="24"/>
                <w:szCs w:val="24"/>
                <w:lang w:val="en-US" w:eastAsia="zh-CN"/>
              </w:rPr>
              <w:t>则挥发量为0.0</w:t>
            </w:r>
            <w:r>
              <w:rPr>
                <w:rFonts w:hint="eastAsia" w:cs="Times New Roman"/>
                <w:color w:val="auto"/>
                <w:spacing w:val="-2"/>
                <w:sz w:val="24"/>
                <w:szCs w:val="24"/>
                <w:lang w:val="en-US" w:eastAsia="zh-CN"/>
              </w:rPr>
              <w:t>3</w:t>
            </w:r>
            <w:r>
              <w:rPr>
                <w:rFonts w:hint="default" w:ascii="Times New Roman" w:hAnsi="Times New Roman" w:cs="Times New Roman"/>
                <w:color w:val="auto"/>
                <w:spacing w:val="-2"/>
                <w:sz w:val="24"/>
                <w:szCs w:val="24"/>
                <w:lang w:val="en-US" w:eastAsia="zh-CN"/>
              </w:rPr>
              <w:t>9t/a</w:t>
            </w:r>
            <w:r>
              <w:rPr>
                <w:rFonts w:hint="default" w:ascii="Times New Roman" w:hAnsi="Times New Roman" w:cs="Times New Roman"/>
                <w:color w:val="000000" w:themeColor="text1"/>
                <w:spacing w:val="-2"/>
                <w:sz w:val="24"/>
                <w:szCs w:val="24"/>
                <w:lang w:val="en-US" w:eastAsia="zh-CN"/>
                <w14:textFill>
                  <w14:solidFill>
                    <w14:schemeClr w14:val="tx1"/>
                  </w14:solidFill>
                </w14:textFill>
              </w:rPr>
              <w:t>。</w:t>
            </w:r>
            <w:r>
              <w:rPr>
                <w:rFonts w:hint="eastAsia" w:cs="Times New Roman"/>
                <w:color w:val="000000" w:themeColor="text1"/>
                <w:spacing w:val="-2"/>
                <w:sz w:val="24"/>
                <w:szCs w:val="24"/>
                <w:lang w:val="en-US" w:eastAsia="zh-CN"/>
                <w14:textFill>
                  <w14:solidFill>
                    <w14:schemeClr w14:val="tx1"/>
                  </w14:solidFill>
                </w14:textFill>
              </w:rPr>
              <w:t>依据《实验室挥发性有机物污染防治技术指南》（T/ACEF001-2020）中“有机溶剂年使用量≤0.1吨的实验室单元，可选用内置活性炭过滤器的无管道通风柜。”本项目选用内置活性炭过滤器的无管道通风柜对乙醇进行处理。收集效率为90%，处理效率为90%，综合处理效率为80%，无组织排放含量为0.008t/a。</w:t>
            </w:r>
          </w:p>
          <w:p w14:paraId="4C48A46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textAlignment w:val="auto"/>
              <w:rPr>
                <w:rFonts w:hint="default" w:ascii="Times New Roman" w:hAnsi="Times New Roman" w:cs="Times New Roman"/>
                <w:color w:val="000000" w:themeColor="text1"/>
                <w:spacing w:val="-2"/>
                <w:sz w:val="24"/>
                <w:szCs w:val="24"/>
                <w:lang w:val="en-US" w:eastAsia="zh-CN"/>
                <w14:textFill>
                  <w14:solidFill>
                    <w14:schemeClr w14:val="tx1"/>
                  </w14:solidFill>
                </w14:textFill>
              </w:rPr>
            </w:pPr>
            <w:r>
              <w:rPr>
                <w:rFonts w:hint="default" w:ascii="宋体" w:hAnsi="宋体" w:eastAsia="宋体" w:cs="宋体"/>
                <w:color w:val="000000" w:themeColor="text1"/>
                <w:kern w:val="0"/>
                <w:sz w:val="24"/>
                <w:szCs w:val="24"/>
                <w:lang w:val="en-US" w:eastAsia="zh-CN" w:bidi="ar-SA"/>
                <w14:textFill>
                  <w14:solidFill>
                    <w14:schemeClr w14:val="tx1"/>
                  </w14:solidFill>
                </w14:textFill>
              </w:rPr>
              <w:t>②</w:t>
            </w:r>
            <w:r>
              <w:rPr>
                <w:rFonts w:hint="eastAsia" w:cs="Times New Roman"/>
                <w:color w:val="000000" w:themeColor="text1"/>
                <w:spacing w:val="-2"/>
                <w:sz w:val="24"/>
                <w:szCs w:val="24"/>
                <w:lang w:val="en-US" w:eastAsia="zh-CN"/>
                <w14:textFill>
                  <w14:solidFill>
                    <w14:schemeClr w14:val="tx1"/>
                  </w14:solidFill>
                </w14:textFill>
              </w:rPr>
              <w:t>氨</w:t>
            </w:r>
          </w:p>
          <w:p w14:paraId="5C7DE199">
            <w:pPr>
              <w:keepNext w:val="0"/>
              <w:keepLines w:val="0"/>
              <w:pageBreakBefore w:val="0"/>
              <w:widowControl w:val="0"/>
              <w:kinsoku/>
              <w:wordWrap/>
              <w:overflowPunct/>
              <w:topLinePunct w:val="0"/>
              <w:autoSpaceDE/>
              <w:autoSpaceDN/>
              <w:bidi w:val="0"/>
              <w:adjustRightInd/>
              <w:snapToGrid/>
              <w:spacing w:line="480" w:lineRule="exact"/>
              <w:ind w:right="0" w:firstLine="472" w:firstLineChars="200"/>
              <w:textAlignment w:val="auto"/>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eastAsia" w:cs="Times New Roman"/>
                <w:color w:val="000000" w:themeColor="text1"/>
                <w:spacing w:val="-2"/>
                <w:sz w:val="24"/>
                <w:szCs w:val="24"/>
                <w:lang w:val="en-US" w:eastAsia="zh-CN"/>
                <w14:textFill>
                  <w14:solidFill>
                    <w14:schemeClr w14:val="tx1"/>
                  </w14:solidFill>
                </w14:textFill>
              </w:rPr>
              <w:t>本项目</w:t>
            </w:r>
            <w:r>
              <w:rPr>
                <w:rFonts w:hint="default" w:ascii="Times New Roman" w:hAnsi="Times New Roman" w:cs="Times New Roman"/>
                <w:color w:val="000000" w:themeColor="text1"/>
                <w:spacing w:val="-2"/>
                <w:sz w:val="24"/>
                <w:szCs w:val="24"/>
                <w:lang w:val="en-US" w:eastAsia="zh-CN"/>
                <w14:textFill>
                  <w14:solidFill>
                    <w14:schemeClr w14:val="tx1"/>
                  </w14:solidFill>
                </w14:textFill>
              </w:rPr>
              <w:t>发酵、培养</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过程中产</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生氨，类比《江苏创健医疗科技有限公司可吸收可降解医用生物材料生产及研发项目》中重组酵母发酵物产生的废气产生量，估算本项目氨的产生量。</w:t>
            </w:r>
          </w:p>
          <w:p w14:paraId="3B20C408">
            <w:pPr>
              <w:pStyle w:val="30"/>
              <w:keepNext w:val="0"/>
              <w:keepLines w:val="0"/>
              <w:pageBreakBefore w:val="0"/>
              <w:widowControl w:val="0"/>
              <w:kinsoku/>
              <w:wordWrap/>
              <w:overflowPunct w:val="0"/>
              <w:topLinePunct/>
              <w:autoSpaceDE/>
              <w:autoSpaceDN/>
              <w:bidi w:val="0"/>
              <w:adjustRightInd/>
              <w:snapToGrid/>
              <w:ind w:firstLine="0" w:firstLineChars="0"/>
              <w:jc w:val="center"/>
              <w:textAlignment w:val="auto"/>
              <w:rPr>
                <w:rFonts w:hint="default"/>
                <w:b/>
                <w:bCs/>
                <w:color w:val="FF0000"/>
                <w:sz w:val="21"/>
                <w:szCs w:val="21"/>
                <w:lang w:val="en-US" w:eastAsia="zh-CN"/>
              </w:rPr>
            </w:pPr>
            <w:r>
              <w:rPr>
                <w:rFonts w:hint="eastAsia"/>
                <w:b/>
                <w:bCs/>
                <w:color w:val="000000" w:themeColor="text1"/>
                <w:sz w:val="21"/>
                <w:szCs w:val="21"/>
                <w:lang w:val="en-US" w:eastAsia="zh-CN"/>
                <w14:textFill>
                  <w14:solidFill>
                    <w14:schemeClr w14:val="tx1"/>
                  </w14:solidFill>
                </w14:textFill>
              </w:rPr>
              <w:t>表4-1</w:t>
            </w: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江苏创健医疗科技有限公司可吸收可降解医用生物材料生产及研发项目重组酵母发酵物废气产生量</w:t>
            </w:r>
          </w:p>
          <w:tbl>
            <w:tblPr>
              <w:tblStyle w:val="2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2949"/>
              <w:gridCol w:w="2949"/>
            </w:tblGrid>
            <w:tr w14:paraId="64D4B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296CABC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b/>
                      <w:bCs/>
                      <w:color w:val="FF0000"/>
                      <w:spacing w:val="-2"/>
                      <w:sz w:val="21"/>
                      <w:szCs w:val="21"/>
                      <w:vertAlign w:val="baseline"/>
                      <w:lang w:val="en-US" w:eastAsia="zh-CN"/>
                    </w:rPr>
                  </w:pPr>
                  <w:r>
                    <w:rPr>
                      <w:rFonts w:hint="eastAsia" w:cs="Times New Roman"/>
                      <w:b/>
                      <w:bCs/>
                      <w:color w:val="000000" w:themeColor="text1"/>
                      <w:spacing w:val="-2"/>
                      <w:sz w:val="21"/>
                      <w:szCs w:val="21"/>
                      <w:vertAlign w:val="baseline"/>
                      <w:lang w:val="en-US" w:eastAsia="zh-CN"/>
                      <w14:textFill>
                        <w14:solidFill>
                          <w14:schemeClr w14:val="tx1"/>
                        </w14:solidFill>
                      </w14:textFill>
                    </w:rPr>
                    <w:t>污染源位置及名称</w:t>
                  </w:r>
                </w:p>
              </w:tc>
              <w:tc>
                <w:tcPr>
                  <w:tcW w:w="1666" w:type="pct"/>
                  <w:tcBorders>
                    <w:tl2br w:val="nil"/>
                    <w:tr2bl w:val="nil"/>
                  </w:tcBorders>
                  <w:vAlign w:val="center"/>
                </w:tcPr>
                <w:p w14:paraId="5E61392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b/>
                      <w:bCs/>
                      <w:color w:val="FF0000"/>
                      <w:spacing w:val="-2"/>
                      <w:sz w:val="21"/>
                      <w:szCs w:val="21"/>
                      <w:vertAlign w:val="baseline"/>
                      <w:lang w:val="en-US" w:eastAsia="zh-CN"/>
                    </w:rPr>
                  </w:pPr>
                  <w:r>
                    <w:rPr>
                      <w:rFonts w:hint="eastAsia" w:cs="Times New Roman"/>
                      <w:b/>
                      <w:bCs/>
                      <w:color w:val="000000" w:themeColor="text1"/>
                      <w:spacing w:val="-2"/>
                      <w:sz w:val="21"/>
                      <w:szCs w:val="21"/>
                      <w:vertAlign w:val="baseline"/>
                      <w:lang w:val="en-US" w:eastAsia="zh-CN"/>
                      <w14:textFill>
                        <w14:solidFill>
                          <w14:schemeClr w14:val="tx1"/>
                        </w14:solidFill>
                      </w14:textFill>
                    </w:rPr>
                    <w:t>污染物名称</w:t>
                  </w:r>
                </w:p>
              </w:tc>
              <w:tc>
                <w:tcPr>
                  <w:tcW w:w="1666" w:type="pct"/>
                  <w:tcBorders>
                    <w:tl2br w:val="nil"/>
                    <w:tr2bl w:val="nil"/>
                  </w:tcBorders>
                  <w:vAlign w:val="center"/>
                </w:tcPr>
                <w:p w14:paraId="54371A3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b/>
                      <w:bCs/>
                      <w:color w:val="FF0000"/>
                      <w:spacing w:val="-2"/>
                      <w:sz w:val="21"/>
                      <w:szCs w:val="21"/>
                      <w:vertAlign w:val="baseline"/>
                      <w:lang w:val="en-US" w:eastAsia="zh-CN"/>
                    </w:rPr>
                  </w:pPr>
                  <w:r>
                    <w:rPr>
                      <w:rFonts w:hint="eastAsia" w:cs="Times New Roman"/>
                      <w:b/>
                      <w:bCs/>
                      <w:color w:val="000000" w:themeColor="text1"/>
                      <w:spacing w:val="-2"/>
                      <w:sz w:val="21"/>
                      <w:szCs w:val="21"/>
                      <w:vertAlign w:val="baseline"/>
                      <w:lang w:val="en-US" w:eastAsia="zh-CN"/>
                      <w14:textFill>
                        <w14:solidFill>
                          <w14:schemeClr w14:val="tx1"/>
                        </w14:solidFill>
                      </w14:textFill>
                    </w:rPr>
                    <w:t>产生量（t/a）</w:t>
                  </w:r>
                </w:p>
              </w:tc>
            </w:tr>
            <w:tr w14:paraId="19672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0D510C4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r>
                    <w:rPr>
                      <w:rFonts w:hint="eastAsia" w:cs="Times New Roman"/>
                      <w:color w:val="000000" w:themeColor="text1"/>
                      <w:spacing w:val="-2"/>
                      <w:sz w:val="21"/>
                      <w:szCs w:val="21"/>
                      <w:vertAlign w:val="baseline"/>
                      <w:lang w:val="en-US" w:eastAsia="zh-CN"/>
                      <w14:textFill>
                        <w14:solidFill>
                          <w14:schemeClr w14:val="tx1"/>
                        </w14:solidFill>
                      </w14:textFill>
                    </w:rPr>
                    <w:t>一级种子培养</w:t>
                  </w:r>
                </w:p>
              </w:tc>
              <w:tc>
                <w:tcPr>
                  <w:tcW w:w="1666" w:type="pct"/>
                  <w:vMerge w:val="restart"/>
                  <w:tcBorders>
                    <w:tl2br w:val="nil"/>
                    <w:tr2bl w:val="nil"/>
                  </w:tcBorders>
                  <w:vAlign w:val="center"/>
                </w:tcPr>
                <w:p w14:paraId="4527185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r>
                    <w:rPr>
                      <w:rFonts w:hint="eastAsia" w:cs="Times New Roman"/>
                      <w:color w:val="000000" w:themeColor="text1"/>
                      <w:spacing w:val="-2"/>
                      <w:sz w:val="21"/>
                      <w:szCs w:val="21"/>
                      <w:vertAlign w:val="baseline"/>
                      <w:lang w:val="en-US" w:eastAsia="zh-CN"/>
                      <w14:textFill>
                        <w14:solidFill>
                          <w14:schemeClr w14:val="tx1"/>
                        </w14:solidFill>
                      </w14:textFill>
                    </w:rPr>
                    <w:t>氨</w:t>
                  </w:r>
                </w:p>
              </w:tc>
              <w:tc>
                <w:tcPr>
                  <w:tcW w:w="1666" w:type="pct"/>
                  <w:tcBorders>
                    <w:tl2br w:val="nil"/>
                    <w:tr2bl w:val="nil"/>
                  </w:tcBorders>
                  <w:vAlign w:val="center"/>
                </w:tcPr>
                <w:p w14:paraId="7061CCD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r>
                    <w:rPr>
                      <w:rFonts w:hint="eastAsia" w:cs="Times New Roman"/>
                      <w:color w:val="000000" w:themeColor="text1"/>
                      <w:spacing w:val="-2"/>
                      <w:sz w:val="21"/>
                      <w:szCs w:val="21"/>
                      <w:vertAlign w:val="baseline"/>
                      <w:lang w:val="en-US" w:eastAsia="zh-CN"/>
                      <w14:textFill>
                        <w14:solidFill>
                          <w14:schemeClr w14:val="tx1"/>
                        </w14:solidFill>
                      </w14:textFill>
                    </w:rPr>
                    <w:t>0.00321</w:t>
                  </w:r>
                </w:p>
              </w:tc>
            </w:tr>
            <w:tr w14:paraId="0B1C5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5DE1DA6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r>
                    <w:rPr>
                      <w:rFonts w:hint="eastAsia" w:cs="Times New Roman"/>
                      <w:color w:val="000000" w:themeColor="text1"/>
                      <w:spacing w:val="-2"/>
                      <w:sz w:val="21"/>
                      <w:szCs w:val="21"/>
                      <w:vertAlign w:val="baseline"/>
                      <w:lang w:val="en-US" w:eastAsia="zh-CN"/>
                      <w14:textFill>
                        <w14:solidFill>
                          <w14:schemeClr w14:val="tx1"/>
                        </w14:solidFill>
                      </w14:textFill>
                    </w:rPr>
                    <w:t>二级种子培养</w:t>
                  </w:r>
                </w:p>
              </w:tc>
              <w:tc>
                <w:tcPr>
                  <w:tcW w:w="1666" w:type="pct"/>
                  <w:vMerge w:val="continue"/>
                  <w:tcBorders>
                    <w:tl2br w:val="nil"/>
                    <w:tr2bl w:val="nil"/>
                  </w:tcBorders>
                  <w:vAlign w:val="center"/>
                </w:tcPr>
                <w:p w14:paraId="2947E1C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p>
              </w:tc>
              <w:tc>
                <w:tcPr>
                  <w:tcW w:w="1666" w:type="pct"/>
                  <w:tcBorders>
                    <w:tl2br w:val="nil"/>
                    <w:tr2bl w:val="nil"/>
                  </w:tcBorders>
                  <w:vAlign w:val="center"/>
                </w:tcPr>
                <w:p w14:paraId="75D374E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r>
                    <w:rPr>
                      <w:rFonts w:hint="eastAsia" w:cs="Times New Roman"/>
                      <w:color w:val="000000" w:themeColor="text1"/>
                      <w:spacing w:val="-2"/>
                      <w:sz w:val="21"/>
                      <w:szCs w:val="21"/>
                      <w:vertAlign w:val="baseline"/>
                      <w:lang w:val="en-US" w:eastAsia="zh-CN"/>
                      <w14:textFill>
                        <w14:solidFill>
                          <w14:schemeClr w14:val="tx1"/>
                        </w14:solidFill>
                      </w14:textFill>
                    </w:rPr>
                    <w:t>0.0312</w:t>
                  </w:r>
                </w:p>
              </w:tc>
            </w:tr>
            <w:tr w14:paraId="07298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088E784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r>
                    <w:rPr>
                      <w:rFonts w:hint="eastAsia" w:cs="Times New Roman"/>
                      <w:color w:val="000000" w:themeColor="text1"/>
                      <w:spacing w:val="-2"/>
                      <w:sz w:val="21"/>
                      <w:szCs w:val="21"/>
                      <w:vertAlign w:val="baseline"/>
                      <w:lang w:val="en-US" w:eastAsia="zh-CN"/>
                      <w14:textFill>
                        <w14:solidFill>
                          <w14:schemeClr w14:val="tx1"/>
                        </w14:solidFill>
                      </w14:textFill>
                    </w:rPr>
                    <w:t>进罐培养</w:t>
                  </w:r>
                </w:p>
              </w:tc>
              <w:tc>
                <w:tcPr>
                  <w:tcW w:w="1666" w:type="pct"/>
                  <w:vMerge w:val="continue"/>
                  <w:tcBorders>
                    <w:tl2br w:val="nil"/>
                    <w:tr2bl w:val="nil"/>
                  </w:tcBorders>
                  <w:vAlign w:val="center"/>
                </w:tcPr>
                <w:p w14:paraId="1120FA7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p>
              </w:tc>
              <w:tc>
                <w:tcPr>
                  <w:tcW w:w="1666" w:type="pct"/>
                  <w:tcBorders>
                    <w:tl2br w:val="nil"/>
                    <w:tr2bl w:val="nil"/>
                  </w:tcBorders>
                  <w:vAlign w:val="center"/>
                </w:tcPr>
                <w:p w14:paraId="3747389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cs="Times New Roman"/>
                      <w:color w:val="FF0000"/>
                      <w:spacing w:val="-2"/>
                      <w:sz w:val="21"/>
                      <w:szCs w:val="21"/>
                      <w:vertAlign w:val="baseline"/>
                      <w:lang w:val="en-US" w:eastAsia="zh-CN"/>
                    </w:rPr>
                  </w:pPr>
                  <w:r>
                    <w:rPr>
                      <w:rFonts w:hint="eastAsia" w:cs="Times New Roman"/>
                      <w:color w:val="000000" w:themeColor="text1"/>
                      <w:spacing w:val="-2"/>
                      <w:sz w:val="21"/>
                      <w:szCs w:val="21"/>
                      <w:vertAlign w:val="baseline"/>
                      <w:lang w:val="en-US" w:eastAsia="zh-CN"/>
                      <w14:textFill>
                        <w14:solidFill>
                          <w14:schemeClr w14:val="tx1"/>
                        </w14:solidFill>
                      </w14:textFill>
                    </w:rPr>
                    <w:t>0.078</w:t>
                  </w:r>
                </w:p>
              </w:tc>
            </w:tr>
          </w:tbl>
          <w:p w14:paraId="4E8B96A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firstLine="472" w:firstLineChars="200"/>
              <w:textAlignment w:val="auto"/>
              <w:rPr>
                <w:rFonts w:hint="default" w:ascii="Times New Roman" w:hAnsi="Times New Roman" w:cs="Times New Roman"/>
                <w:color w:val="000000" w:themeColor="text1"/>
                <w:spacing w:val="-2"/>
                <w:sz w:val="24"/>
                <w:szCs w:val="24"/>
                <w:lang w:val="en-US" w:eastAsia="zh-CN"/>
                <w14:textFill>
                  <w14:solidFill>
                    <w14:schemeClr w14:val="tx1"/>
                  </w14:solidFill>
                </w14:textFill>
              </w:rPr>
            </w:pPr>
            <w:r>
              <w:rPr>
                <w:rFonts w:hint="eastAsia" w:cs="Times New Roman"/>
                <w:color w:val="000000" w:themeColor="text1"/>
                <w:spacing w:val="-2"/>
                <w:sz w:val="24"/>
                <w:szCs w:val="24"/>
                <w:lang w:val="en-US" w:eastAsia="zh-CN"/>
                <w14:textFill>
                  <w14:solidFill>
                    <w14:schemeClr w14:val="tx1"/>
                  </w14:solidFill>
                </w14:textFill>
              </w:rPr>
              <w:t>本项目氨的产生量约为0.0002t/a。选用内置活性炭过滤器的无管道通风柜进行处理，活性炭对氨的吸附作用有限，处理效率约为50%，则氨无组织排放量为0.0001t/a。</w:t>
            </w:r>
          </w:p>
          <w:p w14:paraId="3819624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right="0" w:rightChars="0"/>
              <w:textAlignment w:val="auto"/>
              <w:rPr>
                <w:rFonts w:hint="default" w:ascii="Times New Roman" w:hAnsi="Times New Roman" w:cs="Times New Roman"/>
                <w:color w:val="auto"/>
                <w:spacing w:val="-2"/>
                <w:sz w:val="24"/>
                <w:szCs w:val="24"/>
                <w:lang w:val="en-US" w:eastAsia="zh-CN"/>
              </w:rPr>
            </w:pPr>
            <w:r>
              <w:rPr>
                <w:rFonts w:hint="default" w:ascii="宋体" w:hAnsi="宋体" w:eastAsia="宋体" w:cs="宋体"/>
                <w:color w:val="auto"/>
                <w:kern w:val="0"/>
                <w:sz w:val="24"/>
                <w:szCs w:val="24"/>
                <w:lang w:val="en-US" w:eastAsia="zh-CN" w:bidi="ar-SA"/>
              </w:rPr>
              <w:t>③</w:t>
            </w:r>
            <w:r>
              <w:rPr>
                <w:rFonts w:hint="default" w:ascii="Times New Roman" w:hAnsi="Times New Roman" w:cs="Times New Roman"/>
                <w:color w:val="auto"/>
                <w:spacing w:val="-2"/>
                <w:sz w:val="24"/>
                <w:szCs w:val="24"/>
                <w:lang w:val="en-US" w:eastAsia="zh-CN"/>
              </w:rPr>
              <w:t>臭气浓度</w:t>
            </w:r>
          </w:p>
          <w:p w14:paraId="1EF8A040">
            <w:pPr>
              <w:keepNext w:val="0"/>
              <w:keepLines w:val="0"/>
              <w:pageBreakBefore w:val="0"/>
              <w:widowControl w:val="0"/>
              <w:kinsoku/>
              <w:wordWrap/>
              <w:overflowPunct/>
              <w:topLinePunct w:val="0"/>
              <w:autoSpaceDE/>
              <w:autoSpaceDN/>
              <w:bidi w:val="0"/>
              <w:adjustRightInd/>
              <w:snapToGrid/>
              <w:spacing w:line="480" w:lineRule="exact"/>
              <w:ind w:right="0" w:firstLine="472" w:firstLineChars="200"/>
              <w:textAlignment w:val="auto"/>
              <w:rPr>
                <w:rFonts w:hint="eastAsia"/>
                <w:lang w:val="en-US" w:eastAsia="zh-CN"/>
              </w:rPr>
            </w:pPr>
            <w:r>
              <w:rPr>
                <w:rFonts w:hint="default" w:ascii="Times New Roman" w:hAnsi="Times New Roman" w:cs="Times New Roman"/>
                <w:color w:val="auto"/>
                <w:spacing w:val="-2"/>
                <w:sz w:val="24"/>
                <w:szCs w:val="24"/>
                <w:lang w:val="en-US" w:eastAsia="zh-CN"/>
              </w:rPr>
              <w:t>本项目</w:t>
            </w:r>
            <w:bookmarkStart w:id="72" w:name="OLE_LINK17"/>
            <w:r>
              <w:rPr>
                <w:rFonts w:hint="default" w:ascii="Times New Roman" w:hAnsi="Times New Roman" w:cs="Times New Roman"/>
                <w:color w:val="auto"/>
                <w:spacing w:val="-2"/>
                <w:sz w:val="24"/>
                <w:szCs w:val="24"/>
                <w:lang w:val="en-US" w:eastAsia="zh-CN"/>
              </w:rPr>
              <w:t>发酵、培养</w:t>
            </w:r>
            <w:bookmarkEnd w:id="72"/>
            <w:r>
              <w:rPr>
                <w:rFonts w:hint="default" w:ascii="Times New Roman" w:hAnsi="Times New Roman" w:cs="Times New Roman"/>
                <w:color w:val="auto"/>
                <w:spacing w:val="-2"/>
                <w:sz w:val="24"/>
                <w:szCs w:val="24"/>
                <w:lang w:val="en-US" w:eastAsia="zh-CN"/>
              </w:rPr>
              <w:t>过程中</w:t>
            </w:r>
            <w:r>
              <w:rPr>
                <w:rFonts w:hint="eastAsia" w:cs="Times New Roman"/>
                <w:color w:val="auto"/>
                <w:spacing w:val="-2"/>
                <w:sz w:val="24"/>
                <w:szCs w:val="24"/>
                <w:lang w:val="en-US" w:eastAsia="zh-CN"/>
              </w:rPr>
              <w:t>产生臭气浓度。</w:t>
            </w:r>
          </w:p>
          <w:p w14:paraId="7B8C413B">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eastAsia"/>
                <w:color w:val="auto"/>
                <w:sz w:val="24"/>
                <w:szCs w:val="24"/>
                <w:lang w:val="en-US" w:eastAsia="zh-CN"/>
              </w:rPr>
            </w:pPr>
            <w:r>
              <w:rPr>
                <w:rFonts w:hint="eastAsia" w:ascii="宋体" w:hAnsi="宋体" w:eastAsia="宋体" w:cs="宋体"/>
                <w:color w:val="auto"/>
                <w:sz w:val="24"/>
                <w:szCs w:val="24"/>
                <w:lang w:val="en-US" w:eastAsia="zh-CN"/>
              </w:rPr>
              <w:t>④</w:t>
            </w:r>
            <w:r>
              <w:rPr>
                <w:rFonts w:hint="eastAsia"/>
                <w:color w:val="auto"/>
                <w:sz w:val="24"/>
                <w:szCs w:val="24"/>
                <w:lang w:val="en-US" w:eastAsia="zh-CN"/>
              </w:rPr>
              <w:t>颗粒物</w:t>
            </w:r>
          </w:p>
          <w:p w14:paraId="3673338F">
            <w:pPr>
              <w:keepNext w:val="0"/>
              <w:keepLines w:val="0"/>
              <w:pageBreakBefore w:val="0"/>
              <w:widowControl w:val="0"/>
              <w:kinsoku/>
              <w:wordWrap/>
              <w:overflowPunct/>
              <w:topLinePunct w:val="0"/>
              <w:autoSpaceDE/>
              <w:autoSpaceDN/>
              <w:bidi w:val="0"/>
              <w:adjustRightInd/>
              <w:snapToGrid/>
              <w:spacing w:line="480" w:lineRule="exact"/>
              <w:ind w:right="0" w:firstLine="472" w:firstLineChars="200"/>
              <w:textAlignment w:val="auto"/>
              <w:rPr>
                <w:rFonts w:hint="default"/>
                <w:color w:val="auto"/>
                <w:lang w:val="en-US" w:eastAsia="zh-CN"/>
              </w:rPr>
            </w:pPr>
            <w:r>
              <w:rPr>
                <w:rFonts w:hint="eastAsia" w:ascii="Times New Roman" w:hAnsi="Times New Roman" w:eastAsia="宋体" w:cs="Times New Roman"/>
                <w:color w:val="auto"/>
                <w:spacing w:val="-2"/>
                <w:sz w:val="24"/>
                <w:szCs w:val="24"/>
                <w:lang w:val="en-US" w:eastAsia="zh-CN"/>
              </w:rPr>
              <w:t>本项目营养液、培养基在人工投料过程有少量颗粒物产生，产生量非常小，</w:t>
            </w:r>
            <w:r>
              <w:rPr>
                <w:rFonts w:hint="eastAsia" w:cs="Times New Roman"/>
                <w:color w:val="auto"/>
                <w:spacing w:val="-2"/>
                <w:sz w:val="24"/>
                <w:szCs w:val="24"/>
                <w:lang w:val="en-US" w:eastAsia="zh-CN"/>
              </w:rPr>
              <w:t>不定量分析，</w:t>
            </w:r>
            <w:r>
              <w:rPr>
                <w:rFonts w:hint="eastAsia" w:ascii="Times New Roman" w:hAnsi="Times New Roman" w:eastAsia="宋体" w:cs="Times New Roman"/>
                <w:color w:val="auto"/>
                <w:spacing w:val="-2"/>
                <w:sz w:val="24"/>
                <w:szCs w:val="24"/>
                <w:lang w:val="en-US" w:eastAsia="zh-CN"/>
              </w:rPr>
              <w:t>通过加强车间通风，无组织排放。</w:t>
            </w:r>
          </w:p>
          <w:p w14:paraId="39D557B7">
            <w:pPr>
              <w:keepNext w:val="0"/>
              <w:keepLines w:val="0"/>
              <w:pageBreakBefore w:val="0"/>
              <w:widowControl w:val="0"/>
              <w:tabs>
                <w:tab w:val="left" w:pos="1684"/>
              </w:tabs>
              <w:kinsoku/>
              <w:wordWrap/>
              <w:overflowPunct/>
              <w:topLinePunct w:val="0"/>
              <w:autoSpaceDE/>
              <w:autoSpaceDN/>
              <w:bidi w:val="0"/>
              <w:adjustRightInd/>
              <w:snapToGrid/>
              <w:spacing w:line="480" w:lineRule="exact"/>
              <w:ind w:right="0" w:firstLine="482" w:firstLineChars="200"/>
              <w:textAlignment w:val="auto"/>
              <w:rPr>
                <w:b/>
                <w:bCs/>
                <w:color w:val="auto"/>
                <w:sz w:val="24"/>
                <w:szCs w:val="24"/>
              </w:rPr>
            </w:pPr>
            <w:r>
              <w:rPr>
                <w:rFonts w:ascii="Times New Roman" w:hAnsi="Times New Roman" w:eastAsia="宋体" w:cs="Times New Roman"/>
                <w:b/>
                <w:bCs/>
                <w:color w:val="auto"/>
                <w:sz w:val="24"/>
                <w:szCs w:val="24"/>
              </w:rPr>
              <w:t>1.</w:t>
            </w:r>
            <w:r>
              <w:rPr>
                <w:rFonts w:hint="eastAsia" w:ascii="Times New Roman" w:hAnsi="Times New Roman" w:eastAsia="宋体" w:cs="Times New Roman"/>
                <w:b/>
                <w:bCs/>
                <w:color w:val="auto"/>
                <w:sz w:val="24"/>
                <w:szCs w:val="24"/>
                <w:lang w:val="en-US" w:eastAsia="zh-CN"/>
              </w:rPr>
              <w:t>1</w:t>
            </w:r>
            <w:r>
              <w:rPr>
                <w:b/>
                <w:bCs/>
                <w:color w:val="auto"/>
                <w:sz w:val="24"/>
                <w:szCs w:val="24"/>
              </w:rPr>
              <w:t>无组织废气污染防治措施</w:t>
            </w:r>
          </w:p>
          <w:p w14:paraId="6DBD9FEF">
            <w:pPr>
              <w:keepNext w:val="0"/>
              <w:keepLines w:val="0"/>
              <w:pageBreakBefore w:val="0"/>
              <w:widowControl w:val="0"/>
              <w:tabs>
                <w:tab w:val="left" w:pos="2160"/>
              </w:tabs>
              <w:kinsoku/>
              <w:wordWrap/>
              <w:overflowPunct/>
              <w:topLinePunct w:val="0"/>
              <w:autoSpaceDE/>
              <w:autoSpaceDN/>
              <w:bidi w:val="0"/>
              <w:adjustRightInd/>
              <w:snapToGrid/>
              <w:spacing w:line="480" w:lineRule="exact"/>
              <w:ind w:right="0" w:firstLine="480" w:firstLineChars="200"/>
              <w:textAlignment w:val="auto"/>
              <w:rPr>
                <w:b/>
                <w:color w:val="0000FF"/>
                <w:sz w:val="24"/>
                <w:szCs w:val="24"/>
              </w:rPr>
            </w:pPr>
            <w:r>
              <w:rPr>
                <w:color w:val="0000FF"/>
                <w:sz w:val="24"/>
                <w:szCs w:val="24"/>
              </w:rPr>
              <w:t>建设单位通过以下措施加强无组织废气的控制：</w:t>
            </w:r>
          </w:p>
          <w:p w14:paraId="67730158">
            <w:pPr>
              <w:keepNext w:val="0"/>
              <w:keepLines w:val="0"/>
              <w:pageBreakBefore w:val="0"/>
              <w:widowControl w:val="0"/>
              <w:tabs>
                <w:tab w:val="left" w:pos="2160"/>
              </w:tabs>
              <w:kinsoku/>
              <w:wordWrap/>
              <w:overflowPunct/>
              <w:topLinePunct w:val="0"/>
              <w:autoSpaceDE/>
              <w:autoSpaceDN/>
              <w:bidi w:val="0"/>
              <w:adjustRightInd/>
              <w:snapToGrid/>
              <w:spacing w:line="480" w:lineRule="exact"/>
              <w:ind w:firstLine="420"/>
              <w:textAlignment w:val="auto"/>
              <w:rPr>
                <w:color w:val="0000FF"/>
                <w:sz w:val="24"/>
                <w:szCs w:val="24"/>
              </w:rPr>
            </w:pPr>
            <w:r>
              <w:rPr>
                <w:color w:val="0000FF"/>
                <w:sz w:val="24"/>
                <w:szCs w:val="24"/>
              </w:rPr>
              <w:t>1.尽量保持废</w:t>
            </w:r>
            <w:r>
              <w:rPr>
                <w:rFonts w:hint="eastAsia"/>
                <w:color w:val="0000FF"/>
                <w:sz w:val="24"/>
                <w:szCs w:val="24"/>
                <w:lang w:val="en-US" w:eastAsia="zh-CN"/>
              </w:rPr>
              <w:t>实验室通风良好，加强实验室无组织废气排出</w:t>
            </w:r>
            <w:r>
              <w:rPr>
                <w:color w:val="0000FF"/>
                <w:sz w:val="24"/>
                <w:szCs w:val="24"/>
              </w:rPr>
              <w:t>。</w:t>
            </w:r>
          </w:p>
          <w:p w14:paraId="67587376">
            <w:pPr>
              <w:keepNext w:val="0"/>
              <w:keepLines w:val="0"/>
              <w:pageBreakBefore w:val="0"/>
              <w:widowControl w:val="0"/>
              <w:tabs>
                <w:tab w:val="left" w:pos="2160"/>
              </w:tabs>
              <w:kinsoku/>
              <w:wordWrap/>
              <w:overflowPunct/>
              <w:topLinePunct w:val="0"/>
              <w:autoSpaceDE/>
              <w:autoSpaceDN/>
              <w:bidi w:val="0"/>
              <w:adjustRightInd/>
              <w:snapToGrid/>
              <w:spacing w:line="480" w:lineRule="exact"/>
              <w:ind w:firstLine="420"/>
              <w:textAlignment w:val="auto"/>
              <w:rPr>
                <w:color w:val="0000FF"/>
                <w:sz w:val="24"/>
                <w:szCs w:val="24"/>
              </w:rPr>
            </w:pPr>
            <w:r>
              <w:rPr>
                <w:color w:val="0000FF"/>
                <w:sz w:val="24"/>
                <w:szCs w:val="24"/>
              </w:rPr>
              <w:t>2.加强生产管理，规范操作，使设备处于正常工作状态，减少生产、控制、输送等过程中的废气散发。</w:t>
            </w:r>
          </w:p>
          <w:p w14:paraId="6553F406">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1.2废气治理措施</w:t>
            </w:r>
          </w:p>
          <w:p w14:paraId="51E9CC54">
            <w:pPr>
              <w:keepNext w:val="0"/>
              <w:keepLines w:val="0"/>
              <w:pageBreakBefore w:val="0"/>
              <w:widowControl w:val="0"/>
              <w:numPr>
                <w:ilvl w:val="0"/>
                <w:numId w:val="0"/>
              </w:numPr>
              <w:tabs>
                <w:tab w:val="left" w:pos="1684"/>
              </w:tabs>
              <w:kinsoku/>
              <w:wordWrap/>
              <w:overflowPunct/>
              <w:topLinePunct w:val="0"/>
              <w:autoSpaceDE/>
              <w:autoSpaceDN/>
              <w:bidi w:val="0"/>
              <w:adjustRightInd/>
              <w:snapToGrid/>
              <w:spacing w:line="480" w:lineRule="exact"/>
              <w:ind w:left="400" w:leftChars="0"/>
              <w:textAlignment w:val="auto"/>
              <w:rPr>
                <w:rFonts w:hint="default"/>
                <w:b w:val="0"/>
                <w:bCs w:val="0"/>
                <w:color w:val="auto"/>
                <w:sz w:val="24"/>
                <w:szCs w:val="24"/>
                <w:lang w:val="en-US" w:eastAsia="zh-CN"/>
              </w:rPr>
            </w:pPr>
            <w:r>
              <w:rPr>
                <w:rFonts w:hint="eastAsia"/>
                <w:b w:val="0"/>
                <w:bCs w:val="0"/>
                <w:color w:val="auto"/>
                <w:sz w:val="24"/>
                <w:szCs w:val="24"/>
                <w:lang w:val="en-US" w:eastAsia="zh-CN"/>
              </w:rPr>
              <w:t>废气收集治理方案</w:t>
            </w:r>
          </w:p>
          <w:p w14:paraId="2B7041D4">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0" w:firstLineChars="200"/>
              <w:textAlignment w:val="auto"/>
              <w:rPr>
                <w:rFonts w:hint="default" w:eastAsia="宋体"/>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乙醇擦拭废气，</w:t>
            </w:r>
            <w:r>
              <w:rPr>
                <w:rFonts w:hint="eastAsia" w:cs="Times New Roman"/>
                <w:color w:val="000000" w:themeColor="text1"/>
                <w:spacing w:val="-2"/>
                <w:sz w:val="24"/>
                <w:szCs w:val="24"/>
                <w:lang w:val="en-US" w:eastAsia="zh-CN"/>
                <w14:textFill>
                  <w14:solidFill>
                    <w14:schemeClr w14:val="tx1"/>
                  </w14:solidFill>
                </w14:textFill>
              </w:rPr>
              <w:t>发酵、培养过程中产生臭气浓度内置活性炭过滤器的</w:t>
            </w:r>
            <w:bookmarkStart w:id="73" w:name="OLE_LINK65"/>
            <w:r>
              <w:rPr>
                <w:rFonts w:hint="eastAsia" w:cs="Times New Roman"/>
                <w:color w:val="000000" w:themeColor="text1"/>
                <w:spacing w:val="-2"/>
                <w:sz w:val="24"/>
                <w:szCs w:val="24"/>
                <w:lang w:val="en-US" w:eastAsia="zh-CN"/>
                <w14:textFill>
                  <w14:solidFill>
                    <w14:schemeClr w14:val="tx1"/>
                  </w14:solidFill>
                </w14:textFill>
              </w:rPr>
              <w:t>无管道通风柜</w:t>
            </w:r>
            <w:bookmarkEnd w:id="73"/>
            <w:r>
              <w:rPr>
                <w:rFonts w:hint="eastAsia" w:cs="Times New Roman"/>
                <w:color w:val="000000" w:themeColor="text1"/>
                <w:spacing w:val="-2"/>
                <w:sz w:val="24"/>
                <w:szCs w:val="24"/>
                <w:lang w:val="en-US" w:eastAsia="zh-CN"/>
                <w14:textFill>
                  <w14:solidFill>
                    <w14:schemeClr w14:val="tx1"/>
                  </w14:solidFill>
                </w14:textFill>
              </w:rPr>
              <w:t>进行处理，对乙醇的收集效率为90%，去除效率为90%，综合处理效率约为80%，对氨收集效率为90%，去除效率60%，综合处理效率约为50%。</w:t>
            </w:r>
          </w:p>
          <w:p w14:paraId="113D4A36">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0" w:firstLineChars="200"/>
              <w:textAlignment w:val="auto"/>
              <w:rPr>
                <w:rFonts w:hint="default"/>
                <w:color w:val="000000" w:themeColor="text1"/>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本项目废气处理工艺流程图如下：</w:t>
            </w:r>
          </w:p>
          <w:p w14:paraId="7F66F144">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p>
          <w:p w14:paraId="64D5D656">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p>
          <w:p w14:paraId="5033E40F">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p>
          <w:p w14:paraId="41434D0B">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p>
          <w:p w14:paraId="4348C995">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r>
              <w:rPr>
                <w:rFonts w:hint="eastAsia"/>
                <w:b/>
                <w:bCs/>
                <w:color w:val="auto"/>
                <w:sz w:val="24"/>
                <w:szCs w:val="24"/>
                <w:lang w:eastAsia="zh-CN"/>
              </w:rPr>
              <w:t xml:space="preserve">  </w:t>
            </w:r>
            <w:r>
              <w:rPr>
                <w:rFonts w:hint="default"/>
                <w:color w:val="auto"/>
                <w:sz w:val="24"/>
                <w:lang w:val="en-US"/>
              </w:rPr>
              <mc:AlternateContent>
                <mc:Choice Requires="wpc">
                  <w:drawing>
                    <wp:inline distT="0" distB="0" distL="114300" distR="114300">
                      <wp:extent cx="5619750" cy="1746250"/>
                      <wp:effectExtent l="0" t="0" r="0" b="0"/>
                      <wp:docPr id="2" name="画布 2"/>
                      <wp:cNvGraphicFramePr/>
                      <a:graphic xmlns:a="http://schemas.openxmlformats.org/drawingml/2006/main">
                        <a:graphicData uri="http://schemas.microsoft.com/office/word/2010/wordprocessingCanvas">
                          <wpc:wpc>
                            <wpc:bg/>
                            <wpc:whole/>
                            <wps:wsp>
                              <wps:cNvPr id="3" name="文本框 3"/>
                              <wps:cNvSpPr txBox="1"/>
                              <wps:spPr>
                                <a:xfrm>
                                  <a:off x="236855" y="899795"/>
                                  <a:ext cx="729615" cy="26670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3F9DC7B">
                                    <w:pPr>
                                      <w:rPr>
                                        <w:rFonts w:hint="default" w:eastAsia="宋体"/>
                                        <w:lang w:val="en-US" w:eastAsia="zh-CN"/>
                                      </w:rPr>
                                    </w:pPr>
                                    <w:r>
                                      <w:rPr>
                                        <w:rFonts w:hint="eastAsia"/>
                                        <w:lang w:val="en-US" w:eastAsia="zh-CN"/>
                                      </w:rPr>
                                      <w:t>菌种培养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897255" y="238760"/>
                                  <a:ext cx="8953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8329E">
                                    <w:pPr>
                                      <w:rPr>
                                        <w:rFonts w:hint="default" w:eastAsia="宋体"/>
                                        <w:lang w:val="en-US" w:eastAsia="zh-CN"/>
                                      </w:rPr>
                                    </w:pPr>
                                    <w:r>
                                      <w:rPr>
                                        <w:rFonts w:hint="eastAsia" w:eastAsia="宋体"/>
                                        <w:lang w:val="en-US" w:eastAsia="zh-CN"/>
                                      </w:rPr>
                                      <w:t>非甲烷总烃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179705" y="334010"/>
                                  <a:ext cx="755650" cy="26670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110FC5E">
                                    <w:pPr>
                                      <w:rPr>
                                        <w:rFonts w:hint="default" w:eastAsia="宋体"/>
                                        <w:lang w:val="en-US" w:eastAsia="zh-CN"/>
                                      </w:rPr>
                                    </w:pPr>
                                    <w:r>
                                      <w:rPr>
                                        <w:rFonts w:hint="eastAsia"/>
                                        <w:lang w:val="en-US" w:eastAsia="zh-CN"/>
                                      </w:rPr>
                                      <w:t>乙醇擦拭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179705" y="1413510"/>
                                  <a:ext cx="755650" cy="26670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087577A">
                                    <w:pPr>
                                      <w:rPr>
                                        <w:rFonts w:hint="default" w:eastAsia="宋体"/>
                                        <w:lang w:val="en-US" w:eastAsia="zh-CN"/>
                                      </w:rPr>
                                    </w:pPr>
                                    <w:r>
                                      <w:rPr>
                                        <w:rFonts w:hint="eastAsia"/>
                                        <w:lang w:val="en-US" w:eastAsia="zh-CN"/>
                                      </w:rPr>
                                      <w:t>菌种发酵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直接箭头连接符 11"/>
                              <wps:cNvCnPr/>
                              <wps:spPr>
                                <a:xfrm flipV="1">
                                  <a:off x="947420" y="471170"/>
                                  <a:ext cx="972000"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 name="直接箭头连接符 12"/>
                              <wps:cNvCnPr/>
                              <wps:spPr>
                                <a:xfrm flipV="1">
                                  <a:off x="979805" y="1032510"/>
                                  <a:ext cx="936000"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 name="直接箭头连接符 13"/>
                              <wps:cNvCnPr/>
                              <wps:spPr>
                                <a:xfrm flipV="1">
                                  <a:off x="935355" y="1559560"/>
                                  <a:ext cx="972000"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 name="文本框 14"/>
                              <wps:cNvSpPr txBox="1"/>
                              <wps:spPr>
                                <a:xfrm>
                                  <a:off x="954405" y="621030"/>
                                  <a:ext cx="796290" cy="449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BF519">
                                    <w:pPr>
                                      <w:jc w:val="center"/>
                                      <w:rPr>
                                        <w:rFonts w:hint="default" w:eastAsia="宋体"/>
                                        <w:lang w:val="en-US" w:eastAsia="zh-CN"/>
                                      </w:rPr>
                                    </w:pPr>
                                    <w:r>
                                      <w:rPr>
                                        <w:rFonts w:hint="eastAsia" w:eastAsia="宋体"/>
                                        <w:lang w:val="en-US" w:eastAsia="zh-CN"/>
                                      </w:rPr>
                                      <w:t>臭气浓度</w:t>
                                    </w:r>
                                    <w:r>
                                      <w:rPr>
                                        <w:rFonts w:hint="eastAsia"/>
                                        <w:lang w:val="en-US" w:eastAsia="zh-CN"/>
                                      </w:rPr>
                                      <w:t>、氨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960755" y="1192530"/>
                                  <a:ext cx="838200" cy="411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6AD77">
                                    <w:pPr>
                                      <w:jc w:val="center"/>
                                      <w:rPr>
                                        <w:rFonts w:hint="default" w:eastAsia="宋体"/>
                                        <w:lang w:val="en-US" w:eastAsia="zh-CN"/>
                                      </w:rPr>
                                    </w:pPr>
                                    <w:r>
                                      <w:rPr>
                                        <w:rFonts w:hint="eastAsia" w:eastAsia="宋体"/>
                                        <w:lang w:val="en-US" w:eastAsia="zh-CN"/>
                                      </w:rPr>
                                      <w:t>臭气浓度</w:t>
                                    </w:r>
                                    <w:r>
                                      <w:rPr>
                                        <w:rFonts w:hint="eastAsia"/>
                                        <w:lang w:val="en-US" w:eastAsia="zh-CN"/>
                                      </w:rPr>
                                      <w:t>、氨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箭头连接符 19"/>
                              <wps:cNvCnPr/>
                              <wps:spPr>
                                <a:xfrm>
                                  <a:off x="1910715" y="459105"/>
                                  <a:ext cx="0" cy="1115695"/>
                                </a:xfrm>
                                <a:prstGeom prst="straightConnector1">
                                  <a:avLst/>
                                </a:prstGeom>
                                <a:ln w="6350">
                                  <a:solidFill>
                                    <a:schemeClr val="tx1"/>
                                  </a:solidFill>
                                  <a:headEnd type="none"/>
                                  <a:tailEnd type="none" w="med" len="med"/>
                                </a:ln>
                              </wps:spPr>
                              <wps:style>
                                <a:lnRef idx="2">
                                  <a:schemeClr val="accent1"/>
                                </a:lnRef>
                                <a:fillRef idx="0">
                                  <a:srgbClr val="FFFFFF"/>
                                </a:fillRef>
                                <a:effectRef idx="0">
                                  <a:srgbClr val="FFFFFF"/>
                                </a:effectRef>
                                <a:fontRef idx="minor">
                                  <a:schemeClr val="tx1"/>
                                </a:fontRef>
                              </wps:style>
                              <wps:bodyPr/>
                            </wps:wsp>
                            <wps:wsp>
                              <wps:cNvPr id="22" name="直接箭头连接符 22"/>
                              <wps:cNvCnPr/>
                              <wps:spPr>
                                <a:xfrm flipV="1">
                                  <a:off x="1925320" y="1036320"/>
                                  <a:ext cx="360045"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3" name="文本框 23"/>
                              <wps:cNvSpPr txBox="1"/>
                              <wps:spPr>
                                <a:xfrm>
                                  <a:off x="3449955" y="894715"/>
                                  <a:ext cx="1010920" cy="27178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6A59655">
                                    <w:pPr>
                                      <w:rPr>
                                        <w:rFonts w:hint="default" w:eastAsia="宋体"/>
                                        <w:lang w:val="en-US" w:eastAsia="zh-CN"/>
                                      </w:rPr>
                                    </w:pPr>
                                    <w:r>
                                      <w:rPr>
                                        <w:rFonts w:hint="eastAsia" w:eastAsia="宋体"/>
                                        <w:lang w:val="en-US" w:eastAsia="zh-CN"/>
                                      </w:rPr>
                                      <w:t>活性炭</w:t>
                                    </w:r>
                                    <w:r>
                                      <w:rPr>
                                        <w:rFonts w:hint="eastAsia"/>
                                        <w:lang w:val="en-US" w:eastAsia="zh-CN"/>
                                      </w:rPr>
                                      <w:t>过滤器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4803775" y="798830"/>
                                  <a:ext cx="772795"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5BE43">
                                    <w:pPr>
                                      <w:rPr>
                                        <w:rFonts w:hint="default" w:eastAsia="宋体"/>
                                        <w:lang w:val="en-US" w:eastAsia="zh-CN"/>
                                      </w:rPr>
                                    </w:pPr>
                                    <w:r>
                                      <w:rPr>
                                        <w:rFonts w:hint="eastAsia"/>
                                        <w:lang w:val="en-US" w:eastAsia="zh-CN"/>
                                      </w:rPr>
                                      <w:t>车间内无组织排放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直接箭头连接符 25"/>
                              <wps:cNvCnPr/>
                              <wps:spPr>
                                <a:xfrm flipV="1">
                                  <a:off x="4468495" y="1019810"/>
                                  <a:ext cx="288290"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 name="文本框 6"/>
                              <wps:cNvSpPr txBox="1"/>
                              <wps:spPr>
                                <a:xfrm>
                                  <a:off x="2327910" y="888365"/>
                                  <a:ext cx="598170" cy="27305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353C8B1">
                                    <w:pPr>
                                      <w:rPr>
                                        <w:rFonts w:hint="default" w:eastAsia="宋体"/>
                                        <w:lang w:val="en-US" w:eastAsia="zh-CN"/>
                                      </w:rPr>
                                    </w:pPr>
                                    <w:r>
                                      <w:rPr>
                                        <w:rFonts w:hint="eastAsia"/>
                                        <w:lang w:val="en-US" w:eastAsia="zh-CN"/>
                                      </w:rPr>
                                      <w:t>通风柜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0"/>
                              <wps:cNvCnPr/>
                              <wps:spPr>
                                <a:xfrm flipV="1">
                                  <a:off x="2961640" y="1031240"/>
                                  <a:ext cx="467995"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137.5pt;width:442.5pt;" coordsize="5619750,1746250" editas="canvas" o:gfxdata="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Amps4O1QAAAAUB&#10;AAAPAAAAAAAAAAEAIAAAACIAAABkcnMvZG93bnJldi54bWxQSwECFAAUAAAACACHTuJAfviRNucF&#10;AAAsKgAADgAAAAAAAAABACAAAAAkAQAAZHJzL2Uyb0RvYy54bWxQSwUGAAAAAAYABgBZAQAAfQkA&#10;AAAA&#10;">
                      <o:lock v:ext="edit" aspectratio="f"/>
                      <v:shape id="_x0000_s1026" o:spid="_x0000_s1026" style="position:absolute;left:0;top:0;height:1746250;width:5619750;" filled="f" stroked="f" coordsize="21600,21600" o:gfxdata="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mps4O1QAAAAUBAAAPAAAAAAAAAAEAIAAAACIAAABkcnMvZG93&#10;bnJldi54bWxQSwECFAAUAAAACACHTuJAUXkKGZMFAABzKQAADgAAAAAAAAABACAAAAAkAQAAZHJz&#10;L2Uyb0RvYy54bWxQSwUGAAAAAAYABgBZAQAAKQkAAAAA&#10;">
                        <v:fill on="f" focussize="0,0"/>
                        <v:stroke on="f"/>
                        <v:imagedata o:title=""/>
                        <o:lock v:ext="edit" aspectratio="f"/>
                      </v:shape>
                      <v:shape id="_x0000_s1026" o:spid="_x0000_s1026" o:spt="202" type="#_x0000_t202" style="position:absolute;left:236855;top:899795;height:266700;width:729615;" filled="f" stroked="t" coordsize="21600,21600" o:gfxdata="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C+zTNUA&#10;AAAFAQAADwAAAAAAAAABACAAAAAiAAAAZHJzL2Rvd25yZXYueG1sUEsBAhQAFAAAAAgAh07iQOD5&#10;rqlbAgAAmAQAAA4AAAAAAAAAAQAgAAAAJAEAAGRycy9lMm9Eb2MueG1sUEsFBgAAAAAGAAYAWQEA&#10;APEFAAAAAA==&#10;">
                        <v:fill on="f" focussize="0,0"/>
                        <v:stroke weight="0.5pt" color="#000000 [3213]" joinstyle="round"/>
                        <v:imagedata o:title=""/>
                        <o:lock v:ext="edit" aspectratio="f"/>
                        <v:textbox>
                          <w:txbxContent>
                            <w:p w14:paraId="43F9DC7B">
                              <w:pPr>
                                <w:rPr>
                                  <w:rFonts w:hint="default" w:eastAsia="宋体"/>
                                  <w:lang w:val="en-US" w:eastAsia="zh-CN"/>
                                </w:rPr>
                              </w:pPr>
                              <w:r>
                                <w:rPr>
                                  <w:rFonts w:hint="eastAsia"/>
                                  <w:lang w:val="en-US" w:eastAsia="zh-CN"/>
                                </w:rPr>
                                <w:t>菌种培养</w:t>
                              </w:r>
                            </w:p>
                          </w:txbxContent>
                        </v:textbox>
                      </v:shape>
                      <v:shape id="_x0000_s1026" o:spid="_x0000_s1026" o:spt="202" type="#_x0000_t202" style="position:absolute;left:897255;top:238760;height:266700;width:895350;" filled="f" stroked="f" coordsize="21600,21600" o:gfxdata="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EIC4DVAAAABQEAAA8AAAAAAAAAAQAgAAAAIgAAAGRy&#10;cy9kb3ducmV2LnhtbFBLAQIUABQAAAAIAIdO4kDf6hwVQQIAAG8EAAAOAAAAAAAAAAEAIAAAACQB&#10;AABkcnMvZTJvRG9jLnhtbFBLBQYAAAAABgAGAFkBAADXBQAAAAA=&#10;">
                        <v:fill on="f" focussize="0,0"/>
                        <v:stroke on="f" weight="0.5pt"/>
                        <v:imagedata o:title=""/>
                        <o:lock v:ext="edit" aspectratio="f"/>
                        <v:textbox>
                          <w:txbxContent>
                            <w:p w14:paraId="00F8329E">
                              <w:pPr>
                                <w:rPr>
                                  <w:rFonts w:hint="default" w:eastAsia="宋体"/>
                                  <w:lang w:val="en-US" w:eastAsia="zh-CN"/>
                                </w:rPr>
                              </w:pPr>
                              <w:r>
                                <w:rPr>
                                  <w:rFonts w:hint="eastAsia" w:eastAsia="宋体"/>
                                  <w:lang w:val="en-US" w:eastAsia="zh-CN"/>
                                </w:rPr>
                                <w:t>非甲烷总烃</w:t>
                              </w:r>
                            </w:p>
                          </w:txbxContent>
                        </v:textbox>
                      </v:shape>
                      <v:shape id="_x0000_s1026" o:spid="_x0000_s1026" o:spt="202" type="#_x0000_t202" style="position:absolute;left:179705;top:334010;height:266700;width:755650;" filled="f" stroked="t" coordsize="21600,21600" o:gfxdata="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C+zTNUAAAAF&#10;AQAADwAAAAAAAAABACAAAAAiAAAAZHJzL2Rvd25yZXYueG1sUEsBAhQAFAAAAAgAh07iQMKtT+xY&#10;AgAAmAQAAA4AAAAAAAAAAQAgAAAAJAEAAGRycy9lMm9Eb2MueG1sUEsFBgAAAAAGAAYAWQEAAO4F&#10;AAAAAA==&#10;">
                        <v:fill on="f" focussize="0,0"/>
                        <v:stroke weight="0.5pt" color="#000000 [3213]" joinstyle="round"/>
                        <v:imagedata o:title=""/>
                        <o:lock v:ext="edit" aspectratio="f"/>
                        <v:textbox>
                          <w:txbxContent>
                            <w:p w14:paraId="1110FC5E">
                              <w:pPr>
                                <w:rPr>
                                  <w:rFonts w:hint="default" w:eastAsia="宋体"/>
                                  <w:lang w:val="en-US" w:eastAsia="zh-CN"/>
                                </w:rPr>
                              </w:pPr>
                              <w:r>
                                <w:rPr>
                                  <w:rFonts w:hint="eastAsia"/>
                                  <w:lang w:val="en-US" w:eastAsia="zh-CN"/>
                                </w:rPr>
                                <w:t>乙醇擦拭</w:t>
                              </w:r>
                            </w:p>
                          </w:txbxContent>
                        </v:textbox>
                      </v:shape>
                      <v:shape id="_x0000_s1026" o:spid="_x0000_s1026" o:spt="202" type="#_x0000_t202" style="position:absolute;left:179705;top:1413510;height:266700;width:755650;" filled="f" stroked="t" coordsize="21600,21600" o:gfxdata="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Avs0zVAAAA&#10;BQEAAA8AAAAAAAAAAQAgAAAAIgAAAGRycy9kb3ducmV2LnhtbFBLAQIUABQAAAAIAIdO4kCE/yCH&#10;WQIAAJkEAAAOAAAAAAAAAAEAIAAAACQBAABkcnMvZTJvRG9jLnhtbFBLBQYAAAAABgAGAFkBAADv&#10;BQAAAAA=&#10;">
                        <v:fill on="f" focussize="0,0"/>
                        <v:stroke weight="0.5pt" color="#000000 [3213]" joinstyle="round"/>
                        <v:imagedata o:title=""/>
                        <o:lock v:ext="edit" aspectratio="f"/>
                        <v:textbox>
                          <w:txbxContent>
                            <w:p w14:paraId="1087577A">
                              <w:pPr>
                                <w:rPr>
                                  <w:rFonts w:hint="default" w:eastAsia="宋体"/>
                                  <w:lang w:val="en-US" w:eastAsia="zh-CN"/>
                                </w:rPr>
                              </w:pPr>
                              <w:r>
                                <w:rPr>
                                  <w:rFonts w:hint="eastAsia"/>
                                  <w:lang w:val="en-US" w:eastAsia="zh-CN"/>
                                </w:rPr>
                                <w:t>菌种发酵</w:t>
                              </w:r>
                            </w:p>
                          </w:txbxContent>
                        </v:textbox>
                      </v:shape>
                      <v:shape id="_x0000_s1026" o:spid="_x0000_s1026" o:spt="32" type="#_x0000_t32" style="position:absolute;left:947420;top:471170;flip:y;height:0;width:972000;" filled="f" stroked="t" coordsize="21600,21600" o:gfxdata="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qtnWtMAAAAFAQAA&#10;DwAAAAAAAAABACAAAAAiAAAAZHJzL2Rvd25yZXYueG1sUEsBAhQAFAAAAAgAh07iQC8u8yMeAgAA&#10;CQQAAA4AAAAAAAAAAQAgAAAAIgEAAGRycy9lMm9Eb2MueG1sUEsFBgAAAAAGAAYAWQEAALIFAAAA&#10;AA==&#10;">
                        <v:fill on="f" focussize="0,0"/>
                        <v:stroke weight="0.5pt" color="#000000 [3213]" joinstyle="round" endarrow="block"/>
                        <v:imagedata o:title=""/>
                        <o:lock v:ext="edit" aspectratio="f"/>
                      </v:shape>
                      <v:shape id="_x0000_s1026" o:spid="_x0000_s1026" o:spt="32" type="#_x0000_t32" style="position:absolute;left:979805;top:1032510;flip:y;height:0;width:936000;" filled="f" stroked="t" coordsize="21600,21600" o:gfxdata="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q2da0wAAAAUB&#10;AAAPAAAAAAAAAAEAIAAAACIAAABkcnMvZG93bnJldi54bWxQSwECFAAUAAAACACHTuJAjnvYJSAC&#10;AAAKBAAADgAAAAAAAAABACAAAAAiAQAAZHJzL2Uyb0RvYy54bWxQSwUGAAAAAAYABgBZAQAAtAUA&#10;AAAA&#10;">
                        <v:fill on="f" focussize="0,0"/>
                        <v:stroke weight="0.5pt" color="#000000 [3213]" joinstyle="round" endarrow="block"/>
                        <v:imagedata o:title=""/>
                        <o:lock v:ext="edit" aspectratio="f"/>
                      </v:shape>
                      <v:shape id="_x0000_s1026" o:spid="_x0000_s1026" o:spt="32" type="#_x0000_t32" style="position:absolute;left:935355;top:1559560;flip:y;height:0;width:972000;" filled="f" stroked="t" coordsize="21600,21600" o:gfxdata="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KrZ1rTAAAABQEA&#10;AA8AAAAAAAAAAQAgAAAAIgAAAGRycy9kb3ducmV2LnhtbFBLAQIUABQAAAAIAIdO4kDOvr5mHwIA&#10;AAoEAAAOAAAAAAAAAAEAIAAAACIBAABkcnMvZTJvRG9jLnhtbFBLBQYAAAAABgAGAFkBAACzBQAA&#10;AAA=&#10;">
                        <v:fill on="f" focussize="0,0"/>
                        <v:stroke weight="0.5pt" color="#000000 [3213]" joinstyle="round" endarrow="block"/>
                        <v:imagedata o:title=""/>
                        <o:lock v:ext="edit" aspectratio="f"/>
                      </v:shape>
                      <v:shape id="_x0000_s1026" o:spid="_x0000_s1026" o:spt="202" type="#_x0000_t202" style="position:absolute;left:954405;top:621030;height:449580;width:796290;" filled="f" stroked="f" coordsize="21600,21600" o:gfxdata="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QgLgNUAAAAFAQAADwAAAAAAAAABACAAAAAi&#10;AAAAZHJzL2Rvd25yZXYueG1sUEsBAhQAFAAAAAgAh07iQN6tAoZGAgAAcQQAAA4AAAAAAAAAAQAg&#10;AAAAJAEAAGRycy9lMm9Eb2MueG1sUEsFBgAAAAAGAAYAWQEAANwFAAAAAA==&#10;">
                        <v:fill on="f" focussize="0,0"/>
                        <v:stroke on="f" weight="0.5pt"/>
                        <v:imagedata o:title=""/>
                        <o:lock v:ext="edit" aspectratio="f"/>
                        <v:textbox>
                          <w:txbxContent>
                            <w:p w14:paraId="228BF519">
                              <w:pPr>
                                <w:jc w:val="center"/>
                                <w:rPr>
                                  <w:rFonts w:hint="default" w:eastAsia="宋体"/>
                                  <w:lang w:val="en-US" w:eastAsia="zh-CN"/>
                                </w:rPr>
                              </w:pPr>
                              <w:r>
                                <w:rPr>
                                  <w:rFonts w:hint="eastAsia" w:eastAsia="宋体"/>
                                  <w:lang w:val="en-US" w:eastAsia="zh-CN"/>
                                </w:rPr>
                                <w:t>臭气浓度</w:t>
                              </w:r>
                              <w:r>
                                <w:rPr>
                                  <w:rFonts w:hint="eastAsia"/>
                                  <w:lang w:val="en-US" w:eastAsia="zh-CN"/>
                                </w:rPr>
                                <w:t>、氨</w:t>
                              </w:r>
                            </w:p>
                          </w:txbxContent>
                        </v:textbox>
                      </v:shape>
                      <v:shape id="_x0000_s1026" o:spid="_x0000_s1026" o:spt="202" type="#_x0000_t202" style="position:absolute;left:960755;top:1192530;height:411480;width:838200;" filled="f" stroked="f" coordsize="21600,21600" o:gfxdata="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QgLgNUAAAAFAQAADwAAAAAAAAABACAAAAAi&#10;AAAAZHJzL2Rvd25yZXYueG1sUEsBAhQAFAAAAAgAh07iQIk36gxGAgAAcgQAAA4AAAAAAAAAAQAg&#10;AAAAJAEAAGRycy9lMm9Eb2MueG1sUEsFBgAAAAAGAAYAWQEAANwFAAAAAA==&#10;">
                        <v:fill on="f" focussize="0,0"/>
                        <v:stroke on="f" weight="0.5pt"/>
                        <v:imagedata o:title=""/>
                        <o:lock v:ext="edit" aspectratio="f"/>
                        <v:textbox>
                          <w:txbxContent>
                            <w:p w14:paraId="71C6AD77">
                              <w:pPr>
                                <w:jc w:val="center"/>
                                <w:rPr>
                                  <w:rFonts w:hint="default" w:eastAsia="宋体"/>
                                  <w:lang w:val="en-US" w:eastAsia="zh-CN"/>
                                </w:rPr>
                              </w:pPr>
                              <w:r>
                                <w:rPr>
                                  <w:rFonts w:hint="eastAsia" w:eastAsia="宋体"/>
                                  <w:lang w:val="en-US" w:eastAsia="zh-CN"/>
                                </w:rPr>
                                <w:t>臭气浓度</w:t>
                              </w:r>
                              <w:r>
                                <w:rPr>
                                  <w:rFonts w:hint="eastAsia"/>
                                  <w:lang w:val="en-US" w:eastAsia="zh-CN"/>
                                </w:rPr>
                                <w:t>、氨</w:t>
                              </w:r>
                            </w:p>
                          </w:txbxContent>
                        </v:textbox>
                      </v:shape>
                      <v:shape id="_x0000_s1026" o:spid="_x0000_s1026" o:spt="32" type="#_x0000_t32" style="position:absolute;left:1910715;top:459105;height:1115695;width:0;" filled="f" stroked="t" coordsize="21600,21600" o:gfxdata="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iH7TTAAAABQEAAA8AAAAAAAAAAQAg&#10;AAAAIgAAAGRycy9kb3ducmV2LnhtbFBLAQIUABQAAAAIAIdO4kDjvw2EEwIAAP0DAAAOAAAAAAAA&#10;AAEAIAAAACIBAABkcnMvZTJvRG9jLnhtbFBLBQYAAAAABgAGAFkBAACnBQAAAAA=&#10;">
                        <v:fill on="f" focussize="0,0"/>
                        <v:stroke weight="0.5pt" color="#000000 [3213]" joinstyle="round"/>
                        <v:imagedata o:title=""/>
                        <o:lock v:ext="edit" aspectratio="f"/>
                      </v:shape>
                      <v:shape id="_x0000_s1026" o:spid="_x0000_s1026" o:spt="32" type="#_x0000_t32" style="position:absolute;left:1925320;top:1036320;flip:y;height:0;width:360045;" filled="f" stroked="t" coordsize="21600,21600" o:gfxdata="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q2da0wAAAAUB&#10;AAAPAAAAAAAAAAEAIAAAACIAAABkcnMvZG93bnJldi54bWxQSwECFAAUAAAACACHTuJAtEerjCAC&#10;AAALBAAADgAAAAAAAAABACAAAAAiAQAAZHJzL2Uyb0RvYy54bWxQSwUGAAAAAAYABgBZAQAAtAUA&#10;AAAA&#10;">
                        <v:fill on="f" focussize="0,0"/>
                        <v:stroke weight="0.5pt" color="#000000 [3213]" joinstyle="round" endarrow="block"/>
                        <v:imagedata o:title=""/>
                        <o:lock v:ext="edit" aspectratio="f"/>
                      </v:shape>
                      <v:shape id="_x0000_s1026" o:spid="_x0000_s1026" o:spt="202" type="#_x0000_t202" style="position:absolute;left:3449955;top:894715;height:271780;width:1010920;" filled="f" stroked="t" coordsize="21600,21600" o:gfxdata="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Av&#10;s0zVAAAABQEAAA8AAAAAAAAAAQAgAAAAIgAAAGRycy9kb3ducmV2LnhtbFBLAQIUABQAAAAIAIdO&#10;4kBZQZ9aXwIAAJwEAAAOAAAAAAAAAAEAIAAAACQBAABkcnMvZTJvRG9jLnhtbFBLBQYAAAAABgAG&#10;AFkBAAD1BQAAAAA=&#10;">
                        <v:fill on="f" focussize="0,0"/>
                        <v:stroke weight="0.5pt" color="#000000 [3213]" joinstyle="round"/>
                        <v:imagedata o:title=""/>
                        <o:lock v:ext="edit" aspectratio="f"/>
                        <v:textbox>
                          <w:txbxContent>
                            <w:p w14:paraId="26A59655">
                              <w:pPr>
                                <w:rPr>
                                  <w:rFonts w:hint="default" w:eastAsia="宋体"/>
                                  <w:lang w:val="en-US" w:eastAsia="zh-CN"/>
                                </w:rPr>
                              </w:pPr>
                              <w:r>
                                <w:rPr>
                                  <w:rFonts w:hint="eastAsia" w:eastAsia="宋体"/>
                                  <w:lang w:val="en-US" w:eastAsia="zh-CN"/>
                                </w:rPr>
                                <w:t>活性炭</w:t>
                              </w:r>
                              <w:r>
                                <w:rPr>
                                  <w:rFonts w:hint="eastAsia"/>
                                  <w:lang w:val="en-US" w:eastAsia="zh-CN"/>
                                </w:rPr>
                                <w:t>过滤器</w:t>
                              </w:r>
                            </w:p>
                          </w:txbxContent>
                        </v:textbox>
                      </v:shape>
                      <v:shape id="_x0000_s1026" o:spid="_x0000_s1026" o:spt="202" type="#_x0000_t202" style="position:absolute;left:4803775;top:798830;height:444500;width:772795;" filled="f" stroked="f" coordsize="21600,21600" o:gfxdata="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CAuA1QAAAAUBAAAPAAAAAAAAAAEAIAAA&#10;ACIAAABkcnMvZG93bnJldi54bWxQSwECFAAUAAAACACHTuJAugB/1UgCAAByBAAADgAAAAAAAAAB&#10;ACAAAAAkAQAAZHJzL2Uyb0RvYy54bWxQSwUGAAAAAAYABgBZAQAA3gUAAAAA&#10;">
                        <v:fill on="f" focussize="0,0"/>
                        <v:stroke on="f" weight="0.5pt"/>
                        <v:imagedata o:title=""/>
                        <o:lock v:ext="edit" aspectratio="f"/>
                        <v:textbox>
                          <w:txbxContent>
                            <w:p w14:paraId="28F5BE43">
                              <w:pPr>
                                <w:rPr>
                                  <w:rFonts w:hint="default" w:eastAsia="宋体"/>
                                  <w:lang w:val="en-US" w:eastAsia="zh-CN"/>
                                </w:rPr>
                              </w:pPr>
                              <w:r>
                                <w:rPr>
                                  <w:rFonts w:hint="eastAsia"/>
                                  <w:lang w:val="en-US" w:eastAsia="zh-CN"/>
                                </w:rPr>
                                <w:t>车间内无组织排放</w:t>
                              </w:r>
                            </w:p>
                          </w:txbxContent>
                        </v:textbox>
                      </v:shape>
                      <v:shape id="_x0000_s1026" o:spid="_x0000_s1026" o:spt="32" type="#_x0000_t32" style="position:absolute;left:4468495;top:1019810;flip:y;height:0;width:288290;" filled="f" stroked="t" coordsize="21600,21600" o:gfxdata="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KrZ1rTAAAA&#10;BQEAAA8AAAAAAAAAAQAgAAAAIgAAAGRycy9kb3ducmV2LnhtbFBLAQIUABQAAAAIAIdO4kAdL2jA&#10;IgIAAAsEAAAOAAAAAAAAAAEAIAAAACIBAABkcnMvZTJvRG9jLnhtbFBLBQYAAAAABgAGAFkBAAC2&#10;BQAAAAA=&#10;">
                        <v:fill on="f" focussize="0,0"/>
                        <v:stroke weight="0.5pt" color="#000000 [3213]" joinstyle="round" endarrow="block"/>
                        <v:imagedata o:title=""/>
                        <o:lock v:ext="edit" aspectratio="f"/>
                      </v:shape>
                      <v:shape id="_x0000_s1026" o:spid="_x0000_s1026" o:spt="202" type="#_x0000_t202" style="position:absolute;left:2327910;top:888365;height:273050;width:598170;" filled="f" stroked="t" coordsize="21600,21600" o:gfxdata="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gL7NM1QAA&#10;AAUBAAAPAAAAAAAAAAEAIAAAACIAAABkcnMvZG93bnJldi54bWxQSwECFAAUAAAACACHTuJAFRIY&#10;GFoCAACZBAAADgAAAAAAAAABACAAAAAkAQAAZHJzL2Uyb0RvYy54bWxQSwUGAAAAAAYABgBZAQAA&#10;8AUAAAAA&#10;">
                        <v:fill on="f" focussize="0,0"/>
                        <v:stroke weight="0.5pt" color="#000000 [3213]" joinstyle="round"/>
                        <v:imagedata o:title=""/>
                        <o:lock v:ext="edit" aspectratio="f"/>
                        <v:textbox>
                          <w:txbxContent>
                            <w:p w14:paraId="0353C8B1">
                              <w:pPr>
                                <w:rPr>
                                  <w:rFonts w:hint="default" w:eastAsia="宋体"/>
                                  <w:lang w:val="en-US" w:eastAsia="zh-CN"/>
                                </w:rPr>
                              </w:pPr>
                              <w:r>
                                <w:rPr>
                                  <w:rFonts w:hint="eastAsia"/>
                                  <w:lang w:val="en-US" w:eastAsia="zh-CN"/>
                                </w:rPr>
                                <w:t>通风柜</w:t>
                              </w:r>
                            </w:p>
                          </w:txbxContent>
                        </v:textbox>
                      </v:shape>
                      <v:shape id="_x0000_s1026" o:spid="_x0000_s1026" o:spt="32" type="#_x0000_t32" style="position:absolute;left:2961640;top:1031240;flip:y;height:0;width:467995;" filled="f" stroked="t" coordsize="21600,21600" o:gfxdata="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qtnWtMAAAAF&#10;AQAADwAAAAAAAAABACAAAAAiAAAAZHJzL2Rvd25yZXYueG1sUEsBAhQAFAAAAAgAh07iQGMZehch&#10;AgAACwQAAA4AAAAAAAAAAQAgAAAAIgEAAGRycy9lMm9Eb2MueG1sUEsFBgAAAAAGAAYAWQEAALUF&#10;AAAAAA==&#10;">
                        <v:fill on="f" focussize="0,0"/>
                        <v:stroke weight="0.5pt" color="#000000 [3213]" joinstyle="round" endarrow="block"/>
                        <v:imagedata o:title=""/>
                        <o:lock v:ext="edit" aspectratio="f"/>
                      </v:shape>
                      <w10:wrap type="none"/>
                      <w10:anchorlock/>
                    </v:group>
                  </w:pict>
                </mc:Fallback>
              </mc:AlternateContent>
            </w:r>
          </w:p>
          <w:p w14:paraId="5B97A05D">
            <w:pPr>
              <w:keepNext w:val="0"/>
              <w:keepLines w:val="0"/>
              <w:pageBreakBefore w:val="0"/>
              <w:widowControl w:val="0"/>
              <w:tabs>
                <w:tab w:val="left" w:pos="1684"/>
              </w:tabs>
              <w:kinsoku/>
              <w:wordWrap/>
              <w:overflowPunct/>
              <w:topLinePunct w:val="0"/>
              <w:autoSpaceDE/>
              <w:autoSpaceDN/>
              <w:bidi w:val="0"/>
              <w:adjustRightInd/>
              <w:snapToGrid/>
              <w:spacing w:line="480" w:lineRule="exact"/>
              <w:jc w:val="center"/>
              <w:textAlignment w:val="auto"/>
              <w:rPr>
                <w:rFonts w:hint="default"/>
                <w:b/>
                <w:bCs/>
                <w:color w:val="auto"/>
                <w:sz w:val="21"/>
                <w:szCs w:val="21"/>
                <w:lang w:val="en-US" w:eastAsia="zh-CN"/>
              </w:rPr>
            </w:pPr>
            <w:r>
              <w:rPr>
                <w:rFonts w:hint="eastAsia"/>
                <w:b/>
                <w:bCs/>
                <w:color w:val="auto"/>
                <w:sz w:val="21"/>
                <w:szCs w:val="21"/>
                <w:lang w:val="en-US" w:eastAsia="zh-CN"/>
              </w:rPr>
              <w:t>图4-1无组织废气处理工艺流程图</w:t>
            </w:r>
          </w:p>
          <w:p w14:paraId="34602E63">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eastAsia="宋体"/>
                <w:b/>
                <w:bCs/>
                <w:color w:val="auto"/>
                <w:sz w:val="24"/>
                <w:szCs w:val="24"/>
                <w:lang w:val="en-US" w:eastAsia="zh-CN"/>
              </w:rPr>
            </w:pPr>
            <w:r>
              <w:rPr>
                <w:rFonts w:hint="eastAsia"/>
                <w:b/>
                <w:bCs/>
                <w:color w:val="auto"/>
                <w:sz w:val="24"/>
                <w:szCs w:val="24"/>
                <w:lang w:val="en-US" w:eastAsia="zh-CN"/>
              </w:rPr>
              <w:t>1.3废气收集系统</w:t>
            </w:r>
          </w:p>
          <w:p w14:paraId="72F67D9D">
            <w:pPr>
              <w:keepNext w:val="0"/>
              <w:keepLines w:val="0"/>
              <w:pageBreakBefore w:val="0"/>
              <w:widowControl w:val="0"/>
              <w:tabs>
                <w:tab w:val="left" w:pos="1684"/>
              </w:tabs>
              <w:kinsoku/>
              <w:wordWrap/>
              <w:overflowPunct/>
              <w:topLinePunct w:val="0"/>
              <w:autoSpaceDE/>
              <w:autoSpaceDN/>
              <w:bidi w:val="0"/>
              <w:adjustRightInd/>
              <w:snapToGrid/>
              <w:spacing w:line="480" w:lineRule="exact"/>
              <w:jc w:val="center"/>
              <w:textAlignment w:val="auto"/>
              <w:rPr>
                <w:rFonts w:hint="eastAsia"/>
                <w:b/>
                <w:bCs/>
                <w:color w:val="auto"/>
                <w:sz w:val="21"/>
                <w:szCs w:val="21"/>
                <w:lang w:val="en-US" w:eastAsia="zh-CN"/>
              </w:rPr>
            </w:pPr>
            <w:r>
              <w:rPr>
                <w:rFonts w:hint="eastAsia"/>
                <w:b/>
                <w:bCs/>
                <w:color w:val="auto"/>
                <w:sz w:val="21"/>
                <w:szCs w:val="21"/>
                <w:lang w:val="en-US" w:eastAsia="zh-CN"/>
              </w:rPr>
              <w:t>表4-2本项目废气收集核算表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54"/>
              <w:gridCol w:w="2425"/>
              <w:gridCol w:w="1944"/>
              <w:gridCol w:w="1923"/>
            </w:tblGrid>
            <w:tr w14:paraId="00099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pct"/>
                  <w:tcBorders>
                    <w:tl2br w:val="nil"/>
                    <w:tr2bl w:val="nil"/>
                  </w:tcBorders>
                  <w:vAlign w:val="center"/>
                </w:tcPr>
                <w:p w14:paraId="094E75C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bCs/>
                      <w:color w:val="auto"/>
                      <w:kern w:val="0"/>
                      <w:sz w:val="21"/>
                      <w:szCs w:val="21"/>
                      <w:lang w:val="en-US" w:eastAsia="zh-CN" w:bidi="ar"/>
                    </w:rPr>
                  </w:pPr>
                  <w:r>
                    <w:rPr>
                      <w:rFonts w:hint="default" w:ascii="Times New Roman" w:hAnsi="Times New Roman" w:cs="Times New Roman" w:eastAsiaTheme="minorEastAsia"/>
                      <w:b/>
                      <w:bCs/>
                      <w:color w:val="auto"/>
                      <w:kern w:val="0"/>
                      <w:sz w:val="21"/>
                      <w:szCs w:val="21"/>
                      <w:lang w:val="en-US" w:eastAsia="zh-CN" w:bidi="ar"/>
                    </w:rPr>
                    <w:t>废气来源</w:t>
                  </w:r>
                </w:p>
              </w:tc>
              <w:tc>
                <w:tcPr>
                  <w:tcW w:w="1370" w:type="pct"/>
                  <w:tcBorders>
                    <w:tl2br w:val="nil"/>
                    <w:tr2bl w:val="nil"/>
                  </w:tcBorders>
                  <w:vAlign w:val="center"/>
                </w:tcPr>
                <w:p w14:paraId="1962D7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bCs/>
                      <w:color w:val="auto"/>
                      <w:kern w:val="0"/>
                      <w:sz w:val="21"/>
                      <w:szCs w:val="21"/>
                      <w:lang w:val="en-US" w:eastAsia="zh-CN" w:bidi="ar"/>
                    </w:rPr>
                  </w:pPr>
                  <w:r>
                    <w:rPr>
                      <w:rFonts w:hint="default" w:ascii="Times New Roman" w:hAnsi="Times New Roman" w:cs="Times New Roman" w:eastAsiaTheme="minorEastAsia"/>
                      <w:b/>
                      <w:bCs/>
                      <w:color w:val="auto"/>
                      <w:kern w:val="0"/>
                      <w:sz w:val="21"/>
                      <w:szCs w:val="21"/>
                      <w:lang w:val="en-US" w:eastAsia="zh-CN" w:bidi="ar"/>
                    </w:rPr>
                    <w:t>产污节点</w:t>
                  </w:r>
                </w:p>
              </w:tc>
              <w:tc>
                <w:tcPr>
                  <w:tcW w:w="1098" w:type="pct"/>
                  <w:tcBorders>
                    <w:tl2br w:val="nil"/>
                    <w:tr2bl w:val="nil"/>
                  </w:tcBorders>
                  <w:vAlign w:val="center"/>
                </w:tcPr>
                <w:p w14:paraId="2E6BD7A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bCs/>
                      <w:color w:val="auto"/>
                      <w:kern w:val="0"/>
                      <w:sz w:val="21"/>
                      <w:szCs w:val="21"/>
                      <w:lang w:val="en-US" w:eastAsia="zh-CN" w:bidi="ar"/>
                    </w:rPr>
                  </w:pPr>
                  <w:r>
                    <w:rPr>
                      <w:rFonts w:hint="default" w:ascii="Times New Roman" w:hAnsi="Times New Roman" w:cs="Times New Roman" w:eastAsiaTheme="minorEastAsia"/>
                      <w:b/>
                      <w:bCs/>
                      <w:color w:val="auto"/>
                      <w:kern w:val="0"/>
                      <w:sz w:val="21"/>
                      <w:szCs w:val="21"/>
                      <w:lang w:val="en-US" w:eastAsia="zh-CN" w:bidi="ar"/>
                    </w:rPr>
                    <w:t>收集方式</w:t>
                  </w:r>
                </w:p>
              </w:tc>
              <w:tc>
                <w:tcPr>
                  <w:tcW w:w="1086" w:type="pct"/>
                  <w:tcBorders>
                    <w:tl2br w:val="nil"/>
                    <w:tr2bl w:val="nil"/>
                  </w:tcBorders>
                  <w:vAlign w:val="center"/>
                </w:tcPr>
                <w:p w14:paraId="0791A5A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b/>
                      <w:bCs/>
                      <w:color w:val="auto"/>
                      <w:kern w:val="0"/>
                      <w:sz w:val="21"/>
                      <w:szCs w:val="21"/>
                      <w:lang w:val="en-US" w:eastAsia="zh-CN" w:bidi="ar"/>
                    </w:rPr>
                  </w:pPr>
                  <w:r>
                    <w:rPr>
                      <w:rFonts w:hint="default" w:ascii="Times New Roman" w:hAnsi="Times New Roman" w:cs="Times New Roman" w:eastAsiaTheme="minorEastAsia"/>
                      <w:b/>
                      <w:bCs/>
                      <w:color w:val="auto"/>
                      <w:kern w:val="0"/>
                      <w:sz w:val="21"/>
                      <w:szCs w:val="21"/>
                      <w:lang w:val="en-US" w:eastAsia="zh-CN" w:bidi="ar"/>
                    </w:rPr>
                    <w:t>设计风量</w:t>
                  </w:r>
                </w:p>
              </w:tc>
            </w:tr>
            <w:tr w14:paraId="18FA0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pct"/>
                  <w:tcBorders>
                    <w:tl2br w:val="nil"/>
                    <w:tr2bl w:val="nil"/>
                  </w:tcBorders>
                  <w:vAlign w:val="center"/>
                </w:tcPr>
                <w:p w14:paraId="60E84EE7">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乙醇</w:t>
                  </w:r>
                  <w:r>
                    <w:rPr>
                      <w:rFonts w:hint="default" w:ascii="Times New Roman" w:hAnsi="Times New Roman" w:cs="Times New Roman" w:eastAsiaTheme="minorEastAsia"/>
                      <w:b w:val="0"/>
                      <w:bCs w:val="0"/>
                      <w:color w:val="auto"/>
                      <w:sz w:val="21"/>
                      <w:szCs w:val="21"/>
                      <w:vertAlign w:val="baseline"/>
                      <w:lang w:val="en-US" w:eastAsia="zh-CN"/>
                    </w:rPr>
                    <w:t>擦拭消毒</w:t>
                  </w:r>
                </w:p>
              </w:tc>
              <w:tc>
                <w:tcPr>
                  <w:tcW w:w="1370" w:type="pct"/>
                  <w:tcBorders>
                    <w:tl2br w:val="nil"/>
                    <w:tr2bl w:val="nil"/>
                  </w:tcBorders>
                  <w:vAlign w:val="center"/>
                </w:tcPr>
                <w:p w14:paraId="738DF1E3">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乙醇</w:t>
                  </w:r>
                  <w:r>
                    <w:rPr>
                      <w:rFonts w:hint="default" w:ascii="Times New Roman" w:hAnsi="Times New Roman" w:cs="Times New Roman" w:eastAsiaTheme="minorEastAsia"/>
                      <w:b w:val="0"/>
                      <w:bCs w:val="0"/>
                      <w:color w:val="auto"/>
                      <w:sz w:val="21"/>
                      <w:szCs w:val="21"/>
                      <w:vertAlign w:val="baseline"/>
                      <w:lang w:val="en-US" w:eastAsia="zh-CN"/>
                    </w:rPr>
                    <w:t>擦拭消毒</w:t>
                  </w:r>
                </w:p>
              </w:tc>
              <w:tc>
                <w:tcPr>
                  <w:tcW w:w="1098" w:type="pct"/>
                  <w:vMerge w:val="restart"/>
                  <w:tcBorders>
                    <w:tl2br w:val="nil"/>
                    <w:tr2bl w:val="nil"/>
                  </w:tcBorders>
                  <w:vAlign w:val="center"/>
                </w:tcPr>
                <w:p w14:paraId="562F5E94">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通风橱</w:t>
                  </w:r>
                </w:p>
              </w:tc>
              <w:tc>
                <w:tcPr>
                  <w:tcW w:w="1086" w:type="pct"/>
                  <w:vMerge w:val="restart"/>
                  <w:tcBorders>
                    <w:tl2br w:val="nil"/>
                    <w:tr2bl w:val="nil"/>
                  </w:tcBorders>
                  <w:vAlign w:val="center"/>
                </w:tcPr>
                <w:p w14:paraId="026931C0">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1</w:t>
                  </w:r>
                  <w:r>
                    <w:rPr>
                      <w:rFonts w:hint="default" w:ascii="Times New Roman" w:hAnsi="Times New Roman" w:cs="Times New Roman" w:eastAsiaTheme="minorEastAsia"/>
                      <w:b w:val="0"/>
                      <w:bCs w:val="0"/>
                      <w:color w:val="auto"/>
                      <w:sz w:val="21"/>
                      <w:szCs w:val="21"/>
                      <w:vertAlign w:val="baseline"/>
                      <w:lang w:val="en-US" w:eastAsia="zh-CN"/>
                    </w:rPr>
                    <w:t>000</w:t>
                  </w:r>
                  <w:r>
                    <w:rPr>
                      <w:rFonts w:hint="eastAsia" w:ascii="Times New Roman" w:hAnsi="Times New Roman" w:cs="Times New Roman" w:eastAsiaTheme="minorEastAsia"/>
                      <w:b w:val="0"/>
                      <w:bCs w:val="0"/>
                      <w:color w:val="auto"/>
                      <w:sz w:val="21"/>
                      <w:szCs w:val="21"/>
                      <w:vertAlign w:val="baseline"/>
                      <w:lang w:val="en-US" w:eastAsia="zh-CN"/>
                    </w:rPr>
                    <w:t>m</w:t>
                  </w:r>
                  <w:r>
                    <w:rPr>
                      <w:rFonts w:hint="eastAsia" w:ascii="Times New Roman" w:hAnsi="Times New Roman" w:cs="Times New Roman" w:eastAsiaTheme="minorEastAsia"/>
                      <w:b w:val="0"/>
                      <w:bCs w:val="0"/>
                      <w:color w:val="auto"/>
                      <w:sz w:val="21"/>
                      <w:szCs w:val="21"/>
                      <w:vertAlign w:val="superscript"/>
                      <w:lang w:val="en-US" w:eastAsia="zh-CN"/>
                    </w:rPr>
                    <w:t>3</w:t>
                  </w:r>
                  <w:r>
                    <w:rPr>
                      <w:rFonts w:hint="eastAsia" w:ascii="Times New Roman" w:hAnsi="Times New Roman" w:cs="Times New Roman" w:eastAsiaTheme="minorEastAsia"/>
                      <w:b w:val="0"/>
                      <w:bCs w:val="0"/>
                      <w:color w:val="auto"/>
                      <w:sz w:val="21"/>
                      <w:szCs w:val="21"/>
                      <w:vertAlign w:val="baseline"/>
                      <w:lang w:val="en-US" w:eastAsia="zh-CN"/>
                    </w:rPr>
                    <w:t>/h</w:t>
                  </w:r>
                </w:p>
              </w:tc>
            </w:tr>
            <w:tr w14:paraId="5E4C3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pct"/>
                  <w:tcBorders>
                    <w:tl2br w:val="nil"/>
                    <w:tr2bl w:val="nil"/>
                  </w:tcBorders>
                  <w:vAlign w:val="center"/>
                </w:tcPr>
                <w:p w14:paraId="08DC9CB8">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菌种培养</w:t>
                  </w:r>
                </w:p>
              </w:tc>
              <w:tc>
                <w:tcPr>
                  <w:tcW w:w="1370" w:type="pct"/>
                  <w:tcBorders>
                    <w:tl2br w:val="nil"/>
                    <w:tr2bl w:val="nil"/>
                  </w:tcBorders>
                  <w:vAlign w:val="center"/>
                </w:tcPr>
                <w:p w14:paraId="316BF8D9">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菌种培养</w:t>
                  </w:r>
                </w:p>
              </w:tc>
              <w:tc>
                <w:tcPr>
                  <w:tcW w:w="1098" w:type="pct"/>
                  <w:vMerge w:val="continue"/>
                  <w:tcBorders>
                    <w:tl2br w:val="nil"/>
                    <w:tr2bl w:val="nil"/>
                  </w:tcBorders>
                  <w:vAlign w:val="center"/>
                </w:tcPr>
                <w:p w14:paraId="2CAB08B4">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c>
                <w:tcPr>
                  <w:tcW w:w="1086" w:type="pct"/>
                  <w:vMerge w:val="continue"/>
                  <w:tcBorders>
                    <w:tl2br w:val="nil"/>
                    <w:tr2bl w:val="nil"/>
                  </w:tcBorders>
                  <w:vAlign w:val="center"/>
                </w:tcPr>
                <w:p w14:paraId="31CC33BC">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r>
            <w:tr w14:paraId="396EA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3" w:type="pct"/>
                  <w:tcBorders>
                    <w:tl2br w:val="nil"/>
                    <w:tr2bl w:val="nil"/>
                  </w:tcBorders>
                  <w:vAlign w:val="center"/>
                </w:tcPr>
                <w:p w14:paraId="7A7C86DD">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菌种发酵</w:t>
                  </w:r>
                </w:p>
              </w:tc>
              <w:tc>
                <w:tcPr>
                  <w:tcW w:w="1370" w:type="pct"/>
                  <w:tcBorders>
                    <w:tl2br w:val="nil"/>
                    <w:tr2bl w:val="nil"/>
                  </w:tcBorders>
                  <w:vAlign w:val="center"/>
                </w:tcPr>
                <w:p w14:paraId="4B162FD3">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发酵</w:t>
                  </w:r>
                </w:p>
              </w:tc>
              <w:tc>
                <w:tcPr>
                  <w:tcW w:w="1098" w:type="pct"/>
                  <w:vMerge w:val="continue"/>
                  <w:tcBorders>
                    <w:tl2br w:val="nil"/>
                    <w:tr2bl w:val="nil"/>
                  </w:tcBorders>
                  <w:vAlign w:val="center"/>
                </w:tcPr>
                <w:p w14:paraId="0CA1EBF7">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c>
                <w:tcPr>
                  <w:tcW w:w="1086" w:type="pct"/>
                  <w:vMerge w:val="continue"/>
                  <w:tcBorders>
                    <w:tl2br w:val="nil"/>
                    <w:tr2bl w:val="nil"/>
                  </w:tcBorders>
                  <w:vAlign w:val="center"/>
                </w:tcPr>
                <w:p w14:paraId="5803E42E">
                  <w:pPr>
                    <w:keepNext w:val="0"/>
                    <w:keepLines w:val="0"/>
                    <w:pageBreakBefore w:val="0"/>
                    <w:widowControl w:val="0"/>
                    <w:tabs>
                      <w:tab w:val="left" w:pos="1684"/>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r>
          </w:tbl>
          <w:p w14:paraId="41AF00EE">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0" w:firstLineChars="200"/>
              <w:textAlignment w:val="auto"/>
              <w:rPr>
                <w:rFonts w:hint="eastAsia"/>
                <w:b/>
                <w:bCs/>
                <w:color w:val="auto"/>
                <w:sz w:val="24"/>
                <w:szCs w:val="24"/>
                <w:lang w:val="en-US" w:eastAsia="zh-CN"/>
              </w:rPr>
            </w:pPr>
            <w:r>
              <w:rPr>
                <w:rFonts w:hint="eastAsia"/>
                <w:color w:val="auto"/>
                <w:sz w:val="24"/>
                <w:szCs w:val="24"/>
              </w:rPr>
              <w:t>由上表可知，设计风量为</w:t>
            </w:r>
            <w:r>
              <w:rPr>
                <w:rFonts w:hint="eastAsia"/>
                <w:color w:val="auto"/>
                <w:sz w:val="24"/>
                <w:szCs w:val="24"/>
                <w:lang w:val="en-US" w:eastAsia="zh-CN"/>
              </w:rPr>
              <w:t>1</w:t>
            </w:r>
            <w:r>
              <w:rPr>
                <w:rFonts w:hint="eastAsia"/>
                <w:color w:val="auto"/>
                <w:sz w:val="24"/>
                <w:szCs w:val="24"/>
              </w:rPr>
              <w:t>000m</w:t>
            </w:r>
            <w:r>
              <w:rPr>
                <w:rFonts w:hint="eastAsia"/>
                <w:color w:val="auto"/>
                <w:sz w:val="24"/>
                <w:szCs w:val="24"/>
                <w:vertAlign w:val="superscript"/>
              </w:rPr>
              <w:t>3</w:t>
            </w:r>
            <w:r>
              <w:rPr>
                <w:rFonts w:hint="eastAsia"/>
                <w:color w:val="auto"/>
                <w:sz w:val="24"/>
                <w:szCs w:val="24"/>
              </w:rPr>
              <w:t>/h能够满足废气</w:t>
            </w:r>
            <w:r>
              <w:rPr>
                <w:rFonts w:hint="eastAsia"/>
                <w:color w:val="auto"/>
                <w:sz w:val="24"/>
                <w:szCs w:val="24"/>
                <w:lang w:val="en-US" w:eastAsia="zh-CN"/>
              </w:rPr>
              <w:t>80</w:t>
            </w:r>
            <w:r>
              <w:rPr>
                <w:rFonts w:hint="eastAsia"/>
                <w:color w:val="auto"/>
                <w:sz w:val="24"/>
                <w:szCs w:val="24"/>
              </w:rPr>
              <w:t>%的收集要求。</w:t>
            </w:r>
          </w:p>
          <w:p w14:paraId="036FFDC5">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eastAsia"/>
                <w:b/>
                <w:bCs/>
                <w:color w:val="auto"/>
                <w:sz w:val="24"/>
                <w:szCs w:val="24"/>
                <w:lang w:val="en-US" w:eastAsia="zh-CN"/>
              </w:rPr>
            </w:pPr>
            <w:r>
              <w:rPr>
                <w:rFonts w:hint="eastAsia"/>
                <w:b/>
                <w:bCs/>
                <w:color w:val="auto"/>
                <w:sz w:val="24"/>
                <w:szCs w:val="24"/>
                <w:lang w:val="en-US" w:eastAsia="zh-CN"/>
              </w:rPr>
              <w:t>1.4废气处理装置运行原理</w:t>
            </w:r>
          </w:p>
          <w:p w14:paraId="68A362AF">
            <w:pPr>
              <w:pStyle w:val="104"/>
              <w:keepNext w:val="0"/>
              <w:keepLines w:val="0"/>
              <w:pageBreakBefore w:val="0"/>
              <w:widowControl w:val="0"/>
              <w:kinsoku/>
              <w:wordWrap/>
              <w:overflowPunct/>
              <w:topLinePunct w:val="0"/>
              <w:autoSpaceDE w:val="0"/>
              <w:autoSpaceDN w:val="0"/>
              <w:bidi w:val="0"/>
              <w:adjustRightInd/>
              <w:snapToGrid/>
              <w:spacing w:before="0" w:beforeLines="0" w:after="0" w:afterLines="0" w:line="480" w:lineRule="exact"/>
              <w:ind w:firstLine="502" w:firstLineChars="200"/>
              <w:textAlignment w:val="auto"/>
              <w:rPr>
                <w:rFonts w:hint="default" w:ascii="Times New Roman" w:hAnsi="Times New Roman" w:eastAsia="宋体" w:cs="Times New Roman"/>
                <w:b/>
                <w:bCs/>
                <w:color w:val="auto"/>
                <w:spacing w:val="0"/>
                <w:sz w:val="24"/>
                <w:lang w:val="en-US" w:eastAsia="zh-CN"/>
              </w:rPr>
            </w:pP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val="en-US" w:eastAsia="zh-CN"/>
              </w:rPr>
              <w:t>二级活性炭装置</w:t>
            </w:r>
          </w:p>
          <w:p w14:paraId="5D0BE089">
            <w:pPr>
              <w:pStyle w:val="104"/>
              <w:keepNext w:val="0"/>
              <w:keepLines w:val="0"/>
              <w:pageBreakBefore w:val="0"/>
              <w:widowControl w:val="0"/>
              <w:kinsoku/>
              <w:wordWrap/>
              <w:overflowPunct/>
              <w:topLinePunct w:val="0"/>
              <w:autoSpaceDE w:val="0"/>
              <w:autoSpaceDN w:val="0"/>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b w:val="0"/>
                <w:bCs w:val="0"/>
                <w:color w:val="auto"/>
                <w:spacing w:val="0"/>
                <w:sz w:val="24"/>
                <w:lang w:val="en-US" w:eastAsia="zh-CN"/>
              </w:rPr>
            </w:pPr>
            <w:r>
              <w:rPr>
                <w:rFonts w:hint="default" w:ascii="Times New Roman" w:hAnsi="Times New Roman" w:eastAsia="宋体" w:cs="Times New Roman"/>
                <w:b w:val="0"/>
                <w:bCs w:val="0"/>
                <w:color w:val="auto"/>
                <w:spacing w:val="0"/>
                <w:sz w:val="24"/>
                <w:lang w:val="en-US" w:eastAsia="zh-CN"/>
              </w:rPr>
              <w:t>活性炭是一种多孔性的含炭物质，它具有高度发达的孔隙构造，</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活性炭</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的多孔结构为其提供了大量的表面积，能与气体（杂质）充分接触，从而赋予了</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活性炭</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所特有的吸附性能，使其非常容易达到吸收收集杂质的目的。就像</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"http://zhidao.baidu.com/search?word=磁力&amp;fr=qb_search_exp&amp;ie=utf8"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磁力</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一样，所有的分子之间都具有相互引力。正因为如此，活性炭孔壁上的大量的分子可以产生强大的引力，从而达到将有害的杂质吸引到孔径中的目的。</w:t>
            </w:r>
          </w:p>
          <w:p w14:paraId="2777B989">
            <w:pPr>
              <w:pStyle w:val="104"/>
              <w:keepNext w:val="0"/>
              <w:keepLines w:val="0"/>
              <w:pageBreakBefore w:val="0"/>
              <w:widowControl w:val="0"/>
              <w:numPr>
                <w:ilvl w:val="0"/>
                <w:numId w:val="15"/>
              </w:numPr>
              <w:kinsoku/>
              <w:wordWrap/>
              <w:overflowPunct/>
              <w:topLinePunct w:val="0"/>
              <w:autoSpaceDE w:val="0"/>
              <w:autoSpaceDN w:val="0"/>
              <w:bidi w:val="0"/>
              <w:adjustRightInd/>
              <w:snapToGrid/>
              <w:spacing w:before="0" w:beforeLines="0" w:after="0" w:afterLines="0" w:line="480" w:lineRule="exact"/>
              <w:ind w:firstLine="482" w:firstLineChars="200"/>
              <w:textAlignment w:val="auto"/>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pacing w:val="0"/>
                <w:sz w:val="24"/>
                <w:lang w:val="en-US" w:eastAsia="zh-CN"/>
              </w:rPr>
              <w:t>处理可行性及达标分析：</w:t>
            </w:r>
          </w:p>
          <w:p w14:paraId="584D5E46">
            <w:pPr>
              <w:pStyle w:val="104"/>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b w:val="0"/>
                <w:bCs w:val="0"/>
                <w:color w:val="auto"/>
                <w:spacing w:val="0"/>
                <w:sz w:val="24"/>
                <w:lang w:val="en-US" w:eastAsia="zh-CN"/>
              </w:rPr>
            </w:pPr>
            <w:r>
              <w:rPr>
                <w:rFonts w:hint="default" w:ascii="Times New Roman" w:hAnsi="Times New Roman" w:eastAsia="宋体" w:cs="Times New Roman"/>
                <w:b w:val="0"/>
                <w:bCs w:val="0"/>
                <w:color w:val="auto"/>
                <w:spacing w:val="0"/>
                <w:sz w:val="24"/>
                <w:lang w:val="en-US" w:eastAsia="zh-CN"/>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二级活性炭吸附装置”吸附有机废气，故有机废气处理效率保守取90%，具有可行性。</w:t>
            </w:r>
          </w:p>
          <w:p w14:paraId="7DE79E1E">
            <w:pPr>
              <w:pStyle w:val="7"/>
              <w:spacing w:line="240" w:lineRule="auto"/>
              <w:jc w:val="center"/>
              <w:rPr>
                <w:rFonts w:hint="default"/>
                <w:b/>
                <w:bCs/>
                <w:color w:val="auto"/>
                <w:sz w:val="21"/>
                <w:szCs w:val="21"/>
                <w:lang w:val="en-US" w:eastAsia="zh-CN"/>
              </w:rPr>
            </w:pPr>
            <w:r>
              <w:rPr>
                <w:rFonts w:hint="eastAsia"/>
                <w:b/>
                <w:bCs/>
                <w:color w:val="auto"/>
                <w:sz w:val="21"/>
                <w:szCs w:val="21"/>
                <w:lang w:val="en-US" w:eastAsia="zh-CN"/>
              </w:rPr>
              <w:t>表4-3 活性炭装置技术参数</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3620"/>
              <w:gridCol w:w="4426"/>
            </w:tblGrid>
            <w:tr w14:paraId="01B90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32A79C7E">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b/>
                      <w:bCs/>
                      <w:color w:val="auto"/>
                      <w:kern w:val="0"/>
                      <w:sz w:val="21"/>
                      <w:szCs w:val="21"/>
                    </w:rPr>
                    <w:t>序号</w:t>
                  </w:r>
                </w:p>
              </w:tc>
              <w:tc>
                <w:tcPr>
                  <w:tcW w:w="3620" w:type="dxa"/>
                  <w:tcBorders>
                    <w:tl2br w:val="nil"/>
                    <w:tr2bl w:val="nil"/>
                  </w:tcBorders>
                  <w:vAlign w:val="center"/>
                </w:tcPr>
                <w:p w14:paraId="1B7B8FD7">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b/>
                      <w:bCs/>
                      <w:color w:val="auto"/>
                      <w:kern w:val="0"/>
                      <w:sz w:val="21"/>
                      <w:szCs w:val="21"/>
                    </w:rPr>
                    <w:t>名称</w:t>
                  </w:r>
                </w:p>
              </w:tc>
              <w:tc>
                <w:tcPr>
                  <w:tcW w:w="4426" w:type="dxa"/>
                  <w:tcBorders>
                    <w:tl2br w:val="nil"/>
                    <w:tr2bl w:val="nil"/>
                  </w:tcBorders>
                  <w:vAlign w:val="center"/>
                </w:tcPr>
                <w:p w14:paraId="6433D7D6">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b/>
                      <w:bCs/>
                      <w:color w:val="auto"/>
                      <w:kern w:val="0"/>
                      <w:sz w:val="21"/>
                      <w:szCs w:val="21"/>
                    </w:rPr>
                    <w:t>技术参数</w:t>
                  </w:r>
                </w:p>
              </w:tc>
            </w:tr>
            <w:tr w14:paraId="1844F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7A0BA116">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w:t>
                  </w:r>
                </w:p>
              </w:tc>
              <w:tc>
                <w:tcPr>
                  <w:tcW w:w="3620" w:type="dxa"/>
                  <w:tcBorders>
                    <w:tl2br w:val="nil"/>
                    <w:tr2bl w:val="nil"/>
                  </w:tcBorders>
                  <w:vAlign w:val="center"/>
                </w:tcPr>
                <w:p w14:paraId="6126ED2C">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废气净化方式</w:t>
                  </w:r>
                </w:p>
              </w:tc>
              <w:tc>
                <w:tcPr>
                  <w:tcW w:w="4426" w:type="dxa"/>
                  <w:tcBorders>
                    <w:tl2br w:val="nil"/>
                    <w:tr2bl w:val="nil"/>
                  </w:tcBorders>
                  <w:vAlign w:val="center"/>
                </w:tcPr>
                <w:p w14:paraId="06D5CC6E">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活性炭吸附处理</w:t>
                  </w:r>
                </w:p>
              </w:tc>
            </w:tr>
            <w:tr w14:paraId="7DFF4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387CEC7C">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2</w:t>
                  </w:r>
                </w:p>
              </w:tc>
              <w:tc>
                <w:tcPr>
                  <w:tcW w:w="3620" w:type="dxa"/>
                  <w:tcBorders>
                    <w:tl2br w:val="nil"/>
                    <w:tr2bl w:val="nil"/>
                  </w:tcBorders>
                  <w:vAlign w:val="center"/>
                </w:tcPr>
                <w:p w14:paraId="2878E7D3">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风量</w:t>
                  </w:r>
                </w:p>
              </w:tc>
              <w:tc>
                <w:tcPr>
                  <w:tcW w:w="4426" w:type="dxa"/>
                  <w:tcBorders>
                    <w:tl2br w:val="nil"/>
                    <w:tr2bl w:val="nil"/>
                  </w:tcBorders>
                  <w:vAlign w:val="center"/>
                </w:tcPr>
                <w:p w14:paraId="266C927C">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eastAsia"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r>
            <w:tr w14:paraId="01308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6A490D39">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3</w:t>
                  </w:r>
                </w:p>
              </w:tc>
              <w:tc>
                <w:tcPr>
                  <w:tcW w:w="3620" w:type="dxa"/>
                  <w:tcBorders>
                    <w:tl2br w:val="nil"/>
                    <w:tr2bl w:val="nil"/>
                  </w:tcBorders>
                  <w:vAlign w:val="center"/>
                </w:tcPr>
                <w:p w14:paraId="743AACF6">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废气温度</w:t>
                  </w:r>
                </w:p>
              </w:tc>
              <w:tc>
                <w:tcPr>
                  <w:tcW w:w="4426" w:type="dxa"/>
                  <w:tcBorders>
                    <w:tl2br w:val="nil"/>
                    <w:tr2bl w:val="nil"/>
                  </w:tcBorders>
                  <w:vAlign w:val="center"/>
                </w:tcPr>
                <w:p w14:paraId="4EA6A6EE">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≤40℃</w:t>
                  </w:r>
                </w:p>
              </w:tc>
            </w:tr>
            <w:tr w14:paraId="43FF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059788E7">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4</w:t>
                  </w:r>
                </w:p>
              </w:tc>
              <w:tc>
                <w:tcPr>
                  <w:tcW w:w="3620" w:type="dxa"/>
                  <w:tcBorders>
                    <w:tl2br w:val="nil"/>
                    <w:tr2bl w:val="nil"/>
                  </w:tcBorders>
                  <w:vAlign w:val="center"/>
                </w:tcPr>
                <w:p w14:paraId="031A132F">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活性炭安装方式</w:t>
                  </w:r>
                </w:p>
              </w:tc>
              <w:tc>
                <w:tcPr>
                  <w:tcW w:w="4426" w:type="dxa"/>
                  <w:tcBorders>
                    <w:tl2br w:val="nil"/>
                    <w:tr2bl w:val="nil"/>
                  </w:tcBorders>
                  <w:vAlign w:val="center"/>
                </w:tcPr>
                <w:p w14:paraId="5195D767">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上装式，由活性炭、活性炭托盘、箱体组成</w:t>
                  </w:r>
                </w:p>
              </w:tc>
            </w:tr>
            <w:tr w14:paraId="3BFAB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3AF17CE0">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5</w:t>
                  </w:r>
                </w:p>
              </w:tc>
              <w:tc>
                <w:tcPr>
                  <w:tcW w:w="3620" w:type="dxa"/>
                  <w:tcBorders>
                    <w:tl2br w:val="nil"/>
                    <w:tr2bl w:val="nil"/>
                  </w:tcBorders>
                  <w:vAlign w:val="center"/>
                </w:tcPr>
                <w:p w14:paraId="566A37A9">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箱体规格（长度×宽度×高度）</w:t>
                  </w:r>
                </w:p>
              </w:tc>
              <w:tc>
                <w:tcPr>
                  <w:tcW w:w="4426" w:type="dxa"/>
                  <w:tcBorders>
                    <w:tl2br w:val="nil"/>
                    <w:tr2bl w:val="nil"/>
                  </w:tcBorders>
                  <w:vAlign w:val="center"/>
                </w:tcPr>
                <w:p w14:paraId="1911718B">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 w:val="24"/>
                      <w:szCs w:val="24"/>
                      <w:vertAlign w:val="baseline"/>
                    </w:rPr>
                  </w:pPr>
                  <w:r>
                    <w:rPr>
                      <w:rFonts w:hint="eastAsia" w:ascii="Times New Roman" w:hAnsi="Times New Roman" w:eastAsia="宋体" w:cs="Times New Roman"/>
                      <w:color w:val="auto"/>
                      <w:kern w:val="0"/>
                      <w:sz w:val="21"/>
                      <w:szCs w:val="21"/>
                      <w:lang w:val="en-US" w:eastAsia="zh-CN"/>
                    </w:rPr>
                    <w:t>0.6</w:t>
                  </w:r>
                  <w:r>
                    <w:rPr>
                      <w:rFonts w:hint="default" w:ascii="Times New Roman" w:hAnsi="Times New Roman" w:eastAsia="宋体" w:cs="Times New Roman"/>
                      <w:color w:val="auto"/>
                      <w:kern w:val="0"/>
                      <w:sz w:val="21"/>
                      <w:szCs w:val="21"/>
                    </w:rPr>
                    <w:t>m×</w:t>
                  </w:r>
                  <w:r>
                    <w:rPr>
                      <w:rFonts w:hint="eastAsia" w:ascii="Times New Roman" w:hAnsi="Times New Roman" w:eastAsia="宋体" w:cs="Times New Roman"/>
                      <w:color w:val="auto"/>
                      <w:kern w:val="0"/>
                      <w:sz w:val="21"/>
                      <w:szCs w:val="21"/>
                      <w:lang w:val="en-US" w:eastAsia="zh-CN"/>
                    </w:rPr>
                    <w:t>0.6</w:t>
                  </w:r>
                  <w:r>
                    <w:rPr>
                      <w:rFonts w:hint="default" w:ascii="Times New Roman" w:hAnsi="Times New Roman" w:eastAsia="宋体" w:cs="Times New Roman"/>
                      <w:color w:val="auto"/>
                      <w:kern w:val="0"/>
                      <w:sz w:val="21"/>
                      <w:szCs w:val="21"/>
                    </w:rPr>
                    <w:t>m×</w:t>
                  </w:r>
                  <w:r>
                    <w:rPr>
                      <w:rFonts w:hint="eastAsia" w:ascii="Times New Roman" w:hAnsi="Times New Roman" w:eastAsia="宋体" w:cs="Times New Roman"/>
                      <w:color w:val="auto"/>
                      <w:kern w:val="0"/>
                      <w:sz w:val="21"/>
                      <w:szCs w:val="21"/>
                      <w:lang w:val="en-US" w:eastAsia="zh-CN"/>
                    </w:rPr>
                    <w:t>0.6</w:t>
                  </w:r>
                  <w:r>
                    <w:rPr>
                      <w:rFonts w:hint="default" w:ascii="Times New Roman" w:hAnsi="Times New Roman" w:eastAsia="宋体" w:cs="Times New Roman"/>
                      <w:color w:val="auto"/>
                      <w:kern w:val="0"/>
                      <w:sz w:val="21"/>
                      <w:szCs w:val="21"/>
                    </w:rPr>
                    <w:t>m</w:t>
                  </w:r>
                </w:p>
              </w:tc>
            </w:tr>
            <w:tr w14:paraId="2ED7C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09A5E3E1">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6</w:t>
                  </w:r>
                </w:p>
              </w:tc>
              <w:tc>
                <w:tcPr>
                  <w:tcW w:w="3620" w:type="dxa"/>
                  <w:tcBorders>
                    <w:tl2br w:val="nil"/>
                    <w:tr2bl w:val="nil"/>
                  </w:tcBorders>
                  <w:vAlign w:val="center"/>
                </w:tcPr>
                <w:p w14:paraId="46B0833A">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炭层规格（长度×宽度×厚度）</w:t>
                  </w:r>
                </w:p>
              </w:tc>
              <w:tc>
                <w:tcPr>
                  <w:tcW w:w="4426" w:type="dxa"/>
                  <w:tcBorders>
                    <w:tl2br w:val="nil"/>
                    <w:tr2bl w:val="nil"/>
                  </w:tcBorders>
                  <w:vAlign w:val="center"/>
                </w:tcPr>
                <w:p w14:paraId="5E72F989">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 w:val="24"/>
                      <w:szCs w:val="24"/>
                      <w:vertAlign w:val="baseline"/>
                    </w:rPr>
                  </w:pPr>
                  <w:r>
                    <w:rPr>
                      <w:rFonts w:hint="eastAsia"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rPr>
                    <w:t>.5m×0.</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m×0.</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m</w:t>
                  </w:r>
                </w:p>
              </w:tc>
            </w:tr>
            <w:tr w14:paraId="6EBB9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6A19A8BA">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7</w:t>
                  </w:r>
                </w:p>
              </w:tc>
              <w:tc>
                <w:tcPr>
                  <w:tcW w:w="3620" w:type="dxa"/>
                  <w:tcBorders>
                    <w:tl2br w:val="nil"/>
                    <w:tr2bl w:val="nil"/>
                  </w:tcBorders>
                  <w:vAlign w:val="center"/>
                </w:tcPr>
                <w:p w14:paraId="0067C2BA">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层数</w:t>
                  </w:r>
                </w:p>
              </w:tc>
              <w:tc>
                <w:tcPr>
                  <w:tcW w:w="4426" w:type="dxa"/>
                  <w:tcBorders>
                    <w:tl2br w:val="nil"/>
                    <w:tr2bl w:val="nil"/>
                  </w:tcBorders>
                  <w:vAlign w:val="center"/>
                </w:tcPr>
                <w:p w14:paraId="4DBDFB2E">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2</w:t>
                  </w:r>
                </w:p>
              </w:tc>
            </w:tr>
            <w:tr w14:paraId="185A3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098CD6E4">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8</w:t>
                  </w:r>
                </w:p>
              </w:tc>
              <w:tc>
                <w:tcPr>
                  <w:tcW w:w="3620" w:type="dxa"/>
                  <w:tcBorders>
                    <w:tl2br w:val="nil"/>
                    <w:tr2bl w:val="nil"/>
                  </w:tcBorders>
                  <w:vAlign w:val="center"/>
                </w:tcPr>
                <w:p w14:paraId="05BA2A55">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活性炭类型</w:t>
                  </w:r>
                </w:p>
              </w:tc>
              <w:tc>
                <w:tcPr>
                  <w:tcW w:w="4426" w:type="dxa"/>
                  <w:tcBorders>
                    <w:tl2br w:val="nil"/>
                    <w:tr2bl w:val="nil"/>
                  </w:tcBorders>
                  <w:vAlign w:val="center"/>
                </w:tcPr>
                <w:p w14:paraId="4E8AB806">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蜂窝状活性炭</w:t>
                  </w:r>
                </w:p>
              </w:tc>
            </w:tr>
            <w:tr w14:paraId="72563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26212749">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9</w:t>
                  </w:r>
                </w:p>
              </w:tc>
              <w:tc>
                <w:tcPr>
                  <w:tcW w:w="3620" w:type="dxa"/>
                  <w:tcBorders>
                    <w:tl2br w:val="nil"/>
                    <w:tr2bl w:val="nil"/>
                  </w:tcBorders>
                  <w:vAlign w:val="center"/>
                </w:tcPr>
                <w:p w14:paraId="63411DBF">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比表面积（m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/g）</w:t>
                  </w:r>
                </w:p>
              </w:tc>
              <w:tc>
                <w:tcPr>
                  <w:tcW w:w="4426" w:type="dxa"/>
                  <w:tcBorders>
                    <w:tl2br w:val="nil"/>
                    <w:tr2bl w:val="nil"/>
                  </w:tcBorders>
                  <w:vAlign w:val="center"/>
                </w:tcPr>
                <w:p w14:paraId="6D588EB7">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900~1600</w:t>
                  </w:r>
                </w:p>
              </w:tc>
            </w:tr>
            <w:tr w14:paraId="0AC3B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30B159A6">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10</w:t>
                  </w:r>
                </w:p>
              </w:tc>
              <w:tc>
                <w:tcPr>
                  <w:tcW w:w="3620" w:type="dxa"/>
                  <w:tcBorders>
                    <w:tl2br w:val="nil"/>
                    <w:tr2bl w:val="nil"/>
                  </w:tcBorders>
                  <w:vAlign w:val="center"/>
                </w:tcPr>
                <w:p w14:paraId="722499D3">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孔体积（cm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/g）</w:t>
                  </w:r>
                </w:p>
              </w:tc>
              <w:tc>
                <w:tcPr>
                  <w:tcW w:w="4426" w:type="dxa"/>
                  <w:tcBorders>
                    <w:tl2br w:val="nil"/>
                    <w:tr2bl w:val="nil"/>
                  </w:tcBorders>
                  <w:vAlign w:val="center"/>
                </w:tcPr>
                <w:p w14:paraId="7D5797D2">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0.63</w:t>
                  </w:r>
                </w:p>
              </w:tc>
            </w:tr>
            <w:tr w14:paraId="6E82C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76BAD614">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11</w:t>
                  </w:r>
                </w:p>
              </w:tc>
              <w:tc>
                <w:tcPr>
                  <w:tcW w:w="3620" w:type="dxa"/>
                  <w:tcBorders>
                    <w:tl2br w:val="nil"/>
                    <w:tr2bl w:val="nil"/>
                  </w:tcBorders>
                  <w:vAlign w:val="center"/>
                </w:tcPr>
                <w:p w14:paraId="6D34C7F3">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活性炭密度（g/cm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4426" w:type="dxa"/>
                  <w:tcBorders>
                    <w:tl2br w:val="nil"/>
                    <w:tr2bl w:val="nil"/>
                  </w:tcBorders>
                  <w:vAlign w:val="center"/>
                </w:tcPr>
                <w:p w14:paraId="25A60511">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0.45</w:t>
                  </w:r>
                </w:p>
              </w:tc>
            </w:tr>
            <w:tr w14:paraId="59A3A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04B8EC43">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12</w:t>
                  </w:r>
                </w:p>
              </w:tc>
              <w:tc>
                <w:tcPr>
                  <w:tcW w:w="3620" w:type="dxa"/>
                  <w:tcBorders>
                    <w:tl2br w:val="nil"/>
                    <w:tr2bl w:val="nil"/>
                  </w:tcBorders>
                  <w:vAlign w:val="center"/>
                </w:tcPr>
                <w:p w14:paraId="04BD1CA0">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碘吸附值（mg/g）</w:t>
                  </w:r>
                </w:p>
              </w:tc>
              <w:tc>
                <w:tcPr>
                  <w:tcW w:w="4426" w:type="dxa"/>
                  <w:tcBorders>
                    <w:tl2br w:val="nil"/>
                    <w:tr2bl w:val="nil"/>
                  </w:tcBorders>
                  <w:vAlign w:val="center"/>
                </w:tcPr>
                <w:p w14:paraId="69B5A74A">
                  <w:pPr>
                    <w:keepNext w:val="0"/>
                    <w:keepLines w:val="0"/>
                    <w:pageBreakBefore w:val="0"/>
                    <w:widowControl/>
                    <w:kinsoku/>
                    <w:wordWrap/>
                    <w:overflowPunct/>
                    <w:topLinePunct w:val="0"/>
                    <w:autoSpaceDE/>
                    <w:autoSpaceDN/>
                    <w:bidi w:val="0"/>
                    <w:adjustRightInd w:val="0"/>
                    <w:snapToGrid w:val="0"/>
                    <w:jc w:val="center"/>
                    <w:rPr>
                      <w:rFonts w:hint="eastAsia" w:eastAsia="宋体"/>
                      <w:b/>
                      <w:bCs/>
                      <w:color w:val="auto"/>
                      <w:sz w:val="24"/>
                      <w:szCs w:val="24"/>
                      <w:vertAlign w:val="baseline"/>
                      <w:lang w:val="en-US" w:eastAsia="zh-CN"/>
                    </w:rPr>
                  </w:pPr>
                  <w:r>
                    <w:rPr>
                      <w:rFonts w:hint="default" w:ascii="Times New Roman" w:hAnsi="Times New Roman" w:eastAsia="宋体" w:cs="Times New Roman"/>
                      <w:color w:val="auto"/>
                      <w:kern w:val="0"/>
                      <w:sz w:val="21"/>
                      <w:szCs w:val="21"/>
                    </w:rPr>
                    <w:t>800</w:t>
                  </w:r>
                  <w:r>
                    <w:rPr>
                      <w:rFonts w:hint="eastAsia" w:cs="Times New Roman"/>
                      <w:color w:val="auto"/>
                      <w:kern w:val="0"/>
                      <w:sz w:val="21"/>
                      <w:szCs w:val="21"/>
                      <w:lang w:val="en-US" w:eastAsia="zh-CN"/>
                    </w:rPr>
                    <w:t xml:space="preserve"> </w:t>
                  </w:r>
                </w:p>
              </w:tc>
            </w:tr>
            <w:tr w14:paraId="25F90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25037D5A">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13</w:t>
                  </w:r>
                </w:p>
              </w:tc>
              <w:tc>
                <w:tcPr>
                  <w:tcW w:w="3620" w:type="dxa"/>
                  <w:tcBorders>
                    <w:tl2br w:val="nil"/>
                    <w:tr2bl w:val="nil"/>
                  </w:tcBorders>
                  <w:vAlign w:val="center"/>
                </w:tcPr>
                <w:p w14:paraId="553E56FB">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highlight w:val="none"/>
                    </w:rPr>
                    <w:t>停留时间（s）</w:t>
                  </w:r>
                </w:p>
              </w:tc>
              <w:tc>
                <w:tcPr>
                  <w:tcW w:w="4426" w:type="dxa"/>
                  <w:tcBorders>
                    <w:tl2br w:val="nil"/>
                    <w:tr2bl w:val="nil"/>
                  </w:tcBorders>
                  <w:vAlign w:val="center"/>
                </w:tcPr>
                <w:p w14:paraId="52051E28">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highlight w:val="none"/>
                      <w:lang w:val="en-US" w:eastAsia="zh-CN"/>
                    </w:rPr>
                    <w:t>1.04</w:t>
                  </w:r>
                </w:p>
              </w:tc>
            </w:tr>
            <w:tr w14:paraId="29E77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02F1DE33">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14</w:t>
                  </w:r>
                </w:p>
              </w:tc>
              <w:tc>
                <w:tcPr>
                  <w:tcW w:w="3620" w:type="dxa"/>
                  <w:tcBorders>
                    <w:tl2br w:val="nil"/>
                    <w:tr2bl w:val="nil"/>
                  </w:tcBorders>
                  <w:vAlign w:val="center"/>
                </w:tcPr>
                <w:p w14:paraId="0019F6C5">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气流速度（m/s）</w:t>
                  </w:r>
                </w:p>
              </w:tc>
              <w:tc>
                <w:tcPr>
                  <w:tcW w:w="4426" w:type="dxa"/>
                  <w:tcBorders>
                    <w:tl2br w:val="nil"/>
                    <w:tr2bl w:val="nil"/>
                  </w:tcBorders>
                  <w:vAlign w:val="center"/>
                </w:tcPr>
                <w:p w14:paraId="69DECFF6">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0.58</w:t>
                  </w:r>
                </w:p>
              </w:tc>
            </w:tr>
            <w:tr w14:paraId="0237B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246E3839">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15</w:t>
                  </w:r>
                </w:p>
              </w:tc>
              <w:tc>
                <w:tcPr>
                  <w:tcW w:w="3620" w:type="dxa"/>
                  <w:tcBorders>
                    <w:tl2br w:val="nil"/>
                    <w:tr2bl w:val="nil"/>
                  </w:tcBorders>
                  <w:vAlign w:val="center"/>
                </w:tcPr>
                <w:p w14:paraId="0B95FB1C">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填充量</w:t>
                  </w:r>
                </w:p>
              </w:tc>
              <w:tc>
                <w:tcPr>
                  <w:tcW w:w="4426" w:type="dxa"/>
                  <w:tcBorders>
                    <w:tl2br w:val="nil"/>
                    <w:tr2bl w:val="nil"/>
                  </w:tcBorders>
                  <w:vAlign w:val="center"/>
                </w:tcPr>
                <w:p w14:paraId="32036CA5">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05</w:t>
                  </w:r>
                  <w:r>
                    <w:rPr>
                      <w:rFonts w:hint="default" w:ascii="Times New Roman" w:hAnsi="Times New Roman" w:eastAsia="宋体" w:cs="Times New Roman"/>
                      <w:color w:val="auto"/>
                      <w:kern w:val="0"/>
                      <w:sz w:val="21"/>
                      <w:szCs w:val="21"/>
                    </w:rPr>
                    <w:t>t</w:t>
                  </w:r>
                </w:p>
              </w:tc>
            </w:tr>
            <w:tr w14:paraId="2F7DE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145B5418">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16</w:t>
                  </w:r>
                </w:p>
              </w:tc>
              <w:tc>
                <w:tcPr>
                  <w:tcW w:w="3620" w:type="dxa"/>
                  <w:tcBorders>
                    <w:tl2br w:val="nil"/>
                    <w:tr2bl w:val="nil"/>
                  </w:tcBorders>
                  <w:vAlign w:val="center"/>
                </w:tcPr>
                <w:p w14:paraId="7967206D">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更换频次</w:t>
                  </w:r>
                </w:p>
              </w:tc>
              <w:tc>
                <w:tcPr>
                  <w:tcW w:w="4426" w:type="dxa"/>
                  <w:tcBorders>
                    <w:tl2br w:val="nil"/>
                    <w:tr2bl w:val="nil"/>
                  </w:tcBorders>
                  <w:vAlign w:val="center"/>
                </w:tcPr>
                <w:p w14:paraId="700F02C1">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eastAsia" w:cs="Times New Roman"/>
                      <w:color w:val="auto"/>
                      <w:sz w:val="21"/>
                      <w:szCs w:val="21"/>
                      <w:lang w:val="en-US" w:eastAsia="zh-CN"/>
                    </w:rPr>
                    <w:t>95</w:t>
                  </w:r>
                  <w:r>
                    <w:rPr>
                      <w:rFonts w:hint="default" w:ascii="Times New Roman" w:hAnsi="Times New Roman" w:eastAsia="宋体" w:cs="Times New Roman"/>
                      <w:color w:val="auto"/>
                      <w:sz w:val="21"/>
                      <w:szCs w:val="21"/>
                      <w:lang w:val="en-US" w:eastAsia="zh-CN"/>
                    </w:rPr>
                    <w:t>d</w:t>
                  </w:r>
                </w:p>
              </w:tc>
            </w:tr>
            <w:tr w14:paraId="5F920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1355B2D8">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17</w:t>
                  </w:r>
                </w:p>
              </w:tc>
              <w:tc>
                <w:tcPr>
                  <w:tcW w:w="3620" w:type="dxa"/>
                  <w:tcBorders>
                    <w:tl2br w:val="nil"/>
                    <w:tr2bl w:val="nil"/>
                  </w:tcBorders>
                  <w:vAlign w:val="center"/>
                </w:tcPr>
                <w:p w14:paraId="4EDDB421">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活性炭风阻力</w:t>
                  </w:r>
                </w:p>
              </w:tc>
              <w:tc>
                <w:tcPr>
                  <w:tcW w:w="4426" w:type="dxa"/>
                  <w:tcBorders>
                    <w:tl2br w:val="nil"/>
                    <w:tr2bl w:val="nil"/>
                  </w:tcBorders>
                  <w:vAlign w:val="center"/>
                </w:tcPr>
                <w:p w14:paraId="398048F0">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500pa</w:t>
                  </w:r>
                </w:p>
              </w:tc>
            </w:tr>
            <w:tr w14:paraId="6587F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tl2br w:val="nil"/>
                    <w:tr2bl w:val="nil"/>
                  </w:tcBorders>
                  <w:vAlign w:val="center"/>
                </w:tcPr>
                <w:p w14:paraId="7EE77D02">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18</w:t>
                  </w:r>
                </w:p>
              </w:tc>
              <w:tc>
                <w:tcPr>
                  <w:tcW w:w="3620" w:type="dxa"/>
                  <w:tcBorders>
                    <w:tl2br w:val="nil"/>
                    <w:tr2bl w:val="nil"/>
                  </w:tcBorders>
                  <w:vAlign w:val="center"/>
                </w:tcPr>
                <w:p w14:paraId="31EBB93B">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设计处理效率</w:t>
                  </w:r>
                </w:p>
              </w:tc>
              <w:tc>
                <w:tcPr>
                  <w:tcW w:w="4426" w:type="dxa"/>
                  <w:tcBorders>
                    <w:tl2br w:val="nil"/>
                    <w:tr2bl w:val="nil"/>
                  </w:tcBorders>
                  <w:vAlign w:val="center"/>
                </w:tcPr>
                <w:p w14:paraId="45AA3478">
                  <w:pPr>
                    <w:keepNext w:val="0"/>
                    <w:keepLines w:val="0"/>
                    <w:pageBreakBefore w:val="0"/>
                    <w:widowControl/>
                    <w:kinsoku/>
                    <w:wordWrap/>
                    <w:overflowPunct/>
                    <w:topLinePunct w:val="0"/>
                    <w:autoSpaceDE/>
                    <w:autoSpaceDN/>
                    <w:bidi w:val="0"/>
                    <w:adjustRightInd w:val="0"/>
                    <w:snapToGrid w:val="0"/>
                    <w:jc w:val="center"/>
                    <w:rPr>
                      <w:b/>
                      <w:bCs/>
                      <w:color w:val="auto"/>
                      <w:sz w:val="24"/>
                      <w:szCs w:val="24"/>
                      <w:vertAlign w:val="baseline"/>
                    </w:rPr>
                  </w:pPr>
                  <w:r>
                    <w:rPr>
                      <w:rFonts w:hint="default" w:ascii="Times New Roman" w:hAnsi="Times New Roman" w:eastAsia="宋体" w:cs="Times New Roman"/>
                      <w:color w:val="auto"/>
                      <w:kern w:val="0"/>
                      <w:sz w:val="21"/>
                      <w:szCs w:val="21"/>
                    </w:rPr>
                    <w:t>≥7</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%（单套）</w:t>
                  </w:r>
                </w:p>
              </w:tc>
            </w:tr>
          </w:tbl>
          <w:p w14:paraId="4A5A63B9">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bCs/>
                <w:color w:val="auto"/>
                <w:kern w:val="0"/>
                <w:sz w:val="24"/>
                <w:szCs w:val="24"/>
              </w:rPr>
              <w:t>根据《材料研究与应用》2010年12月第4卷第4期，余倩等人《活性炭吸附技术对VOCs净化处理的研究进展》一文，采用吸附法能够使VOCs的去除率高达90-95%，本项目</w:t>
            </w:r>
            <w:r>
              <w:rPr>
                <w:rFonts w:hint="default" w:ascii="Times New Roman" w:hAnsi="Times New Roman" w:eastAsia="宋体" w:cs="Times New Roman"/>
                <w:bCs/>
                <w:color w:val="auto"/>
                <w:kern w:val="0"/>
                <w:sz w:val="24"/>
                <w:szCs w:val="24"/>
                <w:lang w:val="en-US" w:eastAsia="zh-CN"/>
              </w:rPr>
              <w:t>挤出流延成膜工序</w:t>
            </w:r>
            <w:r>
              <w:rPr>
                <w:rFonts w:hint="default" w:ascii="Times New Roman" w:hAnsi="Times New Roman" w:eastAsia="宋体" w:cs="Times New Roman"/>
                <w:bCs/>
                <w:color w:val="auto"/>
                <w:kern w:val="0"/>
                <w:sz w:val="24"/>
                <w:szCs w:val="24"/>
              </w:rPr>
              <w:t>非甲烷总烃去除率保守估计取90%。根据</w:t>
            </w:r>
            <w:r>
              <w:rPr>
                <w:rFonts w:hint="default" w:ascii="Times New Roman" w:hAnsi="Times New Roman" w:eastAsia="宋体" w:cs="Times New Roman"/>
                <w:color w:val="auto"/>
                <w:kern w:val="0"/>
                <w:sz w:val="24"/>
                <w:szCs w:val="24"/>
              </w:rPr>
              <w:t>《省生态环境厅关于深入开展涉VOCs治理重点工作核查的通知》（苏环办【2022】218号）相关要求，采用蜂窝活性炭时，气体流速宜低于1.20m/s，</w:t>
            </w:r>
            <w:r>
              <w:rPr>
                <w:rFonts w:hint="default" w:ascii="Times New Roman" w:hAnsi="Times New Roman" w:eastAsia="宋体" w:cs="Times New Roman"/>
                <w:color w:val="auto"/>
                <w:kern w:val="0"/>
                <w:sz w:val="24"/>
                <w:szCs w:val="24"/>
                <w:shd w:val="clear" w:color="auto" w:fill="FFFFFF"/>
              </w:rPr>
              <w:t>蜂窝活性炭碘吸附值≥</w:t>
            </w:r>
            <w:r>
              <w:rPr>
                <w:rFonts w:hint="default" w:ascii="Times New Roman" w:hAnsi="Times New Roman" w:eastAsia="宋体" w:cs="Times New Roman"/>
                <w:color w:val="auto"/>
                <w:kern w:val="0"/>
                <w:sz w:val="24"/>
                <w:szCs w:val="24"/>
                <w:shd w:val="clear" w:color="auto" w:fill="FFFFFF"/>
                <w:lang w:val="en-US" w:eastAsia="zh-CN"/>
              </w:rPr>
              <w:t>80</w:t>
            </w:r>
            <w:r>
              <w:rPr>
                <w:rFonts w:hint="default" w:ascii="Times New Roman" w:hAnsi="Times New Roman" w:eastAsia="宋体" w:cs="Times New Roman"/>
                <w:color w:val="auto"/>
                <w:kern w:val="0"/>
                <w:sz w:val="24"/>
                <w:szCs w:val="24"/>
                <w:shd w:val="clear" w:color="auto" w:fill="FFFFFF"/>
              </w:rPr>
              <w:t>0mg/g，活性炭更换周期一般不应超过累计运行500小时或3个月，进入吸附设备的废气温度应低于40℃，</w:t>
            </w:r>
            <w:r>
              <w:rPr>
                <w:rFonts w:hint="default" w:ascii="Times New Roman" w:hAnsi="Times New Roman" w:eastAsia="宋体" w:cs="Times New Roman"/>
                <w:color w:val="auto"/>
                <w:kern w:val="0"/>
                <w:sz w:val="24"/>
                <w:szCs w:val="24"/>
              </w:rPr>
              <w:t>本项目设计活性炭过滤风速为</w:t>
            </w:r>
            <w:r>
              <w:rPr>
                <w:rFonts w:hint="default" w:ascii="Times New Roman" w:hAnsi="Times New Roman" w:eastAsia="宋体" w:cs="Times New Roman"/>
                <w:color w:val="auto"/>
                <w:kern w:val="0"/>
                <w:sz w:val="24"/>
                <w:szCs w:val="24"/>
                <w:lang w:val="en-US" w:eastAsia="zh-CN"/>
              </w:rPr>
              <w:t>0.58</w:t>
            </w:r>
            <w:r>
              <w:rPr>
                <w:rFonts w:hint="default" w:ascii="Times New Roman" w:hAnsi="Times New Roman" w:eastAsia="宋体" w:cs="Times New Roman"/>
                <w:color w:val="auto"/>
                <w:kern w:val="0"/>
                <w:sz w:val="24"/>
                <w:szCs w:val="24"/>
              </w:rPr>
              <w:t>m/s，</w:t>
            </w:r>
            <w:r>
              <w:rPr>
                <w:rFonts w:hint="default" w:ascii="Times New Roman" w:hAnsi="Times New Roman" w:eastAsia="宋体" w:cs="Times New Roman"/>
                <w:color w:val="auto"/>
                <w:kern w:val="0"/>
                <w:sz w:val="24"/>
                <w:szCs w:val="24"/>
                <w:shd w:val="clear" w:color="auto" w:fill="FFFFFF"/>
              </w:rPr>
              <w:t>碘吸附值为</w:t>
            </w:r>
            <w:r>
              <w:rPr>
                <w:rFonts w:hint="default" w:ascii="Times New Roman" w:hAnsi="Times New Roman" w:eastAsia="宋体" w:cs="Times New Roman"/>
                <w:color w:val="auto"/>
                <w:kern w:val="0"/>
                <w:sz w:val="24"/>
                <w:szCs w:val="24"/>
                <w:shd w:val="clear" w:color="auto" w:fill="FFFFFF"/>
                <w:lang w:val="en-US" w:eastAsia="zh-CN"/>
              </w:rPr>
              <w:t>80</w:t>
            </w:r>
            <w:r>
              <w:rPr>
                <w:rFonts w:hint="default" w:ascii="Times New Roman" w:hAnsi="Times New Roman" w:eastAsia="宋体" w:cs="Times New Roman"/>
                <w:color w:val="auto"/>
                <w:kern w:val="0"/>
                <w:sz w:val="24"/>
                <w:szCs w:val="24"/>
                <w:shd w:val="clear" w:color="auto" w:fill="FFFFFF"/>
              </w:rPr>
              <w:t>0mg/g，活性炭设计</w:t>
            </w:r>
            <w:r>
              <w:rPr>
                <w:rFonts w:hint="eastAsia" w:ascii="Times New Roman" w:hAnsi="Times New Roman" w:eastAsia="宋体" w:cs="Times New Roman"/>
                <w:color w:val="auto"/>
                <w:kern w:val="0"/>
                <w:sz w:val="24"/>
                <w:szCs w:val="24"/>
                <w:shd w:val="clear" w:color="auto" w:fill="FFFFFF"/>
                <w:lang w:val="en-US" w:eastAsia="zh-CN"/>
              </w:rPr>
              <w:t>9</w:t>
            </w:r>
            <w:r>
              <w:rPr>
                <w:rFonts w:hint="eastAsia" w:cs="Times New Roman"/>
                <w:color w:val="auto"/>
                <w:kern w:val="0"/>
                <w:sz w:val="24"/>
                <w:szCs w:val="24"/>
                <w:shd w:val="clear" w:color="auto" w:fill="FFFFFF"/>
                <w:lang w:val="en-US" w:eastAsia="zh-CN"/>
              </w:rPr>
              <w:t>5</w:t>
            </w:r>
            <w:r>
              <w:rPr>
                <w:rFonts w:hint="default" w:ascii="Times New Roman" w:hAnsi="Times New Roman" w:eastAsia="宋体" w:cs="Times New Roman"/>
                <w:color w:val="auto"/>
                <w:kern w:val="0"/>
                <w:sz w:val="24"/>
                <w:szCs w:val="24"/>
                <w:shd w:val="clear" w:color="auto" w:fill="FFFFFF"/>
                <w:lang w:val="en-US" w:eastAsia="zh-CN"/>
              </w:rPr>
              <w:t>d</w:t>
            </w:r>
            <w:r>
              <w:rPr>
                <w:rFonts w:hint="default" w:ascii="Times New Roman" w:hAnsi="Times New Roman" w:eastAsia="宋体" w:cs="Times New Roman"/>
                <w:color w:val="auto"/>
                <w:kern w:val="0"/>
                <w:sz w:val="24"/>
                <w:szCs w:val="24"/>
                <w:shd w:val="clear" w:color="auto" w:fill="FFFFFF"/>
              </w:rPr>
              <w:t>更换一次，项目有机废气产生温度较低，经过风机管道等冷却后，进入活性炭箱的温度低于40℃</w:t>
            </w:r>
            <w:r>
              <w:rPr>
                <w:rFonts w:hint="eastAsia" w:cs="Times New Roman"/>
                <w:color w:val="auto"/>
                <w:kern w:val="0"/>
                <w:sz w:val="24"/>
                <w:szCs w:val="24"/>
                <w:shd w:val="clear" w:color="auto" w:fill="FFFFFF"/>
                <w:lang w:eastAsia="zh-CN"/>
              </w:rPr>
              <w:t>。</w:t>
            </w:r>
            <w:r>
              <w:rPr>
                <w:rFonts w:hint="eastAsia" w:eastAsia="宋体" w:cs="Times New Roman"/>
                <w:b w:val="0"/>
                <w:bCs w:val="0"/>
                <w:color w:val="auto"/>
                <w:spacing w:val="0"/>
                <w:sz w:val="24"/>
                <w:lang w:val="en-US" w:eastAsia="zh-CN"/>
              </w:rPr>
              <w:t>根据《实验室废气污染控制技术规范》（DB32/T4455-2023），本项目产生的有机废气采用二级活性炭吸附装置，选用的蜂窝活性炭碘值不应低于650mg/g,四氯化碳吸附率不应低于35%；其他性能指标应符合GB/T770</w:t>
            </w:r>
            <w:r>
              <w:rPr>
                <w:rFonts w:hint="eastAsia" w:cs="Times New Roman"/>
                <w:b w:val="0"/>
                <w:bCs w:val="0"/>
                <w:color w:val="auto"/>
                <w:spacing w:val="0"/>
                <w:sz w:val="24"/>
                <w:lang w:val="en-US" w:eastAsia="zh-CN"/>
              </w:rPr>
              <w:t>的</w:t>
            </w:r>
            <w:r>
              <w:rPr>
                <w:rFonts w:hint="eastAsia" w:eastAsia="宋体" w:cs="Times New Roman"/>
                <w:b w:val="0"/>
                <w:bCs w:val="0"/>
                <w:color w:val="auto"/>
                <w:spacing w:val="0"/>
                <w:sz w:val="24"/>
                <w:lang w:val="en-US" w:eastAsia="zh-CN"/>
              </w:rPr>
              <w:t>1.1的要求。选用的活性炭纤维比表面积不应低于1100m</w:t>
            </w:r>
            <w:r>
              <w:rPr>
                <w:rFonts w:hint="eastAsia" w:eastAsia="宋体" w:cs="Times New Roman"/>
                <w:b w:val="0"/>
                <w:bCs w:val="0"/>
                <w:color w:val="auto"/>
                <w:spacing w:val="0"/>
                <w:sz w:val="24"/>
                <w:vertAlign w:val="superscript"/>
                <w:lang w:val="en-US" w:eastAsia="zh-CN"/>
              </w:rPr>
              <w:t>2</w:t>
            </w:r>
            <w:r>
              <w:rPr>
                <w:rFonts w:hint="eastAsia" w:eastAsia="宋体" w:cs="Times New Roman"/>
                <w:b w:val="0"/>
                <w:bCs w:val="0"/>
                <w:color w:val="auto"/>
                <w:spacing w:val="0"/>
                <w:sz w:val="24"/>
                <w:lang w:val="en-US" w:eastAsia="zh-CN"/>
              </w:rPr>
              <w:t>/g,，</w:t>
            </w:r>
            <w:r>
              <w:rPr>
                <w:rFonts w:hint="default" w:ascii="Times New Roman" w:hAnsi="Times New Roman" w:eastAsia="宋体" w:cs="Times New Roman"/>
                <w:color w:val="auto"/>
                <w:kern w:val="0"/>
                <w:sz w:val="24"/>
                <w:szCs w:val="24"/>
                <w:shd w:val="clear" w:color="auto" w:fill="FFFFFF"/>
              </w:rPr>
              <w:t>因此本项目</w:t>
            </w:r>
            <w:r>
              <w:rPr>
                <w:rFonts w:hint="eastAsia" w:cs="Times New Roman"/>
                <w:color w:val="auto"/>
                <w:kern w:val="0"/>
                <w:sz w:val="24"/>
                <w:szCs w:val="24"/>
                <w:shd w:val="clear" w:color="auto" w:fill="FFFFFF"/>
                <w:lang w:val="en-US" w:eastAsia="zh-CN"/>
              </w:rPr>
              <w:t>乙醇</w:t>
            </w:r>
            <w:r>
              <w:rPr>
                <w:rFonts w:hint="eastAsia" w:ascii="Times New Roman" w:hAnsi="Times New Roman" w:eastAsia="宋体" w:cs="Times New Roman"/>
                <w:color w:val="auto"/>
                <w:kern w:val="0"/>
                <w:sz w:val="24"/>
                <w:szCs w:val="24"/>
                <w:shd w:val="clear" w:color="auto" w:fill="FFFFFF"/>
                <w:lang w:val="en-US" w:eastAsia="zh-CN"/>
              </w:rPr>
              <w:t>擦拭</w:t>
            </w:r>
            <w:r>
              <w:rPr>
                <w:rFonts w:hint="eastAsia" w:cs="Times New Roman"/>
                <w:color w:val="auto"/>
                <w:kern w:val="0"/>
                <w:sz w:val="24"/>
                <w:szCs w:val="24"/>
                <w:shd w:val="clear" w:color="auto" w:fill="FFFFFF"/>
                <w:lang w:val="en-US" w:eastAsia="zh-CN"/>
              </w:rPr>
              <w:t>、菌种培养、菌种发酵</w:t>
            </w:r>
            <w:r>
              <w:rPr>
                <w:rFonts w:hint="eastAsia" w:ascii="Times New Roman" w:hAnsi="Times New Roman" w:eastAsia="宋体" w:cs="Times New Roman"/>
                <w:color w:val="auto"/>
                <w:kern w:val="0"/>
                <w:sz w:val="24"/>
                <w:szCs w:val="24"/>
                <w:shd w:val="clear" w:color="auto" w:fill="FFFFFF"/>
                <w:lang w:val="en-US" w:eastAsia="zh-CN"/>
              </w:rPr>
              <w:t>产生的废气</w:t>
            </w:r>
            <w:r>
              <w:rPr>
                <w:rFonts w:hint="default" w:ascii="Times New Roman" w:hAnsi="Times New Roman" w:eastAsia="宋体" w:cs="Times New Roman"/>
                <w:color w:val="auto"/>
                <w:kern w:val="0"/>
                <w:sz w:val="24"/>
                <w:szCs w:val="24"/>
                <w:shd w:val="clear" w:color="auto" w:fill="FFFFFF"/>
              </w:rPr>
              <w:t>经过二级活性炭处理</w:t>
            </w:r>
            <w:r>
              <w:rPr>
                <w:rFonts w:hint="default" w:ascii="Times New Roman" w:hAnsi="Times New Roman" w:eastAsia="宋体" w:cs="Times New Roman"/>
                <w:color w:val="auto"/>
                <w:kern w:val="0"/>
                <w:sz w:val="24"/>
                <w:szCs w:val="24"/>
              </w:rPr>
              <w:t>满足要求。</w:t>
            </w:r>
          </w:p>
          <w:p w14:paraId="6B400B8D">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lang w:val="en-US" w:eastAsia="zh-CN"/>
              </w:rPr>
              <w:t>活性炭吸附装置设置要求：</w:t>
            </w:r>
          </w:p>
          <w:p w14:paraId="0E7E6118">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按照《吸附法工业有机废气治理工程技术规范》（HJ2026-2013）、《</w:t>
            </w:r>
            <w:bookmarkStart w:id="74" w:name="_Hlk141347411"/>
            <w:r>
              <w:rPr>
                <w:rFonts w:hint="default" w:ascii="Times New Roman" w:hAnsi="Times New Roman" w:eastAsia="宋体" w:cs="Times New Roman"/>
                <w:b w:val="0"/>
                <w:bCs w:val="0"/>
                <w:color w:val="auto"/>
                <w:sz w:val="24"/>
                <w:lang w:val="en-US" w:eastAsia="zh-CN"/>
              </w:rPr>
              <w:t>环境保护产品技术要求 工业废气吸附净化装置</w:t>
            </w:r>
            <w:bookmarkEnd w:id="74"/>
            <w:r>
              <w:rPr>
                <w:rFonts w:hint="default" w:ascii="Times New Roman" w:hAnsi="Times New Roman" w:eastAsia="宋体" w:cs="Times New Roman"/>
                <w:b w:val="0"/>
                <w:bCs w:val="0"/>
                <w:color w:val="auto"/>
                <w:sz w:val="24"/>
                <w:lang w:val="en-US" w:eastAsia="zh-CN"/>
              </w:rPr>
              <w:t>》（</w:t>
            </w:r>
            <w:bookmarkStart w:id="75" w:name="_Hlk141347438"/>
            <w:r>
              <w:rPr>
                <w:rFonts w:hint="default" w:ascii="Times New Roman" w:hAnsi="Times New Roman" w:eastAsia="宋体" w:cs="Times New Roman"/>
                <w:b w:val="0"/>
                <w:bCs w:val="0"/>
                <w:color w:val="auto"/>
                <w:sz w:val="24"/>
                <w:lang w:val="en-US" w:eastAsia="zh-CN"/>
              </w:rPr>
              <w:t>HJ/T 386-2007</w:t>
            </w:r>
            <w:bookmarkEnd w:id="75"/>
            <w:r>
              <w:rPr>
                <w:rFonts w:hint="default" w:ascii="Times New Roman" w:hAnsi="Times New Roman" w:eastAsia="宋体" w:cs="Times New Roman"/>
                <w:b w:val="0"/>
                <w:bCs w:val="0"/>
                <w:color w:val="auto"/>
                <w:sz w:val="24"/>
                <w:lang w:val="en-US" w:eastAsia="zh-CN"/>
              </w:rPr>
              <w:t>）安全设置规定，本项目对拟建活性炭吸附装置提出以下要求：</w:t>
            </w:r>
          </w:p>
          <w:p w14:paraId="01FA47CF">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①治理系统应有事故自动报警装置，并符合安全生产、事故防范的相关规定。</w:t>
            </w:r>
          </w:p>
          <w:p w14:paraId="690B979D">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②治理系统与主体生产装置之间的管道系统应安装阻火器（防火阀），阻火器性能应符合GB 13347的规定。</w:t>
            </w:r>
          </w:p>
          <w:p w14:paraId="6E8D7849">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w:t>
            </w:r>
          </w:p>
          <w:p w14:paraId="391189F3">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④在吸附操作周期内，吸附了有机气体后吸附床内的温度应低于83℃。当吸附装置内的温度超过83℃时，应能自动报警，并立即启动降温装置。</w:t>
            </w:r>
          </w:p>
          <w:p w14:paraId="035695CB">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⑤采用热空气吹扫方式进行吸附剂再生时，当吸附装置内的温度超过120°时，应能自动报警并立即</w:t>
            </w:r>
            <w:r>
              <w:rPr>
                <w:rFonts w:hint="eastAsia" w:cs="Times New Roman"/>
                <w:b w:val="0"/>
                <w:bCs w:val="0"/>
                <w:color w:val="auto"/>
                <w:sz w:val="24"/>
                <w:lang w:val="en-US" w:eastAsia="zh-CN"/>
              </w:rPr>
              <w:t>终止</w:t>
            </w:r>
            <w:r>
              <w:rPr>
                <w:rFonts w:hint="default" w:ascii="Times New Roman" w:hAnsi="Times New Roman" w:eastAsia="宋体" w:cs="Times New Roman"/>
                <w:b w:val="0"/>
                <w:bCs w:val="0"/>
                <w:color w:val="auto"/>
                <w:sz w:val="24"/>
                <w:lang w:val="en-US" w:eastAsia="zh-CN"/>
              </w:rPr>
              <w:t>再生操作、启动降温措施。</w:t>
            </w:r>
          </w:p>
          <w:p w14:paraId="776BDFC5">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⑥治理装置安装区域应按规定设置消防设施。</w:t>
            </w:r>
          </w:p>
          <w:p w14:paraId="394CC353">
            <w:pPr>
              <w:pStyle w:val="83"/>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⑦治理设备应具备短路保护和接地保护，接地电阻应小于4Q。</w:t>
            </w:r>
          </w:p>
          <w:p w14:paraId="3A380E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⑧室外治理设备应安装符合GB 50057规定的避雷装置。</w:t>
            </w:r>
          </w:p>
          <w:p w14:paraId="6DB50AD1">
            <w:pPr>
              <w:pStyle w:val="7"/>
              <w:keepNext w:val="0"/>
              <w:keepLines w:val="0"/>
              <w:pageBreakBefore w:val="0"/>
              <w:kinsoku/>
              <w:wordWrap/>
              <w:overflowPunct/>
              <w:topLinePunct w:val="0"/>
              <w:autoSpaceDE/>
              <w:autoSpaceDN/>
              <w:bidi w:val="0"/>
              <w:snapToGrid w:val="0"/>
              <w:spacing w:before="0" w:after="0" w:line="480" w:lineRule="exact"/>
              <w:ind w:right="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1.5达标情况分析</w:t>
            </w:r>
          </w:p>
          <w:p w14:paraId="63F8D7C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无组织废气</w:t>
            </w:r>
          </w:p>
          <w:p w14:paraId="12CF0A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本项目无组织废气排放情况见表4-</w:t>
            </w:r>
            <w:r>
              <w:rPr>
                <w:rFonts w:hint="eastAsia" w:cs="Times New Roman"/>
                <w:bCs/>
                <w:color w:val="auto"/>
                <w:sz w:val="24"/>
                <w:lang w:val="en-US" w:eastAsia="zh-CN"/>
              </w:rPr>
              <w:t>4</w:t>
            </w:r>
            <w:r>
              <w:rPr>
                <w:rFonts w:hint="default" w:ascii="Times New Roman" w:hAnsi="Times New Roman" w:eastAsia="宋体" w:cs="Times New Roman"/>
                <w:bCs/>
                <w:color w:val="auto"/>
                <w:sz w:val="24"/>
              </w:rPr>
              <w:t>。</w:t>
            </w:r>
          </w:p>
          <w:p w14:paraId="50ADE4A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本项目无组织废气产生及排放情况表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54"/>
              <w:gridCol w:w="1293"/>
              <w:gridCol w:w="1127"/>
              <w:gridCol w:w="1151"/>
              <w:gridCol w:w="1100"/>
              <w:gridCol w:w="1019"/>
              <w:gridCol w:w="1155"/>
              <w:gridCol w:w="1151"/>
            </w:tblGrid>
            <w:tr w14:paraId="39821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482" w:type="pct"/>
                  <w:vAlign w:val="center"/>
                </w:tcPr>
                <w:p w14:paraId="7D031E37">
                  <w:pPr>
                    <w:spacing w:line="276" w:lineRule="auto"/>
                    <w:ind w:left="-105" w:leftChars="-50" w:right="-105" w:rightChars="-50"/>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000000" w:themeColor="text1"/>
                      <w:szCs w:val="21"/>
                      <w14:textFill>
                        <w14:solidFill>
                          <w14:schemeClr w14:val="tx1"/>
                        </w14:solidFill>
                      </w14:textFill>
                    </w:rPr>
                    <w:t>面源名称</w:t>
                  </w:r>
                </w:p>
              </w:tc>
              <w:tc>
                <w:tcPr>
                  <w:tcW w:w="730" w:type="pct"/>
                  <w:vAlign w:val="center"/>
                </w:tcPr>
                <w:p w14:paraId="2DC0A0D7">
                  <w:pPr>
                    <w:spacing w:line="276" w:lineRule="auto"/>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000000" w:themeColor="text1"/>
                      <w:szCs w:val="21"/>
                      <w14:textFill>
                        <w14:solidFill>
                          <w14:schemeClr w14:val="tx1"/>
                        </w14:solidFill>
                      </w14:textFill>
                    </w:rPr>
                    <w:t>污染物产生环节</w:t>
                  </w:r>
                </w:p>
              </w:tc>
              <w:tc>
                <w:tcPr>
                  <w:tcW w:w="636" w:type="pct"/>
                  <w:vAlign w:val="center"/>
                </w:tcPr>
                <w:p w14:paraId="2E9F174D">
                  <w:pPr>
                    <w:spacing w:line="276" w:lineRule="auto"/>
                    <w:ind w:left="-105" w:leftChars="-50" w:right="-105" w:rightChars="-5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w:t>
                  </w:r>
                </w:p>
                <w:p w14:paraId="74409D9B">
                  <w:pPr>
                    <w:spacing w:line="276" w:lineRule="auto"/>
                    <w:ind w:left="-105" w:leftChars="-50" w:right="-105" w:rightChars="-50"/>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000000" w:themeColor="text1"/>
                      <w:szCs w:val="21"/>
                      <w14:textFill>
                        <w14:solidFill>
                          <w14:schemeClr w14:val="tx1"/>
                        </w14:solidFill>
                      </w14:textFill>
                    </w:rPr>
                    <w:t>名称</w:t>
                  </w:r>
                </w:p>
              </w:tc>
              <w:tc>
                <w:tcPr>
                  <w:tcW w:w="650" w:type="pct"/>
                  <w:vAlign w:val="center"/>
                </w:tcPr>
                <w:p w14:paraId="7EA063F1">
                  <w:pPr>
                    <w:spacing w:line="276" w:lineRule="auto"/>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000000" w:themeColor="text1"/>
                      <w:szCs w:val="21"/>
                      <w14:textFill>
                        <w14:solidFill>
                          <w14:schemeClr w14:val="tx1"/>
                        </w14:solidFill>
                      </w14:textFill>
                    </w:rPr>
                    <w:t>污染物产生量t/a</w:t>
                  </w:r>
                </w:p>
              </w:tc>
              <w:tc>
                <w:tcPr>
                  <w:tcW w:w="621" w:type="pct"/>
                  <w:vAlign w:val="center"/>
                </w:tcPr>
                <w:p w14:paraId="0A772A62">
                  <w:pPr>
                    <w:spacing w:line="276" w:lineRule="auto"/>
                    <w:ind w:left="-105" w:leftChars="-50" w:right="-105" w:rightChars="-50"/>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000000" w:themeColor="text1"/>
                      <w:szCs w:val="21"/>
                      <w14:textFill>
                        <w14:solidFill>
                          <w14:schemeClr w14:val="tx1"/>
                        </w14:solidFill>
                      </w14:textFill>
                    </w:rPr>
                    <w:t>治理措施</w:t>
                  </w:r>
                </w:p>
              </w:tc>
              <w:tc>
                <w:tcPr>
                  <w:tcW w:w="575" w:type="pct"/>
                  <w:vAlign w:val="center"/>
                </w:tcPr>
                <w:p w14:paraId="7243BBAC">
                  <w:pPr>
                    <w:spacing w:line="276" w:lineRule="auto"/>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000000" w:themeColor="text1"/>
                      <w:szCs w:val="21"/>
                      <w14:textFill>
                        <w14:solidFill>
                          <w14:schemeClr w14:val="tx1"/>
                        </w14:solidFill>
                      </w14:textFill>
                    </w:rPr>
                    <w:t>污染物排放量t/a</w:t>
                  </w:r>
                </w:p>
              </w:tc>
              <w:tc>
                <w:tcPr>
                  <w:tcW w:w="652" w:type="pct"/>
                  <w:vAlign w:val="center"/>
                </w:tcPr>
                <w:p w14:paraId="1F7905AB">
                  <w:pPr>
                    <w:spacing w:line="276" w:lineRule="auto"/>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000000" w:themeColor="text1"/>
                      <w:szCs w:val="21"/>
                      <w14:textFill>
                        <w14:solidFill>
                          <w14:schemeClr w14:val="tx1"/>
                        </w14:solidFill>
                      </w14:textFill>
                    </w:rPr>
                    <w:t>排放速率kg/h</w:t>
                  </w:r>
                </w:p>
              </w:tc>
              <w:tc>
                <w:tcPr>
                  <w:tcW w:w="650" w:type="pct"/>
                  <w:vAlign w:val="center"/>
                </w:tcPr>
                <w:p w14:paraId="77D9D527">
                  <w:pPr>
                    <w:spacing w:line="276" w:lineRule="auto"/>
                    <w:jc w:val="center"/>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000000" w:themeColor="text1"/>
                      <w:szCs w:val="21"/>
                      <w14:textFill>
                        <w14:solidFill>
                          <w14:schemeClr w14:val="tx1"/>
                        </w14:solidFill>
                      </w14:textFill>
                    </w:rPr>
                    <w:t>面源面积（m</w:t>
                  </w:r>
                  <w:r>
                    <w:rPr>
                      <w:rFonts w:hint="default" w:ascii="Times New Roman" w:hAnsi="Times New Roman" w:eastAsia="宋体" w:cs="Times New Roman"/>
                      <w:b/>
                      <w:bCs/>
                      <w:color w:val="000000" w:themeColor="text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w:t>
                  </w:r>
                </w:p>
              </w:tc>
            </w:tr>
            <w:tr w14:paraId="6C1B7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82" w:type="pct"/>
                  <w:vMerge w:val="restart"/>
                  <w:vAlign w:val="center"/>
                </w:tcPr>
                <w:p w14:paraId="32038078">
                  <w:pPr>
                    <w:spacing w:line="276" w:lineRule="auto"/>
                    <w:ind w:left="-105" w:leftChars="-50" w:right="-105" w:rightChars="-5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000000" w:themeColor="text1"/>
                      <w:szCs w:val="21"/>
                      <w:lang w:val="en-US" w:eastAsia="zh-CN"/>
                      <w14:textFill>
                        <w14:solidFill>
                          <w14:schemeClr w14:val="tx1"/>
                        </w14:solidFill>
                      </w14:textFill>
                    </w:rPr>
                    <w:t>生产车间</w:t>
                  </w:r>
                </w:p>
              </w:tc>
              <w:tc>
                <w:tcPr>
                  <w:tcW w:w="730" w:type="pct"/>
                  <w:vAlign w:val="center"/>
                </w:tcPr>
                <w:p w14:paraId="3C72E1AE">
                  <w:pPr>
                    <w:adjustRightInd w:val="0"/>
                    <w:snapToGrid w:val="0"/>
                    <w:jc w:val="center"/>
                    <w:rPr>
                      <w:rFonts w:hint="default"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乙醇</w:t>
                  </w:r>
                  <w:r>
                    <w:rPr>
                      <w:rFonts w:hint="eastAsia" w:ascii="Times New Roman" w:hAnsi="Times New Roman" w:eastAsia="宋体" w:cs="Times New Roman"/>
                      <w:color w:val="000000" w:themeColor="text1"/>
                      <w:szCs w:val="21"/>
                      <w:lang w:val="en-US" w:eastAsia="zh-CN"/>
                      <w14:textFill>
                        <w14:solidFill>
                          <w14:schemeClr w14:val="tx1"/>
                        </w14:solidFill>
                      </w14:textFill>
                    </w:rPr>
                    <w:t>擦拭</w:t>
                  </w:r>
                </w:p>
              </w:tc>
              <w:tc>
                <w:tcPr>
                  <w:tcW w:w="636" w:type="pct"/>
                  <w:vAlign w:val="center"/>
                </w:tcPr>
                <w:p w14:paraId="1170D0C3">
                  <w:pPr>
                    <w:adjustRightInd w:val="0"/>
                    <w:snapToGrid w:val="0"/>
                    <w:spacing w:line="276" w:lineRule="auto"/>
                    <w:ind w:left="-105" w:leftChars="-50" w:right="-105" w:rightChars="-5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000000" w:themeColor="text1"/>
                      <w:szCs w:val="21"/>
                      <w14:textFill>
                        <w14:solidFill>
                          <w14:schemeClr w14:val="tx1"/>
                        </w14:solidFill>
                      </w14:textFill>
                    </w:rPr>
                    <w:t>非甲烷总烃</w:t>
                  </w:r>
                </w:p>
              </w:tc>
              <w:tc>
                <w:tcPr>
                  <w:tcW w:w="650" w:type="pct"/>
                  <w:vAlign w:val="center"/>
                </w:tcPr>
                <w:p w14:paraId="79DC34FE">
                  <w:pPr>
                    <w:spacing w:line="276" w:lineRule="auto"/>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39</w:t>
                  </w:r>
                </w:p>
              </w:tc>
              <w:tc>
                <w:tcPr>
                  <w:tcW w:w="621" w:type="pct"/>
                  <w:vMerge w:val="restart"/>
                  <w:vAlign w:val="center"/>
                </w:tcPr>
                <w:p w14:paraId="2B05DD2D">
                  <w:pPr>
                    <w:spacing w:line="276" w:lineRule="auto"/>
                    <w:jc w:val="center"/>
                    <w:rPr>
                      <w:rFonts w:hint="default"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内置活性炭无管道通风橱</w:t>
                  </w:r>
                </w:p>
              </w:tc>
              <w:tc>
                <w:tcPr>
                  <w:tcW w:w="575" w:type="pct"/>
                  <w:vAlign w:val="center"/>
                </w:tcPr>
                <w:p w14:paraId="28289639">
                  <w:pPr>
                    <w:spacing w:line="276" w:lineRule="auto"/>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008</w:t>
                  </w:r>
                </w:p>
              </w:tc>
              <w:tc>
                <w:tcPr>
                  <w:tcW w:w="652" w:type="pct"/>
                  <w:vAlign w:val="center"/>
                </w:tcPr>
                <w:p w14:paraId="0EB2D1C9">
                  <w:pPr>
                    <w:spacing w:line="276" w:lineRule="auto"/>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0.00003</w:t>
                  </w:r>
                </w:p>
              </w:tc>
              <w:tc>
                <w:tcPr>
                  <w:tcW w:w="650" w:type="pct"/>
                  <w:vMerge w:val="restart"/>
                  <w:vAlign w:val="center"/>
                </w:tcPr>
                <w:p w14:paraId="758738D4">
                  <w:pPr>
                    <w:tabs>
                      <w:tab w:val="left" w:pos="216"/>
                      <w:tab w:val="center" w:pos="578"/>
                    </w:tabs>
                    <w:spacing w:line="276" w:lineRule="auto"/>
                    <w:jc w:val="center"/>
                    <w:rPr>
                      <w:rFonts w:hint="default"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156</w:t>
                  </w:r>
                </w:p>
              </w:tc>
            </w:tr>
            <w:tr w14:paraId="36280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82" w:type="pct"/>
                  <w:vMerge w:val="continue"/>
                  <w:vAlign w:val="center"/>
                </w:tcPr>
                <w:p w14:paraId="3A0E0F16">
                  <w:pPr>
                    <w:spacing w:line="276" w:lineRule="auto"/>
                    <w:ind w:left="-105" w:leftChars="-50" w:right="-105" w:rightChars="-50"/>
                    <w:jc w:val="center"/>
                    <w:rPr>
                      <w:rFonts w:hint="default" w:ascii="Times New Roman" w:hAnsi="Times New Roman" w:eastAsia="宋体" w:cs="Times New Roman"/>
                      <w:color w:val="FF0000"/>
                      <w:szCs w:val="21"/>
                      <w:lang w:val="en-US" w:eastAsia="zh-CN"/>
                    </w:rPr>
                  </w:pPr>
                </w:p>
              </w:tc>
              <w:tc>
                <w:tcPr>
                  <w:tcW w:w="730" w:type="pct"/>
                  <w:vAlign w:val="center"/>
                </w:tcPr>
                <w:p w14:paraId="136A5BD4">
                  <w:pPr>
                    <w:adjustRightInd w:val="0"/>
                    <w:snapToGrid w:val="0"/>
                    <w:jc w:val="center"/>
                    <w:rPr>
                      <w:rFonts w:hint="default"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菌种发酵</w:t>
                  </w:r>
                </w:p>
              </w:tc>
              <w:tc>
                <w:tcPr>
                  <w:tcW w:w="636" w:type="pct"/>
                  <w:vMerge w:val="restart"/>
                  <w:vAlign w:val="center"/>
                </w:tcPr>
                <w:p w14:paraId="7926B368">
                  <w:pPr>
                    <w:adjustRightInd w:val="0"/>
                    <w:snapToGrid w:val="0"/>
                    <w:spacing w:line="276" w:lineRule="auto"/>
                    <w:ind w:left="-105" w:leftChars="-50" w:right="-105" w:rightChars="-50"/>
                    <w:jc w:val="center"/>
                    <w:rPr>
                      <w:rFonts w:hint="eastAsia"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氨</w:t>
                  </w:r>
                </w:p>
              </w:tc>
              <w:tc>
                <w:tcPr>
                  <w:tcW w:w="650" w:type="pct"/>
                  <w:vMerge w:val="restart"/>
                  <w:vAlign w:val="center"/>
                </w:tcPr>
                <w:p w14:paraId="3616C8F4">
                  <w:pPr>
                    <w:spacing w:line="276" w:lineRule="auto"/>
                    <w:jc w:val="center"/>
                    <w:rPr>
                      <w:rFonts w:hint="default"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0.0002</w:t>
                  </w:r>
                </w:p>
              </w:tc>
              <w:tc>
                <w:tcPr>
                  <w:tcW w:w="621" w:type="pct"/>
                  <w:vMerge w:val="continue"/>
                  <w:vAlign w:val="center"/>
                </w:tcPr>
                <w:p w14:paraId="282EE552">
                  <w:pPr>
                    <w:spacing w:line="276" w:lineRule="auto"/>
                    <w:jc w:val="center"/>
                    <w:rPr>
                      <w:rFonts w:hint="default" w:ascii="Times New Roman" w:hAnsi="Times New Roman" w:eastAsia="宋体" w:cs="Times New Roman"/>
                      <w:color w:val="FF0000"/>
                      <w:szCs w:val="21"/>
                    </w:rPr>
                  </w:pPr>
                </w:p>
              </w:tc>
              <w:tc>
                <w:tcPr>
                  <w:tcW w:w="575" w:type="pct"/>
                  <w:vMerge w:val="restart"/>
                  <w:vAlign w:val="center"/>
                </w:tcPr>
                <w:p w14:paraId="3288EE7C">
                  <w:pPr>
                    <w:spacing w:line="276" w:lineRule="auto"/>
                    <w:jc w:val="center"/>
                    <w:rPr>
                      <w:rFonts w:hint="default"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0.0001</w:t>
                  </w:r>
                </w:p>
              </w:tc>
              <w:tc>
                <w:tcPr>
                  <w:tcW w:w="652" w:type="pct"/>
                  <w:vMerge w:val="restart"/>
                  <w:vAlign w:val="center"/>
                </w:tcPr>
                <w:p w14:paraId="430990DA">
                  <w:pPr>
                    <w:spacing w:line="276" w:lineRule="auto"/>
                    <w:jc w:val="center"/>
                    <w:rPr>
                      <w:rFonts w:hint="default" w:ascii="Times New Roman" w:hAnsi="Times New Roman" w:eastAsia="宋体"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0.00004</w:t>
                  </w:r>
                </w:p>
              </w:tc>
              <w:tc>
                <w:tcPr>
                  <w:tcW w:w="650" w:type="pct"/>
                  <w:vMerge w:val="continue"/>
                  <w:vAlign w:val="center"/>
                </w:tcPr>
                <w:p w14:paraId="3D8CA6DB">
                  <w:pPr>
                    <w:spacing w:line="276" w:lineRule="auto"/>
                    <w:jc w:val="center"/>
                    <w:rPr>
                      <w:rFonts w:hint="eastAsia" w:cs="Times New Roman"/>
                      <w:color w:val="FF0000"/>
                      <w:szCs w:val="21"/>
                      <w:lang w:val="en-US" w:eastAsia="zh-CN"/>
                    </w:rPr>
                  </w:pPr>
                </w:p>
              </w:tc>
            </w:tr>
            <w:tr w14:paraId="10924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82" w:type="pct"/>
                  <w:vMerge w:val="continue"/>
                  <w:vAlign w:val="center"/>
                </w:tcPr>
                <w:p w14:paraId="04695AE7">
                  <w:pPr>
                    <w:spacing w:line="276" w:lineRule="auto"/>
                    <w:ind w:left="-105" w:leftChars="-50" w:right="-105" w:rightChars="-50"/>
                    <w:jc w:val="center"/>
                    <w:rPr>
                      <w:rFonts w:hint="default" w:ascii="Times New Roman" w:hAnsi="Times New Roman" w:eastAsia="宋体" w:cs="Times New Roman"/>
                      <w:color w:val="FF0000"/>
                      <w:szCs w:val="21"/>
                      <w:lang w:val="en-US" w:eastAsia="zh-CN"/>
                    </w:rPr>
                  </w:pPr>
                </w:p>
              </w:tc>
              <w:tc>
                <w:tcPr>
                  <w:tcW w:w="730" w:type="pct"/>
                  <w:vAlign w:val="center"/>
                </w:tcPr>
                <w:p w14:paraId="72C842E9">
                  <w:pPr>
                    <w:adjustRightInd w:val="0"/>
                    <w:snapToGrid w:val="0"/>
                    <w:jc w:val="center"/>
                    <w:rPr>
                      <w:rFonts w:hint="default" w:cs="Times New Roman"/>
                      <w:color w:val="FF0000"/>
                      <w:szCs w:val="21"/>
                      <w:lang w:val="en-US" w:eastAsia="zh-CN"/>
                    </w:rPr>
                  </w:pPr>
                  <w:r>
                    <w:rPr>
                      <w:rFonts w:hint="eastAsia" w:cs="Times New Roman"/>
                      <w:color w:val="000000" w:themeColor="text1"/>
                      <w:szCs w:val="21"/>
                      <w:lang w:val="en-US" w:eastAsia="zh-CN"/>
                      <w14:textFill>
                        <w14:solidFill>
                          <w14:schemeClr w14:val="tx1"/>
                        </w14:solidFill>
                      </w14:textFill>
                    </w:rPr>
                    <w:t>菌种培养</w:t>
                  </w:r>
                </w:p>
              </w:tc>
              <w:tc>
                <w:tcPr>
                  <w:tcW w:w="636" w:type="pct"/>
                  <w:vMerge w:val="continue"/>
                  <w:vAlign w:val="center"/>
                </w:tcPr>
                <w:p w14:paraId="4C735FD3">
                  <w:pPr>
                    <w:adjustRightInd w:val="0"/>
                    <w:snapToGrid w:val="0"/>
                    <w:spacing w:line="276" w:lineRule="auto"/>
                    <w:ind w:left="-105" w:leftChars="-50" w:right="-105" w:rightChars="-50"/>
                    <w:jc w:val="center"/>
                    <w:rPr>
                      <w:rFonts w:hint="default" w:ascii="Times New Roman" w:hAnsi="Times New Roman" w:eastAsia="宋体" w:cs="Times New Roman"/>
                      <w:color w:val="FF0000"/>
                      <w:szCs w:val="21"/>
                    </w:rPr>
                  </w:pPr>
                </w:p>
              </w:tc>
              <w:tc>
                <w:tcPr>
                  <w:tcW w:w="650" w:type="pct"/>
                  <w:vMerge w:val="continue"/>
                  <w:vAlign w:val="center"/>
                </w:tcPr>
                <w:p w14:paraId="51217324">
                  <w:pPr>
                    <w:spacing w:line="276" w:lineRule="auto"/>
                    <w:jc w:val="center"/>
                    <w:rPr>
                      <w:rFonts w:hint="default" w:ascii="Times New Roman" w:hAnsi="Times New Roman" w:eastAsia="宋体" w:cs="Times New Roman"/>
                      <w:color w:val="FF0000"/>
                      <w:szCs w:val="21"/>
                      <w:lang w:val="en-US" w:eastAsia="zh-CN"/>
                    </w:rPr>
                  </w:pPr>
                </w:p>
              </w:tc>
              <w:tc>
                <w:tcPr>
                  <w:tcW w:w="621" w:type="pct"/>
                  <w:vMerge w:val="continue"/>
                  <w:vAlign w:val="center"/>
                </w:tcPr>
                <w:p w14:paraId="6EAC4AA3">
                  <w:pPr>
                    <w:spacing w:line="276" w:lineRule="auto"/>
                    <w:jc w:val="center"/>
                    <w:rPr>
                      <w:rFonts w:hint="default" w:ascii="Times New Roman" w:hAnsi="Times New Roman" w:eastAsia="宋体" w:cs="Times New Roman"/>
                      <w:color w:val="FF0000"/>
                      <w:szCs w:val="21"/>
                    </w:rPr>
                  </w:pPr>
                </w:p>
              </w:tc>
              <w:tc>
                <w:tcPr>
                  <w:tcW w:w="575" w:type="pct"/>
                  <w:vMerge w:val="continue"/>
                  <w:vAlign w:val="center"/>
                </w:tcPr>
                <w:p w14:paraId="1A7C9630">
                  <w:pPr>
                    <w:spacing w:line="276" w:lineRule="auto"/>
                    <w:jc w:val="center"/>
                    <w:rPr>
                      <w:rFonts w:hint="default" w:ascii="Times New Roman" w:hAnsi="Times New Roman" w:eastAsia="宋体" w:cs="Times New Roman"/>
                      <w:color w:val="FF0000"/>
                      <w:szCs w:val="21"/>
                      <w:lang w:val="en-US" w:eastAsia="zh-CN"/>
                    </w:rPr>
                  </w:pPr>
                </w:p>
              </w:tc>
              <w:tc>
                <w:tcPr>
                  <w:tcW w:w="652" w:type="pct"/>
                  <w:vMerge w:val="continue"/>
                  <w:vAlign w:val="center"/>
                </w:tcPr>
                <w:p w14:paraId="60512CA9">
                  <w:pPr>
                    <w:spacing w:line="276" w:lineRule="auto"/>
                    <w:jc w:val="center"/>
                    <w:rPr>
                      <w:rFonts w:hint="eastAsia" w:ascii="Times New Roman" w:hAnsi="Times New Roman" w:eastAsia="宋体" w:cs="Times New Roman"/>
                      <w:color w:val="FF0000"/>
                      <w:szCs w:val="21"/>
                      <w:lang w:val="en-US" w:eastAsia="zh-CN"/>
                    </w:rPr>
                  </w:pPr>
                </w:p>
              </w:tc>
              <w:tc>
                <w:tcPr>
                  <w:tcW w:w="650" w:type="pct"/>
                  <w:vMerge w:val="continue"/>
                  <w:vAlign w:val="center"/>
                </w:tcPr>
                <w:p w14:paraId="7E55AD45">
                  <w:pPr>
                    <w:spacing w:line="276" w:lineRule="auto"/>
                    <w:jc w:val="center"/>
                    <w:rPr>
                      <w:rFonts w:hint="eastAsia" w:cs="Times New Roman"/>
                      <w:color w:val="FF0000"/>
                      <w:szCs w:val="21"/>
                      <w:lang w:val="en-US" w:eastAsia="zh-CN"/>
                    </w:rPr>
                  </w:pPr>
                </w:p>
              </w:tc>
            </w:tr>
          </w:tbl>
          <w:p w14:paraId="20609055">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r>
              <w:rPr>
                <w:b/>
                <w:bCs/>
                <w:color w:val="auto"/>
                <w:sz w:val="24"/>
                <w:szCs w:val="24"/>
              </w:rPr>
              <w:t>1.</w:t>
            </w:r>
            <w:r>
              <w:rPr>
                <w:rFonts w:hint="eastAsia"/>
                <w:b/>
                <w:bCs/>
                <w:color w:val="auto"/>
                <w:sz w:val="24"/>
                <w:szCs w:val="24"/>
                <w:lang w:val="en-US" w:eastAsia="zh-CN"/>
              </w:rPr>
              <w:t>5</w:t>
            </w:r>
            <w:r>
              <w:rPr>
                <w:b/>
                <w:bCs/>
                <w:color w:val="auto"/>
                <w:sz w:val="24"/>
                <w:szCs w:val="24"/>
              </w:rPr>
              <w:t>工业企业卫生防护距离</w:t>
            </w:r>
          </w:p>
          <w:p w14:paraId="78DF1B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1、卫生防护距离初值计算公式</w:t>
            </w:r>
          </w:p>
          <w:p w14:paraId="1E3B38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根据《大气有害物质无组织排放卫生防护距离推导技术导则》（GB/T39499-2020），预测无组织排放的废气对环境的影响，并提出卫生防护距离。生产车间与居住区之间的卫生防护距离L按下式计算：</w:t>
            </w:r>
          </w:p>
          <w:p w14:paraId="0F17ED4B">
            <w:pPr>
              <w:jc w:val="center"/>
              <w:rPr>
                <w:color w:val="auto"/>
                <w:sz w:val="24"/>
                <w:szCs w:val="24"/>
              </w:rPr>
            </w:pPr>
            <w:r>
              <w:rPr>
                <w:color w:val="auto"/>
                <w:position w:val="-30"/>
                <w:sz w:val="24"/>
                <w:szCs w:val="24"/>
              </w:rPr>
              <w:object>
                <v:shape id="_x0000_i1025" o:spt="75" type="#_x0000_t75" style="height:30pt;width:153.8pt;" o:ole="t" filled="f" o:preferrelative="t" stroked="f" coordsize="21600,21600">
                  <v:path/>
                  <v:fill on="f" focussize="0,0"/>
                  <v:stroke on="f"/>
                  <v:imagedata r:id="rId14" o:title=""/>
                  <o:lock v:ext="edit" aspectratio="t"/>
                  <w10:wrap type="none"/>
                  <w10:anchorlock/>
                </v:shape>
                <o:OLEObject Type="Embed" ProgID="Equation.3" ShapeID="_x0000_i1025" DrawAspect="Content" ObjectID="_1468075725" r:id="rId13">
                  <o:LockedField>false</o:LockedField>
                </o:OLEObject>
              </w:object>
            </w:r>
          </w:p>
          <w:p w14:paraId="1A38A9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式中：</w:t>
            </w:r>
          </w:p>
          <w:p w14:paraId="567C45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object>
                <v:shape id="_x0000_i1026" o:spt="75" type="#_x0000_t75" style="height:18pt;width:15pt;" o:ole="t" filled="f" o:preferrelative="t" stroked="f" coordsize="21600,21600">
                  <v:path/>
                  <v:fill on="f" focussize="0,0"/>
                  <v:stroke on="f"/>
                  <v:imagedata r:id="rId16" o:title=""/>
                  <o:lock v:ext="edit" aspectratio="t"/>
                  <w10:wrap type="none"/>
                  <w10:anchorlock/>
                </v:shape>
                <o:OLEObject Type="Embed" ProgID="Equation.3" ShapeID="_x0000_i1026" DrawAspect="Content" ObjectID="_1468075726" r:id="rId15">
                  <o:LockedField>false</o:LockedField>
                </o:OLEObject>
              </w:object>
            </w:r>
            <w:r>
              <w:rPr>
                <w:color w:val="auto"/>
                <w:sz w:val="24"/>
                <w:szCs w:val="24"/>
              </w:rPr>
              <w:t>——大气有害物质的无组织排放量，单位为千克每小时（kg/h）。</w:t>
            </w:r>
          </w:p>
          <w:p w14:paraId="233FDD4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position w:val="-12"/>
                <w:sz w:val="24"/>
                <w:szCs w:val="24"/>
              </w:rPr>
              <w:object>
                <v:shape id="_x0000_i1027" o:spt="75" type="#_x0000_t75" style="height:18pt;width:17.25pt;" o:ole="t" filled="f" o:preferrelative="t" stroked="f" coordsize="21600,21600">
                  <v:path/>
                  <v:fill on="f" focussize="0,0"/>
                  <v:stroke on="f"/>
                  <v:imagedata r:id="rId18" o:title=""/>
                  <o:lock v:ext="edit" aspectratio="t"/>
                  <w10:wrap type="none"/>
                  <w10:anchorlock/>
                </v:shape>
                <o:OLEObject Type="Embed" ProgID="Equation.3" ShapeID="_x0000_i1027" DrawAspect="Content" ObjectID="_1468075727" r:id="rId17">
                  <o:LockedField>false</o:LockedField>
                </o:OLEObject>
              </w:object>
            </w:r>
            <w:r>
              <w:rPr>
                <w:color w:val="auto"/>
                <w:sz w:val="24"/>
                <w:szCs w:val="24"/>
              </w:rPr>
              <w:t>——大气有害物质环境空气质量的标准限值，单位为毫克每立方（mg/m</w:t>
            </w:r>
            <w:r>
              <w:rPr>
                <w:color w:val="auto"/>
                <w:sz w:val="24"/>
                <w:szCs w:val="24"/>
                <w:vertAlign w:val="superscript"/>
              </w:rPr>
              <w:t>3</w:t>
            </w:r>
            <w:r>
              <w:rPr>
                <w:color w:val="auto"/>
                <w:sz w:val="24"/>
                <w:szCs w:val="24"/>
              </w:rPr>
              <w:t>）；</w:t>
            </w:r>
          </w:p>
          <w:p w14:paraId="3772C41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L———大气有害物质卫生防护距离初值，单位为米（m）；</w:t>
            </w:r>
          </w:p>
          <w:p w14:paraId="62931D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r ———大气有害物质无组织排放源所在生产单元的等效半径，单位为米（m）；</w:t>
            </w:r>
          </w:p>
          <w:p w14:paraId="1A20BBF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eastAsia="楷体"/>
                <w:bCs/>
                <w:color w:val="auto"/>
                <w:sz w:val="24"/>
                <w:szCs w:val="24"/>
              </w:rPr>
            </w:pPr>
            <w:r>
              <w:rPr>
                <w:color w:val="auto"/>
                <w:sz w:val="24"/>
                <w:szCs w:val="24"/>
              </w:rPr>
              <w:t>A、B、C、D——卫生防护距离初值计算系数，无因次，根据工业企业所在地区近5年平均风速大气污染源构成类别从表</w:t>
            </w:r>
            <w:r>
              <w:rPr>
                <w:rFonts w:hint="eastAsia"/>
                <w:color w:val="auto"/>
                <w:sz w:val="24"/>
                <w:szCs w:val="24"/>
                <w:lang w:val="en-US" w:eastAsia="zh-CN"/>
              </w:rPr>
              <w:t>4-5</w:t>
            </w:r>
            <w:r>
              <w:rPr>
                <w:color w:val="auto"/>
                <w:sz w:val="24"/>
                <w:szCs w:val="24"/>
              </w:rPr>
              <w:t>中查取；</w:t>
            </w:r>
          </w:p>
          <w:p w14:paraId="04DEC5E1">
            <w:pPr>
              <w:snapToGrid w:val="0"/>
              <w:spacing w:before="48" w:beforeLines="20" w:line="360" w:lineRule="exact"/>
              <w:jc w:val="center"/>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lang w:val="en-US" w:eastAsia="zh-CN"/>
              </w:rPr>
              <w:t>表4-</w:t>
            </w:r>
            <w:r>
              <w:rPr>
                <w:rFonts w:hint="eastAsia" w:cs="Times New Roman" w:eastAsiaTheme="minorEastAsia"/>
                <w:b/>
                <w:bCs w:val="0"/>
                <w:color w:val="auto"/>
                <w:sz w:val="21"/>
                <w:szCs w:val="21"/>
                <w:lang w:val="en-US" w:eastAsia="zh-CN"/>
              </w:rPr>
              <w:t>5</w:t>
            </w:r>
            <w:r>
              <w:rPr>
                <w:rFonts w:hint="default" w:ascii="Times New Roman" w:hAnsi="Times New Roman" w:cs="Times New Roman" w:eastAsiaTheme="minorEastAsia"/>
                <w:b/>
                <w:bCs w:val="0"/>
                <w:color w:val="auto"/>
                <w:sz w:val="21"/>
                <w:szCs w:val="21"/>
              </w:rPr>
              <w:t>卫生防护距离初值计算系数</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477"/>
              <w:gridCol w:w="695"/>
              <w:gridCol w:w="695"/>
              <w:gridCol w:w="699"/>
              <w:gridCol w:w="695"/>
              <w:gridCol w:w="695"/>
              <w:gridCol w:w="699"/>
              <w:gridCol w:w="695"/>
              <w:gridCol w:w="696"/>
              <w:gridCol w:w="712"/>
            </w:tblGrid>
            <w:tr w14:paraId="4FAF1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restart"/>
                  <w:tcBorders>
                    <w:top w:val="single" w:color="auto" w:sz="12" w:space="0"/>
                    <w:left w:val="nil"/>
                    <w:bottom w:val="single" w:color="auto" w:sz="4" w:space="0"/>
                    <w:right w:val="single" w:color="auto" w:sz="4" w:space="0"/>
                  </w:tcBorders>
                  <w:noWrap w:val="0"/>
                  <w:vAlign w:val="center"/>
                </w:tcPr>
                <w:p w14:paraId="4D1F6013">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卫生防护距离初值计算系数</w:t>
                  </w:r>
                </w:p>
              </w:tc>
              <w:tc>
                <w:tcPr>
                  <w:tcW w:w="835" w:type="pct"/>
                  <w:vMerge w:val="restart"/>
                  <w:tcBorders>
                    <w:top w:val="single" w:color="auto" w:sz="12" w:space="0"/>
                    <w:left w:val="single" w:color="auto" w:sz="4" w:space="0"/>
                    <w:bottom w:val="single" w:color="auto" w:sz="4" w:space="0"/>
                    <w:right w:val="single" w:color="auto" w:sz="4" w:space="0"/>
                  </w:tcBorders>
                  <w:noWrap w:val="0"/>
                  <w:vAlign w:val="center"/>
                </w:tcPr>
                <w:p w14:paraId="49406A65">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工业企业所在地区近5年平均风速/（m/s）</w:t>
                  </w:r>
                </w:p>
              </w:tc>
              <w:tc>
                <w:tcPr>
                  <w:tcW w:w="3548" w:type="pct"/>
                  <w:gridSpan w:val="9"/>
                  <w:tcBorders>
                    <w:top w:val="single" w:color="auto" w:sz="12" w:space="0"/>
                    <w:left w:val="single" w:color="auto" w:sz="4" w:space="0"/>
                    <w:bottom w:val="single" w:color="auto" w:sz="4" w:space="0"/>
                    <w:right w:val="nil"/>
                  </w:tcBorders>
                  <w:noWrap w:val="0"/>
                  <w:vAlign w:val="center"/>
                </w:tcPr>
                <w:p w14:paraId="63DA8C69">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卫生防护距离L/m</w:t>
                  </w:r>
                </w:p>
              </w:tc>
            </w:tr>
            <w:tr w14:paraId="5B0F6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tcBorders>
                    <w:top w:val="single" w:color="auto" w:sz="12" w:space="0"/>
                    <w:left w:val="nil"/>
                    <w:bottom w:val="single" w:color="auto" w:sz="4" w:space="0"/>
                    <w:right w:val="single" w:color="auto" w:sz="4" w:space="0"/>
                  </w:tcBorders>
                  <w:noWrap w:val="0"/>
                  <w:vAlign w:val="center"/>
                </w:tcPr>
                <w:p w14:paraId="3EA6C6B4">
                  <w:pPr>
                    <w:widowControl/>
                    <w:spacing w:line="220" w:lineRule="exact"/>
                    <w:jc w:val="left"/>
                    <w:rPr>
                      <w:rFonts w:hint="default" w:ascii="Times New Roman" w:hAnsi="Times New Roman" w:cs="Times New Roman" w:eastAsiaTheme="minorEastAsia"/>
                      <w:color w:val="auto"/>
                      <w:sz w:val="21"/>
                      <w:szCs w:val="21"/>
                    </w:rPr>
                  </w:pPr>
                </w:p>
              </w:tc>
              <w:tc>
                <w:tcPr>
                  <w:tcW w:w="835" w:type="pct"/>
                  <w:vMerge w:val="continue"/>
                  <w:tcBorders>
                    <w:top w:val="single" w:color="auto" w:sz="12" w:space="0"/>
                    <w:left w:val="single" w:color="auto" w:sz="4" w:space="0"/>
                    <w:bottom w:val="single" w:color="auto" w:sz="4" w:space="0"/>
                    <w:right w:val="single" w:color="auto" w:sz="4" w:space="0"/>
                  </w:tcBorders>
                  <w:noWrap w:val="0"/>
                  <w:vAlign w:val="center"/>
                </w:tcPr>
                <w:p w14:paraId="53258B30">
                  <w:pPr>
                    <w:widowControl/>
                    <w:spacing w:line="220" w:lineRule="exact"/>
                    <w:jc w:val="left"/>
                    <w:rPr>
                      <w:rFonts w:hint="default" w:ascii="Times New Roman" w:hAnsi="Times New Roman" w:cs="Times New Roman" w:eastAsiaTheme="minorEastAsia"/>
                      <w:color w:val="auto"/>
                      <w:sz w:val="21"/>
                      <w:szCs w:val="21"/>
                    </w:rPr>
                  </w:pPr>
                </w:p>
              </w:tc>
              <w:tc>
                <w:tcPr>
                  <w:tcW w:w="1181" w:type="pct"/>
                  <w:gridSpan w:val="3"/>
                  <w:tcBorders>
                    <w:top w:val="single" w:color="auto" w:sz="4" w:space="0"/>
                    <w:left w:val="single" w:color="auto" w:sz="4" w:space="0"/>
                    <w:bottom w:val="single" w:color="auto" w:sz="4" w:space="0"/>
                    <w:right w:val="single" w:color="auto" w:sz="4" w:space="0"/>
                  </w:tcBorders>
                  <w:noWrap w:val="0"/>
                  <w:vAlign w:val="center"/>
                </w:tcPr>
                <w:p w14:paraId="51E52AF5">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L≤1000</w:t>
                  </w:r>
                </w:p>
              </w:tc>
              <w:tc>
                <w:tcPr>
                  <w:tcW w:w="1181" w:type="pct"/>
                  <w:gridSpan w:val="3"/>
                  <w:tcBorders>
                    <w:top w:val="single" w:color="auto" w:sz="4" w:space="0"/>
                    <w:left w:val="single" w:color="auto" w:sz="4" w:space="0"/>
                    <w:bottom w:val="single" w:color="auto" w:sz="4" w:space="0"/>
                    <w:right w:val="single" w:color="auto" w:sz="4" w:space="0"/>
                  </w:tcBorders>
                  <w:noWrap w:val="0"/>
                  <w:vAlign w:val="center"/>
                </w:tcPr>
                <w:p w14:paraId="6FC406B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1000＜L≤2000</w:t>
                  </w:r>
                </w:p>
              </w:tc>
              <w:tc>
                <w:tcPr>
                  <w:tcW w:w="1185" w:type="pct"/>
                  <w:gridSpan w:val="3"/>
                  <w:tcBorders>
                    <w:top w:val="single" w:color="auto" w:sz="4" w:space="0"/>
                    <w:left w:val="single" w:color="auto" w:sz="4" w:space="0"/>
                    <w:bottom w:val="single" w:color="auto" w:sz="4" w:space="0"/>
                    <w:right w:val="nil"/>
                  </w:tcBorders>
                  <w:noWrap w:val="0"/>
                  <w:vAlign w:val="center"/>
                </w:tcPr>
                <w:p w14:paraId="396B994F">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L＞2000</w:t>
                  </w:r>
                </w:p>
              </w:tc>
            </w:tr>
            <w:tr w14:paraId="11371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tcBorders>
                    <w:top w:val="single" w:color="auto" w:sz="12" w:space="0"/>
                    <w:left w:val="nil"/>
                    <w:bottom w:val="single" w:color="auto" w:sz="4" w:space="0"/>
                    <w:right w:val="single" w:color="auto" w:sz="4" w:space="0"/>
                  </w:tcBorders>
                  <w:noWrap w:val="0"/>
                  <w:vAlign w:val="center"/>
                </w:tcPr>
                <w:p w14:paraId="384E8F25">
                  <w:pPr>
                    <w:widowControl/>
                    <w:spacing w:line="220" w:lineRule="exact"/>
                    <w:jc w:val="left"/>
                    <w:rPr>
                      <w:rFonts w:hint="default" w:ascii="Times New Roman" w:hAnsi="Times New Roman" w:cs="Times New Roman" w:eastAsiaTheme="minorEastAsia"/>
                      <w:color w:val="auto"/>
                      <w:sz w:val="21"/>
                      <w:szCs w:val="21"/>
                    </w:rPr>
                  </w:pPr>
                </w:p>
              </w:tc>
              <w:tc>
                <w:tcPr>
                  <w:tcW w:w="835" w:type="pct"/>
                  <w:vMerge w:val="continue"/>
                  <w:tcBorders>
                    <w:top w:val="single" w:color="auto" w:sz="12" w:space="0"/>
                    <w:left w:val="single" w:color="auto" w:sz="4" w:space="0"/>
                    <w:bottom w:val="single" w:color="auto" w:sz="4" w:space="0"/>
                    <w:right w:val="single" w:color="auto" w:sz="4" w:space="0"/>
                  </w:tcBorders>
                  <w:noWrap w:val="0"/>
                  <w:vAlign w:val="center"/>
                </w:tcPr>
                <w:p w14:paraId="0A52014D">
                  <w:pPr>
                    <w:widowControl/>
                    <w:spacing w:line="220" w:lineRule="exact"/>
                    <w:jc w:val="left"/>
                    <w:rPr>
                      <w:rFonts w:hint="default" w:ascii="Times New Roman" w:hAnsi="Times New Roman" w:cs="Times New Roman" w:eastAsiaTheme="minorEastAsia"/>
                      <w:color w:val="auto"/>
                      <w:sz w:val="21"/>
                      <w:szCs w:val="21"/>
                    </w:rPr>
                  </w:pPr>
                </w:p>
              </w:tc>
              <w:tc>
                <w:tcPr>
                  <w:tcW w:w="3548" w:type="pct"/>
                  <w:gridSpan w:val="9"/>
                  <w:tcBorders>
                    <w:top w:val="single" w:color="auto" w:sz="4" w:space="0"/>
                    <w:left w:val="single" w:color="auto" w:sz="4" w:space="0"/>
                    <w:bottom w:val="single" w:color="auto" w:sz="4" w:space="0"/>
                    <w:right w:val="nil"/>
                  </w:tcBorders>
                  <w:noWrap w:val="0"/>
                  <w:vAlign w:val="center"/>
                </w:tcPr>
                <w:p w14:paraId="7A39A2B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工业企业大气污染源构成类型</w:t>
                  </w:r>
                </w:p>
              </w:tc>
            </w:tr>
            <w:tr w14:paraId="42B01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615" w:type="pct"/>
                  <w:vMerge w:val="continue"/>
                  <w:tcBorders>
                    <w:top w:val="single" w:color="auto" w:sz="12" w:space="0"/>
                    <w:left w:val="nil"/>
                    <w:bottom w:val="single" w:color="auto" w:sz="4" w:space="0"/>
                    <w:right w:val="single" w:color="auto" w:sz="4" w:space="0"/>
                  </w:tcBorders>
                  <w:noWrap w:val="0"/>
                  <w:vAlign w:val="center"/>
                </w:tcPr>
                <w:p w14:paraId="49C1F1D3">
                  <w:pPr>
                    <w:widowControl/>
                    <w:spacing w:line="220" w:lineRule="exact"/>
                    <w:jc w:val="left"/>
                    <w:rPr>
                      <w:rFonts w:hint="default" w:ascii="Times New Roman" w:hAnsi="Times New Roman" w:cs="Times New Roman" w:eastAsiaTheme="minorEastAsia"/>
                      <w:color w:val="auto"/>
                      <w:sz w:val="21"/>
                      <w:szCs w:val="21"/>
                    </w:rPr>
                  </w:pPr>
                </w:p>
              </w:tc>
              <w:tc>
                <w:tcPr>
                  <w:tcW w:w="835" w:type="pct"/>
                  <w:vMerge w:val="continue"/>
                  <w:tcBorders>
                    <w:top w:val="single" w:color="auto" w:sz="12" w:space="0"/>
                    <w:left w:val="single" w:color="auto" w:sz="4" w:space="0"/>
                    <w:bottom w:val="single" w:color="auto" w:sz="4" w:space="0"/>
                    <w:right w:val="single" w:color="auto" w:sz="4" w:space="0"/>
                  </w:tcBorders>
                  <w:noWrap w:val="0"/>
                  <w:vAlign w:val="center"/>
                </w:tcPr>
                <w:p w14:paraId="78DF2BED">
                  <w:pPr>
                    <w:widowControl/>
                    <w:spacing w:line="220" w:lineRule="exact"/>
                    <w:jc w:val="left"/>
                    <w:rPr>
                      <w:rFonts w:hint="default" w:ascii="Times New Roman" w:hAnsi="Times New Roman" w:cs="Times New Roman" w:eastAsiaTheme="minorEastAsia"/>
                      <w:color w:val="auto"/>
                      <w:sz w:val="21"/>
                      <w:szCs w:val="21"/>
                    </w:rPr>
                  </w:pPr>
                </w:p>
              </w:tc>
              <w:tc>
                <w:tcPr>
                  <w:tcW w:w="393" w:type="pct"/>
                  <w:tcBorders>
                    <w:top w:val="single" w:color="auto" w:sz="4" w:space="0"/>
                    <w:left w:val="single" w:color="auto" w:sz="4" w:space="0"/>
                    <w:bottom w:val="single" w:color="auto" w:sz="4" w:space="0"/>
                    <w:right w:val="single" w:color="auto" w:sz="4" w:space="0"/>
                  </w:tcBorders>
                  <w:noWrap w:val="0"/>
                  <w:vAlign w:val="center"/>
                </w:tcPr>
                <w:p w14:paraId="5DB39434">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Ⅰ</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5CFED977">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Ⅱ</w:t>
                  </w:r>
                </w:p>
              </w:tc>
              <w:tc>
                <w:tcPr>
                  <w:tcW w:w="394" w:type="pct"/>
                  <w:tcBorders>
                    <w:top w:val="single" w:color="auto" w:sz="4" w:space="0"/>
                    <w:left w:val="single" w:color="auto" w:sz="4" w:space="0"/>
                    <w:bottom w:val="single" w:color="auto" w:sz="4" w:space="0"/>
                    <w:right w:val="single" w:color="auto" w:sz="4" w:space="0"/>
                  </w:tcBorders>
                  <w:noWrap w:val="0"/>
                  <w:vAlign w:val="center"/>
                </w:tcPr>
                <w:p w14:paraId="430A859A">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Ⅲ</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3F2B4A65">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Ⅰ</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177F781F">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Ⅱ</w:t>
                  </w:r>
                </w:p>
              </w:tc>
              <w:tc>
                <w:tcPr>
                  <w:tcW w:w="394" w:type="pct"/>
                  <w:tcBorders>
                    <w:top w:val="single" w:color="auto" w:sz="4" w:space="0"/>
                    <w:left w:val="single" w:color="auto" w:sz="4" w:space="0"/>
                    <w:bottom w:val="single" w:color="auto" w:sz="4" w:space="0"/>
                    <w:right w:val="single" w:color="auto" w:sz="4" w:space="0"/>
                  </w:tcBorders>
                  <w:noWrap w:val="0"/>
                  <w:vAlign w:val="center"/>
                </w:tcPr>
                <w:p w14:paraId="0D0ADDEC">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Ⅲ</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6C562E93">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Ⅰ</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614E9C40">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Ⅱ</w:t>
                  </w:r>
                </w:p>
              </w:tc>
              <w:tc>
                <w:tcPr>
                  <w:tcW w:w="398" w:type="pct"/>
                  <w:tcBorders>
                    <w:top w:val="single" w:color="auto" w:sz="4" w:space="0"/>
                    <w:left w:val="single" w:color="auto" w:sz="4" w:space="0"/>
                    <w:bottom w:val="single" w:color="auto" w:sz="4" w:space="0"/>
                    <w:right w:val="nil"/>
                  </w:tcBorders>
                  <w:noWrap w:val="0"/>
                  <w:vAlign w:val="center"/>
                </w:tcPr>
                <w:p w14:paraId="6D9D05E9">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Ⅲ</w:t>
                  </w:r>
                </w:p>
              </w:tc>
            </w:tr>
            <w:tr w14:paraId="743DB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tcBorders>
                    <w:top w:val="single" w:color="auto" w:sz="4" w:space="0"/>
                    <w:left w:val="nil"/>
                    <w:bottom w:val="single" w:color="auto" w:sz="4" w:space="0"/>
                    <w:right w:val="single" w:color="auto" w:sz="4" w:space="0"/>
                  </w:tcBorders>
                  <w:noWrap w:val="0"/>
                  <w:vAlign w:val="center"/>
                </w:tcPr>
                <w:p w14:paraId="3CF03256">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A</w:t>
                  </w:r>
                </w:p>
              </w:tc>
              <w:tc>
                <w:tcPr>
                  <w:tcW w:w="835" w:type="pct"/>
                  <w:tcBorders>
                    <w:top w:val="single" w:color="auto" w:sz="4" w:space="0"/>
                    <w:left w:val="single" w:color="auto" w:sz="4" w:space="0"/>
                    <w:bottom w:val="single" w:color="auto" w:sz="4" w:space="0"/>
                    <w:right w:val="single" w:color="auto" w:sz="4" w:space="0"/>
                  </w:tcBorders>
                  <w:noWrap w:val="0"/>
                  <w:vAlign w:val="center"/>
                </w:tcPr>
                <w:p w14:paraId="26E706A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p w14:paraId="0E9E8AE4">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w:t>
                  </w:r>
                </w:p>
                <w:p w14:paraId="66AB72EA">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2199B332">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400</w:t>
                  </w:r>
                </w:p>
                <w:p w14:paraId="4FBA3FB7">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700</w:t>
                  </w:r>
                </w:p>
                <w:p w14:paraId="5EFFDCAD">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530</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5435F2BA">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400</w:t>
                  </w:r>
                </w:p>
                <w:p w14:paraId="79D96628">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470</w:t>
                  </w:r>
                </w:p>
                <w:p w14:paraId="43B5CC54">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350</w:t>
                  </w:r>
                </w:p>
              </w:tc>
              <w:tc>
                <w:tcPr>
                  <w:tcW w:w="394" w:type="pct"/>
                  <w:tcBorders>
                    <w:top w:val="single" w:color="auto" w:sz="4" w:space="0"/>
                    <w:left w:val="single" w:color="auto" w:sz="4" w:space="0"/>
                    <w:bottom w:val="single" w:color="auto" w:sz="4" w:space="0"/>
                    <w:right w:val="single" w:color="auto" w:sz="4" w:space="0"/>
                  </w:tcBorders>
                  <w:noWrap w:val="0"/>
                  <w:vAlign w:val="center"/>
                </w:tcPr>
                <w:p w14:paraId="1CE66E3C">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400</w:t>
                  </w:r>
                </w:p>
                <w:p w14:paraId="15ED6F85">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350</w:t>
                  </w:r>
                </w:p>
                <w:p w14:paraId="0415B6AD">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260</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0A56579A">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400</w:t>
                  </w:r>
                </w:p>
                <w:p w14:paraId="6D93CA9F">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700</w:t>
                  </w:r>
                </w:p>
                <w:p w14:paraId="51308BAE">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530</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1BE903C4">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400</w:t>
                  </w:r>
                </w:p>
                <w:p w14:paraId="0629D5BF">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470</w:t>
                  </w:r>
                </w:p>
                <w:p w14:paraId="333F6CE3">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350</w:t>
                  </w:r>
                </w:p>
              </w:tc>
              <w:tc>
                <w:tcPr>
                  <w:tcW w:w="394" w:type="pct"/>
                  <w:tcBorders>
                    <w:top w:val="single" w:color="auto" w:sz="4" w:space="0"/>
                    <w:left w:val="single" w:color="auto" w:sz="4" w:space="0"/>
                    <w:bottom w:val="single" w:color="auto" w:sz="4" w:space="0"/>
                    <w:right w:val="single" w:color="auto" w:sz="4" w:space="0"/>
                  </w:tcBorders>
                  <w:noWrap w:val="0"/>
                  <w:vAlign w:val="center"/>
                </w:tcPr>
                <w:p w14:paraId="733A4F19">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400</w:t>
                  </w:r>
                </w:p>
                <w:p w14:paraId="57DFB0D7">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350</w:t>
                  </w:r>
                </w:p>
                <w:p w14:paraId="200F97A7">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260</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7291F9DB">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p w14:paraId="5BED5D8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380</w:t>
                  </w:r>
                </w:p>
                <w:p w14:paraId="6C88BDFC">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290</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2C945005">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p w14:paraId="1BAD49EC">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250</w:t>
                  </w:r>
                </w:p>
                <w:p w14:paraId="13200903">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190</w:t>
                  </w:r>
                </w:p>
              </w:tc>
              <w:tc>
                <w:tcPr>
                  <w:tcW w:w="398" w:type="pct"/>
                  <w:tcBorders>
                    <w:top w:val="single" w:color="auto" w:sz="4" w:space="0"/>
                    <w:left w:val="single" w:color="auto" w:sz="4" w:space="0"/>
                    <w:bottom w:val="single" w:color="auto" w:sz="4" w:space="0"/>
                    <w:right w:val="nil"/>
                  </w:tcBorders>
                  <w:noWrap w:val="0"/>
                  <w:vAlign w:val="center"/>
                </w:tcPr>
                <w:p w14:paraId="212F900D">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p w14:paraId="102D8F5B">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190</w:t>
                  </w:r>
                </w:p>
                <w:p w14:paraId="63D8097B">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110</w:t>
                  </w:r>
                </w:p>
              </w:tc>
            </w:tr>
            <w:tr w14:paraId="4AE85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tcBorders>
                    <w:top w:val="single" w:color="auto" w:sz="4" w:space="0"/>
                    <w:left w:val="nil"/>
                    <w:bottom w:val="single" w:color="auto" w:sz="4" w:space="0"/>
                    <w:right w:val="single" w:color="auto" w:sz="4" w:space="0"/>
                  </w:tcBorders>
                  <w:noWrap w:val="0"/>
                  <w:vAlign w:val="center"/>
                </w:tcPr>
                <w:p w14:paraId="0E2AC586">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B</w:t>
                  </w:r>
                </w:p>
              </w:tc>
              <w:tc>
                <w:tcPr>
                  <w:tcW w:w="835" w:type="pct"/>
                  <w:tcBorders>
                    <w:top w:val="single" w:color="auto" w:sz="4" w:space="0"/>
                    <w:left w:val="single" w:color="auto" w:sz="4" w:space="0"/>
                    <w:bottom w:val="single" w:color="auto" w:sz="4" w:space="0"/>
                    <w:right w:val="single" w:color="auto" w:sz="4" w:space="0"/>
                  </w:tcBorders>
                  <w:noWrap w:val="0"/>
                  <w:vAlign w:val="center"/>
                </w:tcPr>
                <w:p w14:paraId="6AD5C7E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p w14:paraId="49AC1A8C">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181" w:type="pct"/>
                  <w:gridSpan w:val="3"/>
                  <w:tcBorders>
                    <w:top w:val="single" w:color="auto" w:sz="4" w:space="0"/>
                    <w:left w:val="single" w:color="auto" w:sz="4" w:space="0"/>
                    <w:bottom w:val="single" w:color="auto" w:sz="4" w:space="0"/>
                    <w:right w:val="single" w:color="auto" w:sz="4" w:space="0"/>
                  </w:tcBorders>
                  <w:noWrap w:val="0"/>
                  <w:vAlign w:val="center"/>
                </w:tcPr>
                <w:p w14:paraId="1B9EE416">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0.01</w:t>
                  </w:r>
                </w:p>
                <w:p w14:paraId="6A20D13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0.021</w:t>
                  </w:r>
                </w:p>
              </w:tc>
              <w:tc>
                <w:tcPr>
                  <w:tcW w:w="1181" w:type="pct"/>
                  <w:gridSpan w:val="3"/>
                  <w:tcBorders>
                    <w:top w:val="single" w:color="auto" w:sz="4" w:space="0"/>
                    <w:left w:val="single" w:color="auto" w:sz="4" w:space="0"/>
                    <w:bottom w:val="single" w:color="auto" w:sz="4" w:space="0"/>
                    <w:right w:val="single" w:color="auto" w:sz="4" w:space="0"/>
                  </w:tcBorders>
                  <w:noWrap w:val="0"/>
                  <w:vAlign w:val="center"/>
                </w:tcPr>
                <w:p w14:paraId="67F0FBBB">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0.015</w:t>
                  </w:r>
                </w:p>
                <w:p w14:paraId="7BAA77C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0.036</w:t>
                  </w:r>
                </w:p>
              </w:tc>
              <w:tc>
                <w:tcPr>
                  <w:tcW w:w="1185" w:type="pct"/>
                  <w:gridSpan w:val="3"/>
                  <w:tcBorders>
                    <w:top w:val="single" w:color="auto" w:sz="4" w:space="0"/>
                    <w:left w:val="single" w:color="auto" w:sz="4" w:space="0"/>
                    <w:bottom w:val="single" w:color="auto" w:sz="4" w:space="0"/>
                    <w:right w:val="nil"/>
                  </w:tcBorders>
                  <w:noWrap w:val="0"/>
                  <w:vAlign w:val="center"/>
                </w:tcPr>
                <w:p w14:paraId="14F8EFDF">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0.015</w:t>
                  </w:r>
                </w:p>
                <w:p w14:paraId="52B4564F">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0.036</w:t>
                  </w:r>
                </w:p>
              </w:tc>
            </w:tr>
            <w:tr w14:paraId="0A37E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tcBorders>
                    <w:top w:val="single" w:color="auto" w:sz="4" w:space="0"/>
                    <w:left w:val="nil"/>
                    <w:bottom w:val="single" w:color="auto" w:sz="4" w:space="0"/>
                    <w:right w:val="single" w:color="auto" w:sz="4" w:space="0"/>
                  </w:tcBorders>
                  <w:noWrap w:val="0"/>
                  <w:vAlign w:val="center"/>
                </w:tcPr>
                <w:p w14:paraId="34290709">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w:t>
                  </w:r>
                </w:p>
              </w:tc>
              <w:tc>
                <w:tcPr>
                  <w:tcW w:w="835" w:type="pct"/>
                  <w:tcBorders>
                    <w:top w:val="single" w:color="auto" w:sz="4" w:space="0"/>
                    <w:left w:val="single" w:color="auto" w:sz="4" w:space="0"/>
                    <w:bottom w:val="single" w:color="auto" w:sz="4" w:space="0"/>
                    <w:right w:val="single" w:color="auto" w:sz="4" w:space="0"/>
                  </w:tcBorders>
                  <w:noWrap w:val="0"/>
                  <w:vAlign w:val="center"/>
                </w:tcPr>
                <w:p w14:paraId="6E148222">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p w14:paraId="67D8CB69">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181" w:type="pct"/>
                  <w:gridSpan w:val="3"/>
                  <w:tcBorders>
                    <w:top w:val="single" w:color="auto" w:sz="4" w:space="0"/>
                    <w:left w:val="single" w:color="auto" w:sz="4" w:space="0"/>
                    <w:bottom w:val="single" w:color="auto" w:sz="4" w:space="0"/>
                    <w:right w:val="single" w:color="auto" w:sz="4" w:space="0"/>
                  </w:tcBorders>
                  <w:noWrap w:val="0"/>
                  <w:vAlign w:val="center"/>
                </w:tcPr>
                <w:p w14:paraId="2A630A47">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1.85</w:t>
                  </w:r>
                </w:p>
                <w:p w14:paraId="4A9CA8FD">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1.85</w:t>
                  </w:r>
                </w:p>
              </w:tc>
              <w:tc>
                <w:tcPr>
                  <w:tcW w:w="1181" w:type="pct"/>
                  <w:gridSpan w:val="3"/>
                  <w:tcBorders>
                    <w:top w:val="single" w:color="auto" w:sz="4" w:space="0"/>
                    <w:left w:val="single" w:color="auto" w:sz="4" w:space="0"/>
                    <w:bottom w:val="single" w:color="auto" w:sz="4" w:space="0"/>
                    <w:right w:val="single" w:color="auto" w:sz="4" w:space="0"/>
                  </w:tcBorders>
                  <w:noWrap w:val="0"/>
                  <w:vAlign w:val="center"/>
                </w:tcPr>
                <w:p w14:paraId="67002A2F">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1.79</w:t>
                  </w:r>
                </w:p>
                <w:p w14:paraId="2A5F825C">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1.77</w:t>
                  </w:r>
                </w:p>
              </w:tc>
              <w:tc>
                <w:tcPr>
                  <w:tcW w:w="1185" w:type="pct"/>
                  <w:gridSpan w:val="3"/>
                  <w:tcBorders>
                    <w:top w:val="single" w:color="auto" w:sz="4" w:space="0"/>
                    <w:left w:val="single" w:color="auto" w:sz="4" w:space="0"/>
                    <w:bottom w:val="single" w:color="auto" w:sz="4" w:space="0"/>
                    <w:right w:val="nil"/>
                  </w:tcBorders>
                  <w:noWrap w:val="0"/>
                  <w:vAlign w:val="center"/>
                </w:tcPr>
                <w:p w14:paraId="7A5105BC">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1.79</w:t>
                  </w:r>
                </w:p>
                <w:p w14:paraId="27C2C416">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1.77</w:t>
                  </w:r>
                </w:p>
              </w:tc>
            </w:tr>
            <w:tr w14:paraId="720A2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tcBorders>
                    <w:top w:val="single" w:color="auto" w:sz="4" w:space="0"/>
                    <w:left w:val="nil"/>
                    <w:bottom w:val="single" w:color="auto" w:sz="4" w:space="0"/>
                    <w:right w:val="single" w:color="auto" w:sz="4" w:space="0"/>
                  </w:tcBorders>
                  <w:noWrap w:val="0"/>
                  <w:vAlign w:val="center"/>
                </w:tcPr>
                <w:p w14:paraId="3020737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D</w:t>
                  </w:r>
                </w:p>
              </w:tc>
              <w:tc>
                <w:tcPr>
                  <w:tcW w:w="835" w:type="pct"/>
                  <w:tcBorders>
                    <w:top w:val="single" w:color="auto" w:sz="4" w:space="0"/>
                    <w:left w:val="single" w:color="auto" w:sz="4" w:space="0"/>
                    <w:bottom w:val="single" w:color="auto" w:sz="4" w:space="0"/>
                    <w:right w:val="single" w:color="auto" w:sz="4" w:space="0"/>
                  </w:tcBorders>
                  <w:noWrap w:val="0"/>
                  <w:vAlign w:val="center"/>
                </w:tcPr>
                <w:p w14:paraId="4026D307">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p w14:paraId="74AC8FCD">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181" w:type="pct"/>
                  <w:gridSpan w:val="3"/>
                  <w:tcBorders>
                    <w:top w:val="single" w:color="auto" w:sz="4" w:space="0"/>
                    <w:left w:val="single" w:color="auto" w:sz="4" w:space="0"/>
                    <w:bottom w:val="single" w:color="auto" w:sz="4" w:space="0"/>
                    <w:right w:val="single" w:color="auto" w:sz="4" w:space="0"/>
                  </w:tcBorders>
                  <w:noWrap w:val="0"/>
                  <w:vAlign w:val="center"/>
                </w:tcPr>
                <w:p w14:paraId="561F6D57">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0.78</w:t>
                  </w:r>
                </w:p>
                <w:p w14:paraId="370DD535">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0.84</w:t>
                  </w:r>
                </w:p>
              </w:tc>
              <w:tc>
                <w:tcPr>
                  <w:tcW w:w="1181" w:type="pct"/>
                  <w:gridSpan w:val="3"/>
                  <w:tcBorders>
                    <w:top w:val="single" w:color="auto" w:sz="4" w:space="0"/>
                    <w:left w:val="single" w:color="auto" w:sz="4" w:space="0"/>
                    <w:bottom w:val="single" w:color="auto" w:sz="4" w:space="0"/>
                    <w:right w:val="single" w:color="auto" w:sz="4" w:space="0"/>
                  </w:tcBorders>
                  <w:noWrap w:val="0"/>
                  <w:vAlign w:val="center"/>
                </w:tcPr>
                <w:p w14:paraId="58C58FF8">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0.78</w:t>
                  </w:r>
                </w:p>
                <w:p w14:paraId="63099B99">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0.84</w:t>
                  </w:r>
                </w:p>
              </w:tc>
              <w:tc>
                <w:tcPr>
                  <w:tcW w:w="1185" w:type="pct"/>
                  <w:gridSpan w:val="3"/>
                  <w:tcBorders>
                    <w:top w:val="single" w:color="auto" w:sz="4" w:space="0"/>
                    <w:left w:val="single" w:color="auto" w:sz="4" w:space="0"/>
                    <w:bottom w:val="single" w:color="auto" w:sz="4" w:space="0"/>
                    <w:right w:val="nil"/>
                  </w:tcBorders>
                  <w:noWrap w:val="0"/>
                  <w:vAlign w:val="center"/>
                </w:tcPr>
                <w:p w14:paraId="00C62444">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0.57</w:t>
                  </w:r>
                </w:p>
                <w:p w14:paraId="0CC6EEDA">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0.76</w:t>
                  </w:r>
                </w:p>
              </w:tc>
            </w:tr>
            <w:tr w14:paraId="101BE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1"/>
                  <w:tcBorders>
                    <w:top w:val="single" w:color="auto" w:sz="4" w:space="0"/>
                    <w:left w:val="nil"/>
                    <w:bottom w:val="single" w:color="auto" w:sz="12" w:space="0"/>
                    <w:right w:val="nil"/>
                  </w:tcBorders>
                  <w:noWrap w:val="0"/>
                  <w:vAlign w:val="center"/>
                </w:tcPr>
                <w:p w14:paraId="65EE1A59">
                  <w:pPr>
                    <w:snapToGrid w:val="0"/>
                    <w:spacing w:line="260" w:lineRule="exact"/>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注：I类</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与无组织排放源共存的排放同种有害气体的排气筒的排放量，大于或等于标准规定的允许排放量的1/3者。</w:t>
                  </w:r>
                </w:p>
                <w:p w14:paraId="4BB30139">
                  <w:pPr>
                    <w:snapToGrid w:val="0"/>
                    <w:spacing w:line="260" w:lineRule="exact"/>
                    <w:jc w:val="left"/>
                    <w:rPr>
                      <w:rFonts w:hint="default" w:ascii="Times New Roman" w:hAnsi="Times New Roman" w:cs="Times New Roman" w:eastAsiaTheme="minorEastAsia"/>
                      <w:color w:val="auto"/>
                      <w:sz w:val="21"/>
                      <w:szCs w:val="21"/>
                    </w:rPr>
                  </w:pPr>
                  <w:r>
                    <w:rPr>
                      <w:rFonts w:hint="default" w:ascii="Times New Roman" w:hAnsi="Times New Roman" w:eastAsia="微软雅黑" w:cs="Times New Roman"/>
                      <w:color w:val="auto"/>
                      <w:sz w:val="21"/>
                      <w:szCs w:val="21"/>
                    </w:rPr>
                    <w:t>Ⅱ</w:t>
                  </w:r>
                  <w:r>
                    <w:rPr>
                      <w:rFonts w:hint="default" w:ascii="Times New Roman" w:hAnsi="Times New Roman" w:cs="Times New Roman" w:eastAsiaTheme="minorEastAsia"/>
                      <w:color w:val="auto"/>
                      <w:sz w:val="21"/>
                      <w:szCs w:val="21"/>
                    </w:rPr>
                    <w:t>类</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13CA1F15">
                  <w:pPr>
                    <w:snapToGrid w:val="0"/>
                    <w:spacing w:line="260" w:lineRule="exact"/>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Ⅲ类</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无排放同种有害物质的排气</w:t>
                  </w:r>
                  <w:r>
                    <w:rPr>
                      <w:rFonts w:hint="default" w:ascii="Times New Roman" w:hAnsi="Times New Roman" w:cs="Times New Roman" w:eastAsiaTheme="minorEastAsia"/>
                      <w:color w:val="auto"/>
                      <w:sz w:val="21"/>
                      <w:szCs w:val="21"/>
                      <w:lang w:val="en-US" w:eastAsia="zh-CN"/>
                    </w:rPr>
                    <w:t>筒</w:t>
                  </w:r>
                  <w:r>
                    <w:rPr>
                      <w:rFonts w:hint="default" w:ascii="Times New Roman" w:hAnsi="Times New Roman" w:cs="Times New Roman" w:eastAsiaTheme="minorEastAsia"/>
                      <w:color w:val="auto"/>
                      <w:sz w:val="21"/>
                      <w:szCs w:val="21"/>
                    </w:rPr>
                    <w:t>与无组织排放源共存，但无组织排放的有害物质的容许浓度是按慢性反应指标确定者。</w:t>
                  </w:r>
                </w:p>
              </w:tc>
            </w:tr>
          </w:tbl>
          <w:p w14:paraId="028D49EF">
            <w:pPr>
              <w:keepNext w:val="0"/>
              <w:keepLines w:val="0"/>
              <w:pageBreakBefore w:val="0"/>
              <w:widowControl w:val="0"/>
              <w:kinsoku/>
              <w:wordWrap/>
              <w:overflowPunct/>
              <w:topLinePunct w:val="0"/>
              <w:autoSpaceDE/>
              <w:autoSpaceDN/>
              <w:bidi w:val="0"/>
              <w:adjustRightInd/>
              <w:snapToGrid w:val="0"/>
              <w:spacing w:before="48" w:beforeLines="20" w:line="480" w:lineRule="exact"/>
              <w:ind w:firstLine="480" w:firstLineChars="200"/>
              <w:textAlignment w:val="auto"/>
              <w:rPr>
                <w:color w:val="auto"/>
                <w:sz w:val="24"/>
                <w:szCs w:val="24"/>
              </w:rPr>
            </w:pPr>
            <w:r>
              <w:rPr>
                <w:color w:val="auto"/>
                <w:sz w:val="24"/>
                <w:szCs w:val="24"/>
              </w:rPr>
              <w:t>2、相关计算参数的确定</w:t>
            </w:r>
          </w:p>
          <w:p w14:paraId="1B9EC13A">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color w:val="auto"/>
                <w:sz w:val="24"/>
                <w:szCs w:val="24"/>
              </w:rPr>
            </w:pPr>
            <w:r>
              <w:rPr>
                <w:rFonts w:hint="eastAsia"/>
                <w:color w:val="auto"/>
                <w:sz w:val="24"/>
                <w:szCs w:val="24"/>
                <w:lang w:val="en-US" w:eastAsia="zh-CN"/>
              </w:rPr>
              <w:t>本项目</w:t>
            </w:r>
            <w:r>
              <w:rPr>
                <w:color w:val="auto"/>
                <w:sz w:val="24"/>
                <w:szCs w:val="24"/>
              </w:rPr>
              <w:t>卫生防护距离所用参数和计算结果见表4-</w:t>
            </w:r>
            <w:r>
              <w:rPr>
                <w:rFonts w:hint="eastAsia"/>
                <w:color w:val="auto"/>
                <w:sz w:val="24"/>
                <w:szCs w:val="24"/>
                <w:lang w:val="en-US" w:eastAsia="zh-CN"/>
              </w:rPr>
              <w:t>6</w:t>
            </w:r>
            <w:r>
              <w:rPr>
                <w:color w:val="auto"/>
                <w:sz w:val="24"/>
                <w:szCs w:val="24"/>
              </w:rPr>
              <w:t>。</w:t>
            </w:r>
          </w:p>
          <w:p w14:paraId="215C4C14">
            <w:pPr>
              <w:pStyle w:val="56"/>
              <w:spacing w:before="0" w:beforeLines="0" w:line="360" w:lineRule="exact"/>
              <w:ind w:firstLine="0" w:firstLineChars="0"/>
              <w:jc w:val="center"/>
              <w:rPr>
                <w:b/>
                <w:color w:val="auto"/>
                <w:sz w:val="21"/>
                <w:szCs w:val="21"/>
                <w:lang w:val="en-US" w:eastAsia="zh-CN"/>
              </w:rPr>
            </w:pPr>
            <w:r>
              <w:rPr>
                <w:b/>
                <w:color w:val="auto"/>
                <w:sz w:val="21"/>
                <w:szCs w:val="21"/>
                <w:lang w:val="en-US" w:eastAsia="zh-CN"/>
              </w:rPr>
              <w:t>表4-</w:t>
            </w:r>
            <w:r>
              <w:rPr>
                <w:rFonts w:hint="eastAsia"/>
                <w:b/>
                <w:color w:val="auto"/>
                <w:sz w:val="21"/>
                <w:szCs w:val="21"/>
                <w:lang w:val="en-US" w:eastAsia="zh-CN"/>
              </w:rPr>
              <w:t>6</w:t>
            </w:r>
            <w:r>
              <w:rPr>
                <w:b/>
                <w:color w:val="auto"/>
                <w:sz w:val="21"/>
                <w:szCs w:val="21"/>
                <w:lang w:val="en-US" w:eastAsia="zh-CN"/>
              </w:rPr>
              <w:t xml:space="preserve"> 卫生防护距离计算结果表</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197"/>
              <w:gridCol w:w="977"/>
              <w:gridCol w:w="1085"/>
              <w:gridCol w:w="1220"/>
              <w:gridCol w:w="1091"/>
              <w:gridCol w:w="1098"/>
              <w:gridCol w:w="1099"/>
            </w:tblGrid>
            <w:tr w14:paraId="3DF1D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9" w:type="pct"/>
                  <w:noWrap w:val="0"/>
                  <w:vAlign w:val="center"/>
                </w:tcPr>
                <w:p w14:paraId="5FDFA700">
                  <w:pPr>
                    <w:snapToGrid w:val="0"/>
                    <w:spacing w:line="2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污染源位置</w:t>
                  </w:r>
                </w:p>
              </w:tc>
              <w:tc>
                <w:tcPr>
                  <w:tcW w:w="676" w:type="pct"/>
                  <w:noWrap w:val="0"/>
                  <w:vAlign w:val="center"/>
                </w:tcPr>
                <w:p w14:paraId="71486CA6">
                  <w:pPr>
                    <w:snapToGrid w:val="0"/>
                    <w:spacing w:line="2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污染物名称</w:t>
                  </w:r>
                </w:p>
              </w:tc>
              <w:tc>
                <w:tcPr>
                  <w:tcW w:w="552" w:type="pct"/>
                  <w:noWrap w:val="0"/>
                  <w:vAlign w:val="center"/>
                </w:tcPr>
                <w:p w14:paraId="30A13C19">
                  <w:pPr>
                    <w:snapToGrid w:val="0"/>
                    <w:spacing w:line="2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平均风速（m/s）</w:t>
                  </w:r>
                </w:p>
              </w:tc>
              <w:tc>
                <w:tcPr>
                  <w:tcW w:w="613" w:type="pct"/>
                  <w:noWrap w:val="0"/>
                  <w:vAlign w:val="center"/>
                </w:tcPr>
                <w:p w14:paraId="78BCDED6">
                  <w:pPr>
                    <w:snapToGrid w:val="0"/>
                    <w:spacing w:line="2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排放速率(kg/h)</w:t>
                  </w:r>
                </w:p>
              </w:tc>
              <w:tc>
                <w:tcPr>
                  <w:tcW w:w="689" w:type="pct"/>
                  <w:noWrap w:val="0"/>
                  <w:vAlign w:val="center"/>
                </w:tcPr>
                <w:p w14:paraId="3F81F629">
                  <w:pPr>
                    <w:snapToGrid w:val="0"/>
                    <w:spacing w:line="2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Cm（mg/m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616" w:type="pct"/>
                  <w:noWrap w:val="0"/>
                  <w:vAlign w:val="center"/>
                </w:tcPr>
                <w:p w14:paraId="10811789">
                  <w:pPr>
                    <w:snapToGrid w:val="0"/>
                    <w:spacing w:line="2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卫生防护距离（m）</w:t>
                  </w:r>
                </w:p>
              </w:tc>
              <w:tc>
                <w:tcPr>
                  <w:tcW w:w="620" w:type="pct"/>
                  <w:noWrap w:val="0"/>
                  <w:vAlign w:val="center"/>
                </w:tcPr>
                <w:p w14:paraId="08DA93A5">
                  <w:pPr>
                    <w:snapToGrid w:val="0"/>
                    <w:spacing w:line="22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卫生防护距离（m）</w:t>
                  </w:r>
                </w:p>
              </w:tc>
              <w:tc>
                <w:tcPr>
                  <w:tcW w:w="621" w:type="pct"/>
                  <w:noWrap w:val="0"/>
                  <w:vAlign w:val="center"/>
                </w:tcPr>
                <w:p w14:paraId="76F6FB8D">
                  <w:pPr>
                    <w:snapToGrid w:val="0"/>
                    <w:spacing w:line="220" w:lineRule="exact"/>
                    <w:jc w:val="center"/>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本项目卫生防护距离</w:t>
                  </w:r>
                </w:p>
              </w:tc>
            </w:tr>
            <w:tr w14:paraId="79045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09" w:type="pct"/>
                  <w:vMerge w:val="restart"/>
                  <w:noWrap w:val="0"/>
                  <w:vAlign w:val="center"/>
                </w:tcPr>
                <w:p w14:paraId="1C87EDCC">
                  <w:pPr>
                    <w:snapToGrid w:val="0"/>
                    <w:spacing w:line="2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生产车间</w:t>
                  </w:r>
                </w:p>
              </w:tc>
              <w:tc>
                <w:tcPr>
                  <w:tcW w:w="676" w:type="pct"/>
                  <w:noWrap w:val="0"/>
                  <w:vAlign w:val="center"/>
                </w:tcPr>
                <w:p w14:paraId="603B9EB1">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552" w:type="pct"/>
                  <w:noWrap w:val="0"/>
                  <w:vAlign w:val="center"/>
                </w:tcPr>
                <w:p w14:paraId="138D3280">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w:t>
                  </w:r>
                </w:p>
              </w:tc>
              <w:tc>
                <w:tcPr>
                  <w:tcW w:w="613" w:type="pct"/>
                  <w:noWrap w:val="0"/>
                  <w:vAlign w:val="center"/>
                </w:tcPr>
                <w:p w14:paraId="2495D6CA">
                  <w:pPr>
                    <w:snapToGrid w:val="0"/>
                    <w:spacing w:line="2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0.00003</w:t>
                  </w:r>
                </w:p>
              </w:tc>
              <w:tc>
                <w:tcPr>
                  <w:tcW w:w="689" w:type="pct"/>
                  <w:noWrap w:val="0"/>
                  <w:vAlign w:val="center"/>
                </w:tcPr>
                <w:p w14:paraId="40614235">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616" w:type="pct"/>
                  <w:noWrap w:val="0"/>
                  <w:vAlign w:val="center"/>
                </w:tcPr>
                <w:p w14:paraId="718D0843">
                  <w:pPr>
                    <w:snapToGrid w:val="0"/>
                    <w:spacing w:line="2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0.39</w:t>
                  </w:r>
                </w:p>
              </w:tc>
              <w:tc>
                <w:tcPr>
                  <w:tcW w:w="620" w:type="pct"/>
                  <w:noWrap w:val="0"/>
                  <w:vAlign w:val="center"/>
                </w:tcPr>
                <w:p w14:paraId="0AAB3BB4">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0</w:t>
                  </w:r>
                </w:p>
              </w:tc>
              <w:tc>
                <w:tcPr>
                  <w:tcW w:w="621" w:type="pct"/>
                  <w:vMerge w:val="restart"/>
                  <w:noWrap w:val="0"/>
                  <w:vAlign w:val="center"/>
                </w:tcPr>
                <w:p w14:paraId="2DAA7082">
                  <w:pPr>
                    <w:snapToGrid w:val="0"/>
                    <w:spacing w:line="2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100</w:t>
                  </w:r>
                </w:p>
              </w:tc>
            </w:tr>
            <w:tr w14:paraId="24800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09" w:type="pct"/>
                  <w:vMerge w:val="continue"/>
                  <w:noWrap w:val="0"/>
                  <w:vAlign w:val="center"/>
                </w:tcPr>
                <w:p w14:paraId="25330C41">
                  <w:pPr>
                    <w:snapToGrid w:val="0"/>
                    <w:spacing w:line="220" w:lineRule="exact"/>
                    <w:jc w:val="center"/>
                    <w:rPr>
                      <w:rFonts w:hint="eastAsia" w:cs="Times New Roman" w:eastAsiaTheme="minorEastAsia"/>
                      <w:color w:val="auto"/>
                      <w:sz w:val="21"/>
                      <w:szCs w:val="21"/>
                      <w:lang w:val="en-US" w:eastAsia="zh-CN"/>
                    </w:rPr>
                  </w:pPr>
                </w:p>
              </w:tc>
              <w:tc>
                <w:tcPr>
                  <w:tcW w:w="676" w:type="pct"/>
                  <w:noWrap w:val="0"/>
                  <w:vAlign w:val="center"/>
                </w:tcPr>
                <w:p w14:paraId="07FC7A00">
                  <w:pPr>
                    <w:snapToGrid w:val="0"/>
                    <w:spacing w:line="220" w:lineRule="exact"/>
                    <w:jc w:val="center"/>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氨</w:t>
                  </w:r>
                </w:p>
              </w:tc>
              <w:tc>
                <w:tcPr>
                  <w:tcW w:w="552" w:type="pct"/>
                  <w:noWrap w:val="0"/>
                  <w:vAlign w:val="center"/>
                </w:tcPr>
                <w:p w14:paraId="6EBABDD5">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w:t>
                  </w:r>
                </w:p>
              </w:tc>
              <w:tc>
                <w:tcPr>
                  <w:tcW w:w="613" w:type="pct"/>
                  <w:noWrap w:val="0"/>
                  <w:vAlign w:val="center"/>
                </w:tcPr>
                <w:p w14:paraId="797774E9">
                  <w:pPr>
                    <w:snapToGrid w:val="0"/>
                    <w:spacing w:line="220" w:lineRule="exact"/>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0.00001</w:t>
                  </w:r>
                </w:p>
              </w:tc>
              <w:tc>
                <w:tcPr>
                  <w:tcW w:w="689" w:type="pct"/>
                  <w:noWrap w:val="0"/>
                  <w:vAlign w:val="center"/>
                </w:tcPr>
                <w:p w14:paraId="79FE41C0">
                  <w:pPr>
                    <w:snapToGrid w:val="0"/>
                    <w:spacing w:line="2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616" w:type="pct"/>
                  <w:noWrap w:val="0"/>
                  <w:vAlign w:val="center"/>
                </w:tcPr>
                <w:p w14:paraId="350A71A8">
                  <w:pPr>
                    <w:snapToGrid w:val="0"/>
                    <w:spacing w:line="2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0.0001</w:t>
                  </w:r>
                </w:p>
              </w:tc>
              <w:tc>
                <w:tcPr>
                  <w:tcW w:w="620" w:type="pct"/>
                  <w:noWrap w:val="0"/>
                  <w:vAlign w:val="center"/>
                </w:tcPr>
                <w:p w14:paraId="79E5B057">
                  <w:pPr>
                    <w:snapToGrid w:val="0"/>
                    <w:spacing w:line="220" w:lineRule="exact"/>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50</w:t>
                  </w:r>
                </w:p>
              </w:tc>
              <w:tc>
                <w:tcPr>
                  <w:tcW w:w="621" w:type="pct"/>
                  <w:vMerge w:val="continue"/>
                  <w:noWrap w:val="0"/>
                  <w:vAlign w:val="center"/>
                </w:tcPr>
                <w:p w14:paraId="7EBFF821">
                  <w:pPr>
                    <w:snapToGrid w:val="0"/>
                    <w:spacing w:line="220" w:lineRule="exact"/>
                    <w:jc w:val="center"/>
                    <w:rPr>
                      <w:rFonts w:hint="default" w:ascii="Times New Roman" w:hAnsi="Times New Roman" w:cs="Times New Roman" w:eastAsiaTheme="minorEastAsia"/>
                      <w:color w:val="auto"/>
                      <w:sz w:val="21"/>
                      <w:szCs w:val="21"/>
                      <w:lang w:val="en-US" w:eastAsia="zh-CN"/>
                    </w:rPr>
                  </w:pPr>
                </w:p>
              </w:tc>
            </w:tr>
          </w:tbl>
          <w:p w14:paraId="2F1E7D8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color w:val="auto"/>
                <w:sz w:val="24"/>
                <w:szCs w:val="24"/>
              </w:rPr>
            </w:pPr>
            <w:r>
              <w:rPr>
                <w:color w:val="auto"/>
                <w:sz w:val="24"/>
                <w:szCs w:val="24"/>
              </w:rPr>
              <w:t>3、卫生防护距离终值的确定</w:t>
            </w:r>
          </w:p>
          <w:p w14:paraId="54FFCED9">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color w:val="auto"/>
                <w:sz w:val="24"/>
                <w:szCs w:val="24"/>
              </w:rPr>
            </w:pPr>
            <w:r>
              <w:rPr>
                <w:color w:val="auto"/>
                <w:sz w:val="24"/>
                <w:szCs w:val="24"/>
              </w:rPr>
              <w:t>（1）单一特征大气有害物质终值的确定</w:t>
            </w:r>
          </w:p>
          <w:p w14:paraId="508D06F6">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color w:val="auto"/>
                <w:sz w:val="24"/>
                <w:szCs w:val="24"/>
              </w:rPr>
            </w:pPr>
            <w:r>
              <w:rPr>
                <w:color w:val="auto"/>
                <w:sz w:val="24"/>
                <w:szCs w:val="24"/>
              </w:rPr>
              <w:t>①卫生防护距离初值小于50m时，级差为50m；</w:t>
            </w:r>
          </w:p>
          <w:p w14:paraId="0F0FE748">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color w:val="auto"/>
                <w:sz w:val="24"/>
                <w:szCs w:val="24"/>
              </w:rPr>
            </w:pPr>
            <w:r>
              <w:rPr>
                <w:color w:val="auto"/>
                <w:sz w:val="24"/>
                <w:szCs w:val="24"/>
              </w:rPr>
              <w:t>②卫生防护距离初值大于或等于50m，但小于100m时，级差为50m；</w:t>
            </w:r>
          </w:p>
          <w:p w14:paraId="641CD9D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color w:val="auto"/>
                <w:sz w:val="24"/>
                <w:szCs w:val="24"/>
              </w:rPr>
            </w:pPr>
            <w:r>
              <w:rPr>
                <w:color w:val="auto"/>
                <w:sz w:val="24"/>
                <w:szCs w:val="24"/>
              </w:rPr>
              <w:t>③卫生防护距离初值大于或等于100m，但小于1000m时，级差为100m；</w:t>
            </w:r>
          </w:p>
          <w:p w14:paraId="79F7819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color w:val="auto"/>
                <w:sz w:val="24"/>
                <w:szCs w:val="24"/>
              </w:rPr>
            </w:pPr>
            <w:r>
              <w:rPr>
                <w:color w:val="auto"/>
                <w:sz w:val="24"/>
                <w:szCs w:val="24"/>
              </w:rPr>
              <w:t>④卫生防护距离初值大于或等于1000m，级差为200m；</w:t>
            </w:r>
          </w:p>
          <w:p w14:paraId="5E2B398A">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eastAsia="楷体"/>
                <w:bCs/>
                <w:color w:val="auto"/>
                <w:sz w:val="24"/>
                <w:szCs w:val="24"/>
              </w:rPr>
            </w:pPr>
            <w:r>
              <w:rPr>
                <w:color w:val="auto"/>
                <w:sz w:val="24"/>
                <w:szCs w:val="24"/>
              </w:rPr>
              <w:t>⑤卫生防护距离终值差见表</w:t>
            </w:r>
            <w:r>
              <w:rPr>
                <w:rFonts w:hint="eastAsia"/>
                <w:color w:val="auto"/>
                <w:sz w:val="24"/>
                <w:szCs w:val="24"/>
                <w:lang w:val="en-US" w:eastAsia="zh-CN"/>
              </w:rPr>
              <w:t>4-7</w:t>
            </w:r>
            <w:r>
              <w:rPr>
                <w:color w:val="auto"/>
                <w:sz w:val="24"/>
                <w:szCs w:val="24"/>
              </w:rPr>
              <w:t>。</w:t>
            </w:r>
          </w:p>
          <w:p w14:paraId="6E2E9F44">
            <w:pPr>
              <w:snapToGrid w:val="0"/>
              <w:spacing w:line="360" w:lineRule="exact"/>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
                <w:bCs w:val="0"/>
                <w:color w:val="auto"/>
                <w:sz w:val="21"/>
                <w:szCs w:val="21"/>
              </w:rPr>
              <w:t>表</w:t>
            </w:r>
            <w:r>
              <w:rPr>
                <w:rFonts w:hint="default" w:ascii="Times New Roman" w:hAnsi="Times New Roman" w:cs="Times New Roman" w:eastAsiaTheme="minorEastAsia"/>
                <w:b/>
                <w:bCs w:val="0"/>
                <w:color w:val="auto"/>
                <w:sz w:val="21"/>
                <w:szCs w:val="21"/>
                <w:lang w:val="en-US" w:eastAsia="zh-CN"/>
              </w:rPr>
              <w:t>4-</w:t>
            </w:r>
            <w:r>
              <w:rPr>
                <w:rFonts w:hint="eastAsia" w:cs="Times New Roman" w:eastAsiaTheme="minorEastAsia"/>
                <w:b/>
                <w:bCs w:val="0"/>
                <w:color w:val="auto"/>
                <w:sz w:val="21"/>
                <w:szCs w:val="21"/>
                <w:lang w:val="en-US" w:eastAsia="zh-CN"/>
              </w:rPr>
              <w:t>7</w:t>
            </w:r>
            <w:r>
              <w:rPr>
                <w:rFonts w:hint="default" w:ascii="Times New Roman" w:hAnsi="Times New Roman" w:cs="Times New Roman" w:eastAsiaTheme="minorEastAsia"/>
                <w:b/>
                <w:bCs w:val="0"/>
                <w:color w:val="auto"/>
                <w:sz w:val="21"/>
                <w:szCs w:val="21"/>
              </w:rPr>
              <w:t>卫生防护距离终值差范围表</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4227"/>
            </w:tblGrid>
            <w:tr w14:paraId="5831B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0" w:hRule="atLeast"/>
              </w:trPr>
              <w:tc>
                <w:tcPr>
                  <w:tcW w:w="2611" w:type="pct"/>
                  <w:tcBorders>
                    <w:top w:val="single" w:color="auto" w:sz="12" w:space="0"/>
                    <w:left w:val="nil"/>
                    <w:bottom w:val="single" w:color="auto" w:sz="4" w:space="0"/>
                    <w:right w:val="single" w:color="auto" w:sz="4" w:space="0"/>
                  </w:tcBorders>
                  <w:noWrap w:val="0"/>
                  <w:vAlign w:val="center"/>
                </w:tcPr>
                <w:p w14:paraId="4CEA9F5B">
                  <w:pPr>
                    <w:snapToGrid w:val="0"/>
                    <w:spacing w:line="30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卫生防护距离计算初值L/m</w:t>
                  </w:r>
                </w:p>
              </w:tc>
              <w:tc>
                <w:tcPr>
                  <w:tcW w:w="2388" w:type="pct"/>
                  <w:tcBorders>
                    <w:top w:val="single" w:color="auto" w:sz="12" w:space="0"/>
                    <w:left w:val="single" w:color="auto" w:sz="4" w:space="0"/>
                    <w:bottom w:val="single" w:color="auto" w:sz="4" w:space="0"/>
                    <w:right w:val="nil"/>
                  </w:tcBorders>
                  <w:noWrap w:val="0"/>
                  <w:vAlign w:val="center"/>
                </w:tcPr>
                <w:p w14:paraId="16EEA41F">
                  <w:pPr>
                    <w:snapToGrid w:val="0"/>
                    <w:spacing w:line="30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级差/m</w:t>
                  </w:r>
                </w:p>
              </w:tc>
            </w:tr>
            <w:tr w14:paraId="2EE86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1" w:type="pct"/>
                  <w:tcBorders>
                    <w:top w:val="single" w:color="auto" w:sz="4" w:space="0"/>
                    <w:left w:val="nil"/>
                    <w:bottom w:val="single" w:color="auto" w:sz="4" w:space="0"/>
                    <w:right w:val="single" w:color="auto" w:sz="4" w:space="0"/>
                  </w:tcBorders>
                  <w:noWrap w:val="0"/>
                  <w:vAlign w:val="center"/>
                </w:tcPr>
                <w:p w14:paraId="0431E906">
                  <w:pPr>
                    <w:snapToGrid w:val="0"/>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0≤L＜50</w:t>
                  </w:r>
                </w:p>
              </w:tc>
              <w:tc>
                <w:tcPr>
                  <w:tcW w:w="2388" w:type="pct"/>
                  <w:tcBorders>
                    <w:top w:val="single" w:color="auto" w:sz="4" w:space="0"/>
                    <w:left w:val="single" w:color="auto" w:sz="4" w:space="0"/>
                    <w:bottom w:val="single" w:color="auto" w:sz="4" w:space="0"/>
                    <w:right w:val="nil"/>
                  </w:tcBorders>
                  <w:noWrap w:val="0"/>
                  <w:vAlign w:val="center"/>
                </w:tcPr>
                <w:p w14:paraId="192F1F9D">
                  <w:pPr>
                    <w:snapToGrid w:val="0"/>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r>
            <w:tr w14:paraId="39A9A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1" w:type="pct"/>
                  <w:tcBorders>
                    <w:top w:val="single" w:color="auto" w:sz="4" w:space="0"/>
                    <w:left w:val="nil"/>
                    <w:bottom w:val="single" w:color="auto" w:sz="4" w:space="0"/>
                    <w:right w:val="single" w:color="auto" w:sz="4" w:space="0"/>
                  </w:tcBorders>
                  <w:noWrap w:val="0"/>
                  <w:vAlign w:val="center"/>
                </w:tcPr>
                <w:p w14:paraId="1499D221">
                  <w:pPr>
                    <w:snapToGrid w:val="0"/>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50≤L＜100</w:t>
                  </w:r>
                </w:p>
              </w:tc>
              <w:tc>
                <w:tcPr>
                  <w:tcW w:w="2388" w:type="pct"/>
                  <w:tcBorders>
                    <w:top w:val="single" w:color="auto" w:sz="4" w:space="0"/>
                    <w:left w:val="single" w:color="auto" w:sz="4" w:space="0"/>
                    <w:bottom w:val="single" w:color="auto" w:sz="4" w:space="0"/>
                    <w:right w:val="nil"/>
                  </w:tcBorders>
                  <w:noWrap w:val="0"/>
                  <w:vAlign w:val="center"/>
                </w:tcPr>
                <w:p w14:paraId="4332A005">
                  <w:pPr>
                    <w:snapToGrid w:val="0"/>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r>
            <w:tr w14:paraId="5569A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1" w:type="pct"/>
                  <w:tcBorders>
                    <w:top w:val="single" w:color="auto" w:sz="4" w:space="0"/>
                    <w:left w:val="nil"/>
                    <w:bottom w:val="single" w:color="auto" w:sz="4" w:space="0"/>
                    <w:right w:val="single" w:color="auto" w:sz="4" w:space="0"/>
                  </w:tcBorders>
                  <w:noWrap w:val="0"/>
                  <w:vAlign w:val="center"/>
                </w:tcPr>
                <w:p w14:paraId="4A39C2A6">
                  <w:pPr>
                    <w:snapToGrid w:val="0"/>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10≤L＜1000</w:t>
                  </w:r>
                </w:p>
              </w:tc>
              <w:tc>
                <w:tcPr>
                  <w:tcW w:w="2388" w:type="pct"/>
                  <w:tcBorders>
                    <w:top w:val="single" w:color="auto" w:sz="4" w:space="0"/>
                    <w:left w:val="single" w:color="auto" w:sz="4" w:space="0"/>
                    <w:bottom w:val="single" w:color="auto" w:sz="4" w:space="0"/>
                    <w:right w:val="nil"/>
                  </w:tcBorders>
                  <w:noWrap w:val="0"/>
                  <w:vAlign w:val="center"/>
                </w:tcPr>
                <w:p w14:paraId="036EF59A">
                  <w:pPr>
                    <w:snapToGrid w:val="0"/>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r>
            <w:tr w14:paraId="57B3A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1" w:type="pct"/>
                  <w:tcBorders>
                    <w:top w:val="single" w:color="auto" w:sz="4" w:space="0"/>
                    <w:left w:val="nil"/>
                    <w:bottom w:val="single" w:color="auto" w:sz="12" w:space="0"/>
                    <w:right w:val="single" w:color="auto" w:sz="4" w:space="0"/>
                  </w:tcBorders>
                  <w:noWrap w:val="0"/>
                  <w:vAlign w:val="center"/>
                </w:tcPr>
                <w:p w14:paraId="5FDF4E63">
                  <w:pPr>
                    <w:snapToGrid w:val="0"/>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L≥1000</w:t>
                  </w:r>
                </w:p>
              </w:tc>
              <w:tc>
                <w:tcPr>
                  <w:tcW w:w="2388" w:type="pct"/>
                  <w:tcBorders>
                    <w:top w:val="single" w:color="auto" w:sz="4" w:space="0"/>
                    <w:left w:val="single" w:color="auto" w:sz="4" w:space="0"/>
                    <w:bottom w:val="single" w:color="auto" w:sz="12" w:space="0"/>
                    <w:right w:val="nil"/>
                  </w:tcBorders>
                  <w:noWrap w:val="0"/>
                  <w:vAlign w:val="center"/>
                </w:tcPr>
                <w:p w14:paraId="28D9560E">
                  <w:pPr>
                    <w:snapToGrid w:val="0"/>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r>
          </w:tbl>
          <w:p w14:paraId="0DEF9960">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（2）多种特征大气有害物质终值的确定</w:t>
            </w:r>
          </w:p>
          <w:p w14:paraId="1F9BB19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color w:val="auto"/>
                <w:sz w:val="24"/>
                <w:szCs w:val="24"/>
              </w:rPr>
            </w:pPr>
            <w:r>
              <w:rPr>
                <w:color w:val="auto"/>
                <w:sz w:val="24"/>
                <w:szCs w:val="24"/>
              </w:rPr>
              <w:t>当企业某生产单元的无组织排放存在多种特征大气有害物质时，如果分别推导出的卫生防护距离初值在同一级别时，则该企业的卫生防护距离终值应提高一级；卫生防护距离初值不在同一级别时，以卫生防护距离终值较大者为准。</w:t>
            </w:r>
          </w:p>
          <w:p w14:paraId="6CCD2281">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color w:val="auto"/>
                <w:sz w:val="24"/>
                <w:szCs w:val="24"/>
              </w:rPr>
            </w:pPr>
            <w:r>
              <w:rPr>
                <w:rFonts w:hint="eastAsia"/>
                <w:color w:val="auto"/>
                <w:sz w:val="24"/>
                <w:szCs w:val="24"/>
              </w:rPr>
              <w:t>综上</w:t>
            </w:r>
            <w:r>
              <w:rPr>
                <w:color w:val="auto"/>
                <w:sz w:val="24"/>
                <w:szCs w:val="24"/>
              </w:rPr>
              <w:t>，本项目</w:t>
            </w:r>
            <w:r>
              <w:rPr>
                <w:rFonts w:hint="eastAsia"/>
                <w:color w:val="auto"/>
                <w:sz w:val="24"/>
                <w:szCs w:val="24"/>
              </w:rPr>
              <w:t>建成后以生产车间为界外扩</w:t>
            </w:r>
            <w:r>
              <w:rPr>
                <w:rFonts w:hint="eastAsia"/>
                <w:color w:val="auto"/>
                <w:sz w:val="24"/>
                <w:szCs w:val="24"/>
                <w:lang w:val="en-US" w:eastAsia="zh-CN"/>
              </w:rPr>
              <w:t>10</w:t>
            </w:r>
            <w:r>
              <w:rPr>
                <w:rFonts w:hint="eastAsia"/>
                <w:color w:val="auto"/>
                <w:sz w:val="24"/>
                <w:szCs w:val="24"/>
              </w:rPr>
              <w:t>0m设置卫生防护距离，“卫生防护距离为</w:t>
            </w:r>
            <w:r>
              <w:rPr>
                <w:rFonts w:hint="eastAsia"/>
                <w:color w:val="auto"/>
                <w:sz w:val="24"/>
                <w:szCs w:val="24"/>
                <w:lang w:val="en-US" w:eastAsia="zh-CN"/>
              </w:rPr>
              <w:t>整个车间</w:t>
            </w:r>
            <w:r>
              <w:rPr>
                <w:rFonts w:hint="eastAsia"/>
                <w:color w:val="auto"/>
                <w:sz w:val="24"/>
                <w:szCs w:val="24"/>
              </w:rPr>
              <w:t>外扩</w:t>
            </w:r>
            <w:r>
              <w:rPr>
                <w:rFonts w:hint="eastAsia"/>
                <w:color w:val="auto"/>
                <w:sz w:val="24"/>
                <w:szCs w:val="24"/>
                <w:lang w:val="en-US" w:eastAsia="zh-CN"/>
              </w:rPr>
              <w:t>10</w:t>
            </w:r>
            <w:r>
              <w:rPr>
                <w:rFonts w:hint="eastAsia"/>
                <w:color w:val="auto"/>
                <w:sz w:val="24"/>
                <w:szCs w:val="24"/>
              </w:rPr>
              <w:t>0m形成的包络线范围”，本</w:t>
            </w:r>
            <w:r>
              <w:rPr>
                <w:rFonts w:hint="eastAsia"/>
                <w:color w:val="auto"/>
                <w:spacing w:val="-2"/>
                <w:sz w:val="24"/>
                <w:szCs w:val="24"/>
              </w:rPr>
              <w:t>项目建成后卫生防护距离不变。</w:t>
            </w:r>
          </w:p>
          <w:p w14:paraId="59F5F890">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bCs/>
                <w:color w:val="auto"/>
                <w:sz w:val="24"/>
                <w:szCs w:val="24"/>
              </w:rPr>
            </w:pPr>
            <w:r>
              <w:rPr>
                <w:color w:val="auto"/>
                <w:sz w:val="24"/>
                <w:szCs w:val="24"/>
              </w:rPr>
              <w:t>经现场核实，</w:t>
            </w:r>
            <w:r>
              <w:rPr>
                <w:rFonts w:hint="default" w:ascii="Times New Roman" w:hAnsi="Times New Roman" w:cs="Times New Roman"/>
                <w:color w:val="auto"/>
                <w:sz w:val="24"/>
                <w:szCs w:val="24"/>
                <w:lang w:val="en-US" w:eastAsia="zh-CN"/>
              </w:rPr>
              <w:t>元巷村</w:t>
            </w:r>
            <w:r>
              <w:rPr>
                <w:rFonts w:hint="eastAsia"/>
                <w:color w:val="auto"/>
                <w:spacing w:val="-2"/>
                <w:sz w:val="24"/>
                <w:szCs w:val="24"/>
                <w:lang w:val="en-US" w:eastAsia="zh-CN"/>
              </w:rPr>
              <w:t>距本项目生产车间196m</w:t>
            </w:r>
            <w:r>
              <w:rPr>
                <w:rFonts w:hint="eastAsia"/>
                <w:color w:val="auto"/>
                <w:spacing w:val="-2"/>
                <w:sz w:val="24"/>
                <w:szCs w:val="24"/>
                <w:lang w:eastAsia="zh-CN"/>
              </w:rPr>
              <w:t>，</w:t>
            </w:r>
            <w:r>
              <w:rPr>
                <w:color w:val="auto"/>
                <w:sz w:val="24"/>
                <w:szCs w:val="24"/>
              </w:rPr>
              <w:t>卫生防护距离内目前无居民点、医院、学校等环境敏感点，将来也不得建设环境敏感点。</w:t>
            </w:r>
          </w:p>
          <w:p w14:paraId="1E12837C">
            <w:pPr>
              <w:keepNext w:val="0"/>
              <w:keepLines w:val="0"/>
              <w:pageBreakBefore w:val="0"/>
              <w:widowControl w:val="0"/>
              <w:tabs>
                <w:tab w:val="left" w:pos="1684"/>
              </w:tabs>
              <w:kinsoku/>
              <w:wordWrap/>
              <w:overflowPunct/>
              <w:topLinePunct w:val="0"/>
              <w:autoSpaceDE/>
              <w:autoSpaceDN/>
              <w:bidi w:val="0"/>
              <w:adjustRightInd/>
              <w:spacing w:line="480" w:lineRule="exact"/>
              <w:textAlignment w:val="auto"/>
              <w:rPr>
                <w:b/>
                <w:bCs/>
                <w:color w:val="auto"/>
                <w:sz w:val="24"/>
                <w:szCs w:val="24"/>
              </w:rPr>
            </w:pPr>
            <w:r>
              <w:rPr>
                <w:b/>
                <w:bCs/>
                <w:color w:val="auto"/>
                <w:sz w:val="24"/>
                <w:szCs w:val="24"/>
              </w:rPr>
              <w:t>1.</w:t>
            </w:r>
            <w:r>
              <w:rPr>
                <w:rFonts w:hint="eastAsia"/>
                <w:b/>
                <w:bCs/>
                <w:color w:val="auto"/>
                <w:sz w:val="24"/>
                <w:szCs w:val="24"/>
                <w:lang w:val="en-US" w:eastAsia="zh-CN"/>
              </w:rPr>
              <w:t>6</w:t>
            </w:r>
            <w:r>
              <w:rPr>
                <w:b/>
                <w:bCs/>
                <w:color w:val="auto"/>
                <w:sz w:val="24"/>
                <w:szCs w:val="24"/>
              </w:rPr>
              <w:t>废气监测计划</w:t>
            </w:r>
          </w:p>
          <w:p w14:paraId="72383EA0">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color w:val="auto"/>
                <w:sz w:val="24"/>
                <w:szCs w:val="24"/>
              </w:rPr>
            </w:pPr>
            <w:r>
              <w:rPr>
                <w:color w:val="auto"/>
                <w:sz w:val="24"/>
                <w:szCs w:val="24"/>
              </w:rPr>
              <w:t>厂界下风向设置最多4个无组织排放监控点，上风向设置1个参照点；厂区</w:t>
            </w:r>
            <w:r>
              <w:rPr>
                <w:rFonts w:hint="eastAsia"/>
                <w:lang w:val="en-US" w:eastAsia="zh-CN"/>
              </w:rPr>
              <w:t>内</w:t>
            </w:r>
            <w:r>
              <w:rPr>
                <w:color w:val="auto"/>
                <w:sz w:val="24"/>
                <w:szCs w:val="24"/>
              </w:rPr>
              <w:t xml:space="preserve">设置1个无组织排放监控点。 </w:t>
            </w:r>
          </w:p>
          <w:p w14:paraId="45589DC7">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eastAsia"/>
                <w:color w:val="auto"/>
                <w:spacing w:val="-6"/>
                <w:sz w:val="24"/>
                <w:szCs w:val="24"/>
              </w:rPr>
            </w:pPr>
            <w:r>
              <w:rPr>
                <w:color w:val="auto"/>
                <w:sz w:val="24"/>
                <w:szCs w:val="24"/>
              </w:rPr>
              <w:t>监测频次：</w:t>
            </w:r>
            <w:r>
              <w:rPr>
                <w:rFonts w:hint="eastAsia"/>
                <w:color w:val="auto"/>
                <w:spacing w:val="-6"/>
                <w:sz w:val="24"/>
                <w:szCs w:val="24"/>
              </w:rPr>
              <w:t>按《排污单位自行监测技术指南</w:t>
            </w:r>
            <w:r>
              <w:rPr>
                <w:color w:val="auto"/>
                <w:spacing w:val="-6"/>
                <w:sz w:val="24"/>
                <w:szCs w:val="24"/>
              </w:rPr>
              <w:t xml:space="preserve"> </w:t>
            </w:r>
            <w:r>
              <w:rPr>
                <w:rFonts w:hint="eastAsia"/>
                <w:color w:val="auto"/>
                <w:spacing w:val="-6"/>
                <w:sz w:val="24"/>
                <w:szCs w:val="24"/>
              </w:rPr>
              <w:t>总则》（</w:t>
            </w:r>
            <w:r>
              <w:rPr>
                <w:color w:val="auto"/>
                <w:spacing w:val="-6"/>
                <w:sz w:val="24"/>
                <w:szCs w:val="24"/>
              </w:rPr>
              <w:t>HJ819-2017</w:t>
            </w:r>
            <w:r>
              <w:rPr>
                <w:rFonts w:hint="eastAsia"/>
                <w:color w:val="auto"/>
                <w:spacing w:val="-6"/>
                <w:sz w:val="24"/>
                <w:szCs w:val="24"/>
              </w:rPr>
              <w:t>）要求每年监测一次。</w:t>
            </w:r>
          </w:p>
          <w:p w14:paraId="5368958D">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color w:val="auto"/>
                <w:sz w:val="24"/>
                <w:szCs w:val="24"/>
              </w:rPr>
            </w:pPr>
            <w:r>
              <w:rPr>
                <w:color w:val="auto"/>
                <w:sz w:val="24"/>
                <w:szCs w:val="24"/>
              </w:rPr>
              <w:t>监测因子：非甲烷总烃。</w:t>
            </w:r>
          </w:p>
          <w:p w14:paraId="2F3FC04E">
            <w:pPr>
              <w:keepNext w:val="0"/>
              <w:keepLines w:val="0"/>
              <w:pageBreakBefore w:val="0"/>
              <w:widowControl w:val="0"/>
              <w:tabs>
                <w:tab w:val="left" w:pos="2160"/>
              </w:tabs>
              <w:kinsoku/>
              <w:wordWrap/>
              <w:overflowPunct/>
              <w:topLinePunct w:val="0"/>
              <w:autoSpaceDE/>
              <w:autoSpaceDN/>
              <w:bidi w:val="0"/>
              <w:adjustRightInd/>
              <w:spacing w:line="480" w:lineRule="exact"/>
              <w:ind w:firstLine="480" w:firstLineChars="200"/>
              <w:textAlignment w:val="auto"/>
              <w:rPr>
                <w:b/>
                <w:color w:val="auto"/>
                <w:sz w:val="21"/>
                <w:szCs w:val="21"/>
                <w:lang w:val="en-US" w:eastAsia="zh-CN"/>
              </w:rPr>
            </w:pPr>
            <w:r>
              <w:rPr>
                <w:rFonts w:hint="eastAsia"/>
                <w:color w:val="auto"/>
                <w:sz w:val="24"/>
                <w:szCs w:val="24"/>
                <w:lang w:val="en-US" w:eastAsia="zh-CN"/>
              </w:rPr>
              <w:t>无</w:t>
            </w:r>
            <w:r>
              <w:rPr>
                <w:color w:val="auto"/>
                <w:sz w:val="24"/>
                <w:szCs w:val="24"/>
              </w:rPr>
              <w:t>组织废气监测方案见表4-</w:t>
            </w:r>
            <w:r>
              <w:rPr>
                <w:rFonts w:hint="eastAsia"/>
                <w:color w:val="auto"/>
                <w:sz w:val="24"/>
                <w:szCs w:val="24"/>
                <w:lang w:val="en-US" w:eastAsia="zh-CN"/>
              </w:rPr>
              <w:t>8</w:t>
            </w:r>
            <w:r>
              <w:rPr>
                <w:color w:val="auto"/>
                <w:sz w:val="24"/>
                <w:szCs w:val="24"/>
              </w:rPr>
              <w:t>。</w:t>
            </w:r>
          </w:p>
          <w:p w14:paraId="3BB9F7E3">
            <w:pPr>
              <w:pStyle w:val="56"/>
              <w:spacing w:before="0" w:beforeLines="0" w:line="360" w:lineRule="exact"/>
              <w:ind w:firstLine="0" w:firstLineChars="0"/>
              <w:jc w:val="center"/>
              <w:rPr>
                <w:b/>
                <w:color w:val="auto"/>
                <w:sz w:val="21"/>
                <w:szCs w:val="21"/>
                <w:lang w:val="en-US" w:eastAsia="zh-CN"/>
              </w:rPr>
            </w:pPr>
            <w:r>
              <w:rPr>
                <w:b/>
                <w:color w:val="auto"/>
                <w:sz w:val="21"/>
                <w:szCs w:val="21"/>
                <w:lang w:val="en-US" w:eastAsia="zh-CN"/>
              </w:rPr>
              <w:t>表4-</w:t>
            </w:r>
            <w:r>
              <w:rPr>
                <w:rFonts w:hint="eastAsia"/>
                <w:b/>
                <w:color w:val="auto"/>
                <w:sz w:val="21"/>
                <w:szCs w:val="21"/>
                <w:lang w:val="en-US" w:eastAsia="zh-CN"/>
              </w:rPr>
              <w:t xml:space="preserve">8 </w:t>
            </w:r>
            <w:r>
              <w:rPr>
                <w:b/>
                <w:color w:val="auto"/>
                <w:sz w:val="21"/>
                <w:szCs w:val="21"/>
                <w:lang w:val="en-US" w:eastAsia="zh-CN"/>
              </w:rPr>
              <w:t>废气监测计划表</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28" w:type="dxa"/>
                <w:bottom w:w="0" w:type="dxa"/>
                <w:right w:w="28" w:type="dxa"/>
              </w:tblCellMar>
            </w:tblPr>
            <w:tblGrid>
              <w:gridCol w:w="528"/>
              <w:gridCol w:w="539"/>
              <w:gridCol w:w="1399"/>
              <w:gridCol w:w="3001"/>
              <w:gridCol w:w="3371"/>
            </w:tblGrid>
            <w:tr w14:paraId="583A8C9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604" w:type="pct"/>
                  <w:gridSpan w:val="2"/>
                  <w:tcBorders>
                    <w:tl2br w:val="nil"/>
                    <w:tr2bl w:val="nil"/>
                  </w:tcBorders>
                  <w:noWrap w:val="0"/>
                  <w:vAlign w:val="center"/>
                </w:tcPr>
                <w:p w14:paraId="739296B2">
                  <w:pPr>
                    <w:snapToGrid w:val="0"/>
                    <w:spacing w:line="280" w:lineRule="exact"/>
                    <w:jc w:val="center"/>
                    <w:rPr>
                      <w:b/>
                      <w:color w:val="auto"/>
                      <w:sz w:val="21"/>
                      <w:szCs w:val="21"/>
                    </w:rPr>
                  </w:pPr>
                  <w:r>
                    <w:rPr>
                      <w:b/>
                      <w:color w:val="auto"/>
                      <w:sz w:val="21"/>
                      <w:szCs w:val="21"/>
                    </w:rPr>
                    <w:t>监测点位</w:t>
                  </w:r>
                </w:p>
              </w:tc>
              <w:tc>
                <w:tcPr>
                  <w:tcW w:w="791" w:type="pct"/>
                  <w:tcBorders>
                    <w:tl2br w:val="nil"/>
                    <w:tr2bl w:val="nil"/>
                  </w:tcBorders>
                  <w:noWrap w:val="0"/>
                  <w:vAlign w:val="center"/>
                </w:tcPr>
                <w:p w14:paraId="768E3B91">
                  <w:pPr>
                    <w:snapToGrid w:val="0"/>
                    <w:spacing w:line="280" w:lineRule="exact"/>
                    <w:jc w:val="center"/>
                    <w:rPr>
                      <w:b/>
                      <w:color w:val="auto"/>
                      <w:sz w:val="21"/>
                      <w:szCs w:val="21"/>
                    </w:rPr>
                  </w:pPr>
                  <w:r>
                    <w:rPr>
                      <w:b/>
                      <w:color w:val="auto"/>
                      <w:sz w:val="21"/>
                      <w:szCs w:val="21"/>
                    </w:rPr>
                    <w:t>监测指标</w:t>
                  </w:r>
                </w:p>
              </w:tc>
              <w:tc>
                <w:tcPr>
                  <w:tcW w:w="1697" w:type="pct"/>
                  <w:tcBorders>
                    <w:tl2br w:val="nil"/>
                    <w:tr2bl w:val="nil"/>
                  </w:tcBorders>
                  <w:noWrap w:val="0"/>
                  <w:vAlign w:val="center"/>
                </w:tcPr>
                <w:p w14:paraId="17906291">
                  <w:pPr>
                    <w:snapToGrid w:val="0"/>
                    <w:spacing w:line="280" w:lineRule="exact"/>
                    <w:jc w:val="center"/>
                    <w:rPr>
                      <w:b/>
                      <w:color w:val="auto"/>
                      <w:sz w:val="21"/>
                      <w:szCs w:val="21"/>
                    </w:rPr>
                  </w:pPr>
                  <w:r>
                    <w:rPr>
                      <w:b/>
                      <w:color w:val="auto"/>
                      <w:sz w:val="21"/>
                      <w:szCs w:val="21"/>
                    </w:rPr>
                    <w:t>监测频次</w:t>
                  </w:r>
                </w:p>
              </w:tc>
              <w:tc>
                <w:tcPr>
                  <w:tcW w:w="1906" w:type="pct"/>
                  <w:tcBorders>
                    <w:tl2br w:val="nil"/>
                    <w:tr2bl w:val="nil"/>
                  </w:tcBorders>
                  <w:noWrap w:val="0"/>
                  <w:vAlign w:val="center"/>
                </w:tcPr>
                <w:p w14:paraId="05BC12F4">
                  <w:pPr>
                    <w:snapToGrid w:val="0"/>
                    <w:spacing w:line="280" w:lineRule="exact"/>
                    <w:jc w:val="center"/>
                    <w:rPr>
                      <w:b/>
                      <w:color w:val="auto"/>
                      <w:sz w:val="21"/>
                      <w:szCs w:val="21"/>
                    </w:rPr>
                  </w:pPr>
                  <w:r>
                    <w:rPr>
                      <w:b/>
                      <w:color w:val="auto"/>
                      <w:sz w:val="21"/>
                      <w:szCs w:val="21"/>
                    </w:rPr>
                    <w:t>执行排放标准</w:t>
                  </w:r>
                </w:p>
              </w:tc>
            </w:tr>
            <w:tr w14:paraId="51B8342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417" w:hRule="atLeast"/>
                <w:jc w:val="center"/>
              </w:trPr>
              <w:tc>
                <w:tcPr>
                  <w:tcW w:w="604" w:type="pct"/>
                  <w:gridSpan w:val="2"/>
                  <w:vMerge w:val="restart"/>
                  <w:tcBorders>
                    <w:tl2br w:val="nil"/>
                    <w:tr2bl w:val="nil"/>
                  </w:tcBorders>
                  <w:noWrap w:val="0"/>
                  <w:vAlign w:val="center"/>
                </w:tcPr>
                <w:p w14:paraId="14CAC70E">
                  <w:pPr>
                    <w:snapToGrid w:val="0"/>
                    <w:spacing w:line="280" w:lineRule="exact"/>
                    <w:jc w:val="center"/>
                    <w:rPr>
                      <w:rFonts w:hint="default" w:eastAsia="宋体"/>
                      <w:b w:val="0"/>
                      <w:bCs/>
                      <w:color w:val="auto"/>
                      <w:sz w:val="21"/>
                      <w:szCs w:val="21"/>
                      <w:lang w:val="en-US" w:eastAsia="zh-CN"/>
                    </w:rPr>
                  </w:pPr>
                  <w:r>
                    <w:rPr>
                      <w:rFonts w:hint="eastAsia"/>
                      <w:b w:val="0"/>
                      <w:bCs/>
                      <w:color w:val="auto"/>
                      <w:sz w:val="21"/>
                      <w:szCs w:val="21"/>
                      <w:lang w:val="en-US" w:eastAsia="zh-CN"/>
                    </w:rPr>
                    <w:t>有组织废气</w:t>
                  </w:r>
                </w:p>
              </w:tc>
              <w:tc>
                <w:tcPr>
                  <w:tcW w:w="791" w:type="pct"/>
                  <w:tcBorders>
                    <w:tl2br w:val="nil"/>
                    <w:tr2bl w:val="nil"/>
                  </w:tcBorders>
                  <w:noWrap w:val="0"/>
                  <w:vAlign w:val="center"/>
                </w:tcPr>
                <w:p w14:paraId="4048790E">
                  <w:pPr>
                    <w:snapToGrid w:val="0"/>
                    <w:spacing w:line="280" w:lineRule="exact"/>
                    <w:jc w:val="center"/>
                    <w:rPr>
                      <w:rFonts w:hint="default" w:eastAsia="宋体"/>
                      <w:b w:val="0"/>
                      <w:bCs/>
                      <w:color w:val="auto"/>
                      <w:sz w:val="21"/>
                      <w:szCs w:val="21"/>
                      <w:lang w:val="en-US" w:eastAsia="zh-CN"/>
                    </w:rPr>
                  </w:pPr>
                  <w:r>
                    <w:rPr>
                      <w:rFonts w:hint="eastAsia"/>
                      <w:b w:val="0"/>
                      <w:bCs/>
                      <w:color w:val="auto"/>
                      <w:sz w:val="21"/>
                      <w:szCs w:val="21"/>
                      <w:lang w:val="en-US" w:eastAsia="zh-CN"/>
                    </w:rPr>
                    <w:t>非甲烷总烃</w:t>
                  </w:r>
                </w:p>
              </w:tc>
              <w:tc>
                <w:tcPr>
                  <w:tcW w:w="1697" w:type="pct"/>
                  <w:vMerge w:val="restart"/>
                  <w:tcBorders>
                    <w:tl2br w:val="nil"/>
                    <w:tr2bl w:val="nil"/>
                  </w:tcBorders>
                  <w:noWrap w:val="0"/>
                  <w:vAlign w:val="center"/>
                </w:tcPr>
                <w:p w14:paraId="50690A9D">
                  <w:pPr>
                    <w:snapToGrid w:val="0"/>
                    <w:spacing w:line="280" w:lineRule="exact"/>
                    <w:jc w:val="center"/>
                    <w:rPr>
                      <w:b w:val="0"/>
                      <w:bCs/>
                      <w:color w:val="auto"/>
                      <w:sz w:val="21"/>
                      <w:szCs w:val="21"/>
                    </w:rPr>
                  </w:pPr>
                  <w:r>
                    <w:rPr>
                      <w:color w:val="auto"/>
                      <w:sz w:val="21"/>
                      <w:szCs w:val="21"/>
                    </w:rPr>
                    <w:t>按《排污单位自行监测技术指南总则》（HJ819-2017）要求每年监测一次</w:t>
                  </w:r>
                </w:p>
              </w:tc>
              <w:tc>
                <w:tcPr>
                  <w:tcW w:w="1906" w:type="pct"/>
                  <w:tcBorders>
                    <w:tl2br w:val="nil"/>
                    <w:tr2bl w:val="nil"/>
                  </w:tcBorders>
                  <w:noWrap w:val="0"/>
                  <w:vAlign w:val="center"/>
                </w:tcPr>
                <w:p w14:paraId="727E81D7">
                  <w:pPr>
                    <w:pStyle w:val="7"/>
                    <w:spacing w:before="0" w:after="0" w:line="280" w:lineRule="exact"/>
                    <w:ind w:right="0" w:rightChars="0"/>
                    <w:jc w:val="center"/>
                    <w:rPr>
                      <w:b w:val="0"/>
                      <w:bCs/>
                      <w:color w:val="auto"/>
                      <w:sz w:val="21"/>
                      <w:szCs w:val="21"/>
                    </w:rPr>
                  </w:pPr>
                  <w:r>
                    <w:rPr>
                      <w:color w:val="auto"/>
                      <w:sz w:val="21"/>
                      <w:szCs w:val="21"/>
                      <w:lang w:val="en-US" w:eastAsia="zh-CN"/>
                    </w:rPr>
                    <w:t>《大气污染物综合排放标准》（DB32/4041-2021）</w:t>
                  </w:r>
                </w:p>
              </w:tc>
            </w:tr>
            <w:tr w14:paraId="608CB83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417" w:hRule="atLeast"/>
                <w:jc w:val="center"/>
              </w:trPr>
              <w:tc>
                <w:tcPr>
                  <w:tcW w:w="604" w:type="pct"/>
                  <w:gridSpan w:val="2"/>
                  <w:vMerge w:val="continue"/>
                  <w:tcBorders>
                    <w:tl2br w:val="nil"/>
                    <w:tr2bl w:val="nil"/>
                  </w:tcBorders>
                  <w:noWrap w:val="0"/>
                  <w:vAlign w:val="center"/>
                </w:tcPr>
                <w:p w14:paraId="355C6CE0">
                  <w:pPr>
                    <w:snapToGrid w:val="0"/>
                    <w:spacing w:line="280" w:lineRule="exact"/>
                    <w:jc w:val="center"/>
                  </w:pPr>
                </w:p>
              </w:tc>
              <w:tc>
                <w:tcPr>
                  <w:tcW w:w="791" w:type="pct"/>
                  <w:tcBorders>
                    <w:tl2br w:val="nil"/>
                    <w:tr2bl w:val="nil"/>
                  </w:tcBorders>
                  <w:noWrap w:val="0"/>
                  <w:vAlign w:val="center"/>
                </w:tcPr>
                <w:p w14:paraId="5DAF3FB0">
                  <w:pPr>
                    <w:snapToGrid w:val="0"/>
                    <w:spacing w:line="280" w:lineRule="exact"/>
                    <w:jc w:val="center"/>
                    <w:rPr>
                      <w:rFonts w:hint="default"/>
                      <w:b w:val="0"/>
                      <w:bCs/>
                      <w:color w:val="auto"/>
                      <w:sz w:val="21"/>
                      <w:szCs w:val="21"/>
                      <w:lang w:val="en-US" w:eastAsia="zh-CN"/>
                    </w:rPr>
                  </w:pPr>
                  <w:r>
                    <w:rPr>
                      <w:rFonts w:hint="eastAsia"/>
                      <w:b w:val="0"/>
                      <w:bCs/>
                      <w:color w:val="auto"/>
                      <w:sz w:val="21"/>
                      <w:szCs w:val="21"/>
                      <w:lang w:val="en-US" w:eastAsia="zh-CN"/>
                    </w:rPr>
                    <w:t>臭气浓度</w:t>
                  </w:r>
                </w:p>
              </w:tc>
              <w:tc>
                <w:tcPr>
                  <w:tcW w:w="1697" w:type="pct"/>
                  <w:vMerge w:val="continue"/>
                  <w:tcBorders>
                    <w:tl2br w:val="nil"/>
                    <w:tr2bl w:val="nil"/>
                  </w:tcBorders>
                  <w:noWrap w:val="0"/>
                  <w:vAlign w:val="center"/>
                </w:tcPr>
                <w:p w14:paraId="43680FD4">
                  <w:pPr>
                    <w:snapToGrid w:val="0"/>
                    <w:spacing w:line="280" w:lineRule="exact"/>
                    <w:jc w:val="center"/>
                    <w:rPr>
                      <w:rFonts w:hint="eastAsia"/>
                      <w:b w:val="0"/>
                      <w:bCs/>
                      <w:color w:val="auto"/>
                      <w:sz w:val="21"/>
                      <w:szCs w:val="21"/>
                      <w:lang w:val="en-US" w:eastAsia="zh-CN"/>
                    </w:rPr>
                  </w:pPr>
                </w:p>
              </w:tc>
              <w:tc>
                <w:tcPr>
                  <w:tcW w:w="1906" w:type="pct"/>
                  <w:tcBorders>
                    <w:tl2br w:val="nil"/>
                    <w:tr2bl w:val="nil"/>
                  </w:tcBorders>
                  <w:noWrap w:val="0"/>
                  <w:vAlign w:val="center"/>
                </w:tcPr>
                <w:p w14:paraId="50566B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lang w:val="en-US" w:eastAsia="zh-CN"/>
                    </w:rPr>
                    <w:t>《恶臭污染物排放标准》(GB14554-93)表2标准</w:t>
                  </w:r>
                </w:p>
              </w:tc>
            </w:tr>
            <w:tr w14:paraId="1ADCB86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407" w:hRule="atLeast"/>
                <w:jc w:val="center"/>
              </w:trPr>
              <w:tc>
                <w:tcPr>
                  <w:tcW w:w="299" w:type="pct"/>
                  <w:vMerge w:val="restart"/>
                  <w:tcBorders>
                    <w:tl2br w:val="nil"/>
                    <w:tr2bl w:val="nil"/>
                  </w:tcBorders>
                  <w:noWrap w:val="0"/>
                  <w:vAlign w:val="center"/>
                </w:tcPr>
                <w:p w14:paraId="3DDDC167">
                  <w:pPr>
                    <w:snapToGrid w:val="0"/>
                    <w:spacing w:line="280" w:lineRule="exact"/>
                    <w:jc w:val="center"/>
                    <w:rPr>
                      <w:rFonts w:hint="eastAsia" w:eastAsia="宋体"/>
                      <w:color w:val="auto"/>
                      <w:sz w:val="21"/>
                      <w:szCs w:val="21"/>
                      <w:lang w:val="en-US" w:eastAsia="zh-CN"/>
                    </w:rPr>
                  </w:pPr>
                  <w:r>
                    <w:rPr>
                      <w:rFonts w:hint="eastAsia"/>
                      <w:color w:val="auto"/>
                      <w:sz w:val="21"/>
                      <w:szCs w:val="21"/>
                      <w:lang w:val="en-US" w:eastAsia="zh-CN"/>
                    </w:rPr>
                    <w:t>无组织</w:t>
                  </w:r>
                </w:p>
              </w:tc>
              <w:tc>
                <w:tcPr>
                  <w:tcW w:w="304" w:type="pct"/>
                  <w:vMerge w:val="restart"/>
                  <w:tcBorders>
                    <w:tl2br w:val="nil"/>
                    <w:tr2bl w:val="nil"/>
                  </w:tcBorders>
                  <w:noWrap w:val="0"/>
                  <w:vAlign w:val="center"/>
                </w:tcPr>
                <w:p w14:paraId="405C893D">
                  <w:pPr>
                    <w:snapToGrid w:val="0"/>
                    <w:spacing w:line="280" w:lineRule="exact"/>
                    <w:jc w:val="center"/>
                    <w:rPr>
                      <w:rFonts w:ascii="Times New Roman" w:hAnsi="Times New Roman" w:eastAsia="宋体" w:cs="Times New Roman"/>
                      <w:color w:val="auto"/>
                      <w:kern w:val="2"/>
                      <w:sz w:val="21"/>
                      <w:szCs w:val="21"/>
                      <w:lang w:val="en-US" w:eastAsia="zh-CN" w:bidi="ar-SA"/>
                    </w:rPr>
                  </w:pPr>
                  <w:r>
                    <w:rPr>
                      <w:color w:val="auto"/>
                      <w:sz w:val="21"/>
                      <w:szCs w:val="21"/>
                    </w:rPr>
                    <w:t>厂界</w:t>
                  </w:r>
                </w:p>
              </w:tc>
              <w:tc>
                <w:tcPr>
                  <w:tcW w:w="791" w:type="pct"/>
                  <w:tcBorders>
                    <w:tl2br w:val="nil"/>
                    <w:tr2bl w:val="nil"/>
                  </w:tcBorders>
                  <w:noWrap w:val="0"/>
                  <w:vAlign w:val="center"/>
                </w:tcPr>
                <w:p w14:paraId="0604AB5E">
                  <w:pPr>
                    <w:spacing w:line="300" w:lineRule="exact"/>
                    <w:jc w:val="center"/>
                    <w:rPr>
                      <w:rFonts w:hint="eastAsia"/>
                      <w:color w:val="auto"/>
                      <w:spacing w:val="-10"/>
                      <w:sz w:val="21"/>
                      <w:szCs w:val="21"/>
                    </w:rPr>
                  </w:pPr>
                  <w:r>
                    <w:rPr>
                      <w:rFonts w:hint="eastAsia"/>
                      <w:color w:val="auto"/>
                      <w:spacing w:val="-10"/>
                      <w:sz w:val="21"/>
                      <w:szCs w:val="21"/>
                    </w:rPr>
                    <w:t>非甲烷总烃</w:t>
                  </w:r>
                </w:p>
              </w:tc>
              <w:tc>
                <w:tcPr>
                  <w:tcW w:w="1697" w:type="pct"/>
                  <w:vMerge w:val="restart"/>
                  <w:tcBorders>
                    <w:tl2br w:val="nil"/>
                    <w:tr2bl w:val="nil"/>
                  </w:tcBorders>
                  <w:noWrap w:val="0"/>
                  <w:vAlign w:val="center"/>
                </w:tcPr>
                <w:p w14:paraId="2A2AE6B7">
                  <w:pPr>
                    <w:snapToGrid w:val="0"/>
                    <w:spacing w:line="280" w:lineRule="exact"/>
                    <w:jc w:val="center"/>
                    <w:rPr>
                      <w:rFonts w:hint="eastAsia"/>
                      <w:color w:val="auto"/>
                      <w:sz w:val="21"/>
                      <w:szCs w:val="21"/>
                    </w:rPr>
                  </w:pPr>
                  <w:r>
                    <w:rPr>
                      <w:color w:val="auto"/>
                      <w:sz w:val="21"/>
                      <w:szCs w:val="21"/>
                    </w:rPr>
                    <w:t>按《排污单位自行监测技术指南总则》（HJ819-2017）要求每年监测一次</w:t>
                  </w:r>
                </w:p>
              </w:tc>
              <w:tc>
                <w:tcPr>
                  <w:tcW w:w="1906" w:type="pct"/>
                  <w:vMerge w:val="restart"/>
                  <w:tcBorders>
                    <w:tl2br w:val="nil"/>
                    <w:tr2bl w:val="nil"/>
                  </w:tcBorders>
                  <w:noWrap w:val="0"/>
                  <w:vAlign w:val="center"/>
                </w:tcPr>
                <w:p w14:paraId="7D827DCC">
                  <w:pPr>
                    <w:pStyle w:val="7"/>
                    <w:spacing w:before="0" w:after="0" w:line="280" w:lineRule="exact"/>
                    <w:ind w:right="0"/>
                    <w:jc w:val="center"/>
                    <w:rPr>
                      <w:color w:val="auto"/>
                      <w:sz w:val="21"/>
                      <w:szCs w:val="21"/>
                      <w:lang w:val="en-US" w:eastAsia="zh-CN"/>
                    </w:rPr>
                  </w:pPr>
                  <w:r>
                    <w:rPr>
                      <w:color w:val="auto"/>
                      <w:sz w:val="21"/>
                      <w:szCs w:val="21"/>
                      <w:lang w:val="en-US" w:eastAsia="zh-CN"/>
                    </w:rPr>
                    <w:t>《大气污染物综合排放标准》（DB32/4041-2021）</w:t>
                  </w:r>
                </w:p>
              </w:tc>
            </w:tr>
            <w:tr w14:paraId="0295595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27" w:hRule="atLeast"/>
                <w:jc w:val="center"/>
              </w:trPr>
              <w:tc>
                <w:tcPr>
                  <w:tcW w:w="299" w:type="pct"/>
                  <w:vMerge w:val="continue"/>
                  <w:tcBorders>
                    <w:tl2br w:val="nil"/>
                    <w:tr2bl w:val="nil"/>
                  </w:tcBorders>
                  <w:noWrap w:val="0"/>
                  <w:vAlign w:val="center"/>
                </w:tcPr>
                <w:p w14:paraId="4ADA8BE9">
                  <w:pPr>
                    <w:spacing w:line="300" w:lineRule="exact"/>
                    <w:jc w:val="center"/>
                  </w:pPr>
                </w:p>
              </w:tc>
              <w:tc>
                <w:tcPr>
                  <w:tcW w:w="304" w:type="pct"/>
                  <w:vMerge w:val="continue"/>
                  <w:tcBorders>
                    <w:tl2br w:val="nil"/>
                    <w:tr2bl w:val="nil"/>
                  </w:tcBorders>
                  <w:noWrap w:val="0"/>
                  <w:vAlign w:val="center"/>
                </w:tcPr>
                <w:p w14:paraId="72DE062C">
                  <w:pPr>
                    <w:spacing w:line="300" w:lineRule="exact"/>
                    <w:jc w:val="center"/>
                    <w:rPr>
                      <w:rFonts w:ascii="Times New Roman" w:hAnsi="Times New Roman" w:eastAsia="宋体" w:cs="Times New Roman"/>
                      <w:kern w:val="2"/>
                      <w:sz w:val="21"/>
                      <w:szCs w:val="24"/>
                      <w:lang w:val="en-US" w:eastAsia="zh-CN" w:bidi="ar-SA"/>
                    </w:rPr>
                  </w:pPr>
                </w:p>
              </w:tc>
              <w:tc>
                <w:tcPr>
                  <w:tcW w:w="791" w:type="pct"/>
                  <w:tcBorders>
                    <w:tl2br w:val="nil"/>
                    <w:tr2bl w:val="nil"/>
                  </w:tcBorders>
                  <w:noWrap w:val="0"/>
                  <w:vAlign w:val="center"/>
                </w:tcPr>
                <w:p w14:paraId="1E9467F1">
                  <w:pPr>
                    <w:spacing w:line="300" w:lineRule="exact"/>
                    <w:jc w:val="center"/>
                    <w:rPr>
                      <w:rFonts w:hint="eastAsia" w:eastAsia="宋体"/>
                      <w:color w:val="auto"/>
                      <w:spacing w:val="-10"/>
                      <w:sz w:val="21"/>
                      <w:szCs w:val="21"/>
                      <w:lang w:val="en-US" w:eastAsia="zh-CN"/>
                    </w:rPr>
                  </w:pPr>
                  <w:r>
                    <w:rPr>
                      <w:rFonts w:hint="eastAsia"/>
                      <w:color w:val="auto"/>
                      <w:spacing w:val="-10"/>
                      <w:sz w:val="21"/>
                      <w:szCs w:val="21"/>
                      <w:lang w:val="en-US" w:eastAsia="zh-CN"/>
                    </w:rPr>
                    <w:t>颗粒物</w:t>
                  </w:r>
                </w:p>
              </w:tc>
              <w:tc>
                <w:tcPr>
                  <w:tcW w:w="1697" w:type="pct"/>
                  <w:vMerge w:val="continue"/>
                  <w:tcBorders>
                    <w:tl2br w:val="nil"/>
                    <w:tr2bl w:val="nil"/>
                  </w:tcBorders>
                  <w:noWrap w:val="0"/>
                  <w:vAlign w:val="center"/>
                </w:tcPr>
                <w:p w14:paraId="424ADEE7">
                  <w:pPr>
                    <w:spacing w:line="300" w:lineRule="exact"/>
                    <w:jc w:val="center"/>
                    <w:rPr>
                      <w:rFonts w:hint="eastAsia"/>
                      <w:color w:val="auto"/>
                      <w:spacing w:val="-10"/>
                      <w:sz w:val="21"/>
                      <w:szCs w:val="21"/>
                    </w:rPr>
                  </w:pPr>
                </w:p>
              </w:tc>
              <w:tc>
                <w:tcPr>
                  <w:tcW w:w="1906" w:type="pct"/>
                  <w:vMerge w:val="continue"/>
                  <w:tcBorders>
                    <w:tl2br w:val="nil"/>
                    <w:tr2bl w:val="nil"/>
                  </w:tcBorders>
                  <w:noWrap w:val="0"/>
                  <w:vAlign w:val="center"/>
                </w:tcPr>
                <w:p w14:paraId="2481323B">
                  <w:pPr>
                    <w:spacing w:line="300" w:lineRule="exact"/>
                    <w:jc w:val="center"/>
                    <w:rPr>
                      <w:rFonts w:hint="eastAsia"/>
                      <w:color w:val="auto"/>
                      <w:spacing w:val="-10"/>
                      <w:sz w:val="21"/>
                      <w:szCs w:val="21"/>
                    </w:rPr>
                  </w:pPr>
                </w:p>
              </w:tc>
            </w:tr>
            <w:tr w14:paraId="180BB85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27" w:hRule="atLeast"/>
                <w:jc w:val="center"/>
              </w:trPr>
              <w:tc>
                <w:tcPr>
                  <w:tcW w:w="299" w:type="pct"/>
                  <w:vMerge w:val="continue"/>
                  <w:tcBorders>
                    <w:tl2br w:val="nil"/>
                    <w:tr2bl w:val="nil"/>
                  </w:tcBorders>
                  <w:noWrap w:val="0"/>
                  <w:vAlign w:val="center"/>
                </w:tcPr>
                <w:p w14:paraId="18FDDC8F">
                  <w:pPr>
                    <w:spacing w:line="300" w:lineRule="exact"/>
                    <w:jc w:val="center"/>
                  </w:pPr>
                </w:p>
              </w:tc>
              <w:tc>
                <w:tcPr>
                  <w:tcW w:w="304" w:type="pct"/>
                  <w:vMerge w:val="continue"/>
                  <w:tcBorders>
                    <w:tl2br w:val="nil"/>
                    <w:tr2bl w:val="nil"/>
                  </w:tcBorders>
                  <w:noWrap w:val="0"/>
                  <w:vAlign w:val="center"/>
                </w:tcPr>
                <w:p w14:paraId="56A7346C">
                  <w:pPr>
                    <w:spacing w:line="300" w:lineRule="exact"/>
                    <w:jc w:val="center"/>
                    <w:rPr>
                      <w:rFonts w:ascii="Times New Roman" w:hAnsi="Times New Roman" w:eastAsia="宋体" w:cs="Times New Roman"/>
                      <w:kern w:val="2"/>
                      <w:sz w:val="21"/>
                      <w:szCs w:val="24"/>
                      <w:lang w:val="en-US" w:eastAsia="zh-CN" w:bidi="ar-SA"/>
                    </w:rPr>
                  </w:pPr>
                </w:p>
              </w:tc>
              <w:tc>
                <w:tcPr>
                  <w:tcW w:w="791" w:type="pct"/>
                  <w:tcBorders>
                    <w:tl2br w:val="nil"/>
                    <w:tr2bl w:val="nil"/>
                  </w:tcBorders>
                  <w:noWrap w:val="0"/>
                  <w:vAlign w:val="center"/>
                </w:tcPr>
                <w:p w14:paraId="49608170">
                  <w:pPr>
                    <w:spacing w:line="300" w:lineRule="exact"/>
                    <w:jc w:val="center"/>
                    <w:rPr>
                      <w:rFonts w:hint="default"/>
                      <w:color w:val="auto"/>
                      <w:spacing w:val="-10"/>
                      <w:sz w:val="21"/>
                      <w:szCs w:val="21"/>
                      <w:lang w:val="en-US" w:eastAsia="zh-CN"/>
                    </w:rPr>
                  </w:pPr>
                  <w:r>
                    <w:rPr>
                      <w:rFonts w:hint="eastAsia"/>
                      <w:color w:val="auto"/>
                      <w:spacing w:val="-10"/>
                      <w:sz w:val="21"/>
                      <w:szCs w:val="21"/>
                      <w:lang w:val="en-US" w:eastAsia="zh-CN"/>
                    </w:rPr>
                    <w:t>臭气浓度</w:t>
                  </w:r>
                </w:p>
              </w:tc>
              <w:tc>
                <w:tcPr>
                  <w:tcW w:w="1697" w:type="pct"/>
                  <w:vMerge w:val="continue"/>
                  <w:tcBorders>
                    <w:tl2br w:val="nil"/>
                    <w:tr2bl w:val="nil"/>
                  </w:tcBorders>
                  <w:noWrap w:val="0"/>
                  <w:vAlign w:val="center"/>
                </w:tcPr>
                <w:p w14:paraId="6A441B1A">
                  <w:pPr>
                    <w:spacing w:line="300" w:lineRule="exact"/>
                    <w:jc w:val="center"/>
                    <w:rPr>
                      <w:rFonts w:hint="eastAsia"/>
                      <w:color w:val="auto"/>
                      <w:spacing w:val="-10"/>
                      <w:sz w:val="21"/>
                      <w:szCs w:val="21"/>
                    </w:rPr>
                  </w:pPr>
                </w:p>
              </w:tc>
              <w:tc>
                <w:tcPr>
                  <w:tcW w:w="1906" w:type="pct"/>
                  <w:tcBorders>
                    <w:tl2br w:val="nil"/>
                    <w:tr2bl w:val="nil"/>
                  </w:tcBorders>
                  <w:noWrap w:val="0"/>
                  <w:vAlign w:val="center"/>
                </w:tcPr>
                <w:p w14:paraId="03B104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lang w:val="en-US" w:eastAsia="zh-CN"/>
                    </w:rPr>
                    <w:t>《恶臭污染物排放标准》(GB14554-93)表</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标准</w:t>
                  </w:r>
                </w:p>
              </w:tc>
            </w:tr>
            <w:tr w14:paraId="34403BD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99" w:type="pct"/>
                  <w:vMerge w:val="continue"/>
                  <w:tcBorders>
                    <w:tl2br w:val="nil"/>
                    <w:tr2bl w:val="nil"/>
                  </w:tcBorders>
                  <w:noWrap w:val="0"/>
                  <w:vAlign w:val="center"/>
                </w:tcPr>
                <w:p w14:paraId="16BB7470">
                  <w:pPr>
                    <w:snapToGrid w:val="0"/>
                    <w:spacing w:line="280" w:lineRule="exact"/>
                    <w:jc w:val="center"/>
                    <w:rPr>
                      <w:rFonts w:hint="eastAsia" w:eastAsia="宋体"/>
                      <w:color w:val="auto"/>
                      <w:sz w:val="21"/>
                      <w:szCs w:val="21"/>
                      <w:lang w:val="en-US" w:eastAsia="zh-CN"/>
                    </w:rPr>
                  </w:pPr>
                </w:p>
              </w:tc>
              <w:tc>
                <w:tcPr>
                  <w:tcW w:w="304" w:type="pct"/>
                  <w:tcBorders>
                    <w:tl2br w:val="nil"/>
                    <w:tr2bl w:val="nil"/>
                  </w:tcBorders>
                  <w:noWrap w:val="0"/>
                  <w:vAlign w:val="center"/>
                </w:tcPr>
                <w:p w14:paraId="68E929C7">
                  <w:pPr>
                    <w:snapToGrid w:val="0"/>
                    <w:spacing w:line="280" w:lineRule="exact"/>
                    <w:jc w:val="center"/>
                    <w:rPr>
                      <w:rFonts w:hint="eastAsia" w:ascii="Times New Roman" w:hAnsi="Times New Roman" w:eastAsia="宋体" w:cs="Times New Roman"/>
                      <w:color w:val="auto"/>
                      <w:kern w:val="2"/>
                      <w:sz w:val="21"/>
                      <w:szCs w:val="21"/>
                      <w:lang w:val="en-US" w:eastAsia="zh-CN" w:bidi="ar-SA"/>
                    </w:rPr>
                  </w:pPr>
                  <w:r>
                    <w:rPr>
                      <w:color w:val="auto"/>
                      <w:sz w:val="21"/>
                      <w:szCs w:val="21"/>
                    </w:rPr>
                    <w:t>厂区</w:t>
                  </w:r>
                  <w:r>
                    <w:rPr>
                      <w:rFonts w:hint="eastAsia"/>
                      <w:lang w:val="en-US" w:eastAsia="zh-CN"/>
                    </w:rPr>
                    <w:t>内</w:t>
                  </w:r>
                </w:p>
              </w:tc>
              <w:tc>
                <w:tcPr>
                  <w:tcW w:w="791" w:type="pct"/>
                  <w:tcBorders>
                    <w:tl2br w:val="nil"/>
                    <w:tr2bl w:val="nil"/>
                  </w:tcBorders>
                  <w:noWrap w:val="0"/>
                  <w:vAlign w:val="center"/>
                </w:tcPr>
                <w:p w14:paraId="1E9BB75F">
                  <w:pPr>
                    <w:snapToGrid w:val="0"/>
                    <w:spacing w:line="280" w:lineRule="exact"/>
                    <w:jc w:val="center"/>
                    <w:rPr>
                      <w:color w:val="auto"/>
                      <w:sz w:val="21"/>
                      <w:szCs w:val="21"/>
                    </w:rPr>
                  </w:pPr>
                  <w:r>
                    <w:rPr>
                      <w:color w:val="auto"/>
                      <w:sz w:val="21"/>
                      <w:szCs w:val="21"/>
                    </w:rPr>
                    <w:t>非甲烷总烃</w:t>
                  </w:r>
                </w:p>
              </w:tc>
              <w:tc>
                <w:tcPr>
                  <w:tcW w:w="1697" w:type="pct"/>
                  <w:tcBorders>
                    <w:tl2br w:val="nil"/>
                    <w:tr2bl w:val="nil"/>
                  </w:tcBorders>
                  <w:noWrap w:val="0"/>
                  <w:vAlign w:val="center"/>
                </w:tcPr>
                <w:p w14:paraId="67B78DF8">
                  <w:pPr>
                    <w:snapToGrid w:val="0"/>
                    <w:spacing w:line="280" w:lineRule="exact"/>
                    <w:jc w:val="center"/>
                    <w:rPr>
                      <w:color w:val="auto"/>
                      <w:sz w:val="21"/>
                      <w:szCs w:val="21"/>
                    </w:rPr>
                  </w:pPr>
                  <w:r>
                    <w:rPr>
                      <w:color w:val="auto"/>
                      <w:sz w:val="21"/>
                      <w:szCs w:val="21"/>
                    </w:rPr>
                    <w:t>按《排污单位自行监测技术指南总则》（HJ819-2017）要求每年监测一次</w:t>
                  </w:r>
                </w:p>
              </w:tc>
              <w:tc>
                <w:tcPr>
                  <w:tcW w:w="1906" w:type="pct"/>
                  <w:tcBorders>
                    <w:tl2br w:val="nil"/>
                    <w:tr2bl w:val="nil"/>
                  </w:tcBorders>
                  <w:noWrap w:val="0"/>
                  <w:vAlign w:val="center"/>
                </w:tcPr>
                <w:p w14:paraId="74342F1F">
                  <w:pPr>
                    <w:pStyle w:val="7"/>
                    <w:spacing w:before="0" w:after="0" w:line="280" w:lineRule="exact"/>
                    <w:ind w:right="0"/>
                    <w:jc w:val="center"/>
                    <w:rPr>
                      <w:color w:val="auto"/>
                      <w:sz w:val="21"/>
                      <w:szCs w:val="21"/>
                      <w:lang w:val="en-US" w:eastAsia="zh-CN"/>
                    </w:rPr>
                  </w:pPr>
                  <w:r>
                    <w:rPr>
                      <w:color w:val="auto"/>
                      <w:sz w:val="21"/>
                      <w:szCs w:val="21"/>
                      <w:lang w:val="en-US" w:eastAsia="zh-CN"/>
                    </w:rPr>
                    <w:t>《大气污染物综合排放标准》（DB32/4041-2021）</w:t>
                  </w:r>
                </w:p>
              </w:tc>
            </w:tr>
          </w:tbl>
          <w:p w14:paraId="18F59614">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eastAsia"/>
                <w:b w:val="0"/>
                <w:bCs w:val="0"/>
                <w:color w:val="auto"/>
                <w:sz w:val="24"/>
                <w:szCs w:val="24"/>
              </w:rPr>
            </w:pPr>
            <w:r>
              <w:rPr>
                <w:b/>
                <w:bCs/>
                <w:color w:val="auto"/>
                <w:sz w:val="24"/>
                <w:szCs w:val="24"/>
              </w:rPr>
              <w:t>1.</w:t>
            </w:r>
            <w:r>
              <w:rPr>
                <w:rFonts w:hint="eastAsia"/>
                <w:b/>
                <w:bCs/>
                <w:color w:val="auto"/>
                <w:sz w:val="24"/>
                <w:szCs w:val="24"/>
                <w:lang w:val="en-US" w:eastAsia="zh-CN"/>
              </w:rPr>
              <w:t>7</w:t>
            </w:r>
            <w:r>
              <w:rPr>
                <w:b/>
                <w:bCs/>
                <w:color w:val="auto"/>
                <w:sz w:val="24"/>
                <w:szCs w:val="24"/>
              </w:rPr>
              <w:t>异味影响分析</w:t>
            </w:r>
          </w:p>
          <w:p w14:paraId="63E17FD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本项目培养、发酵过程中产生少量氨，具有异味。</w:t>
            </w:r>
          </w:p>
          <w:p w14:paraId="132A53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rPr>
              <w:t>①</w:t>
            </w:r>
            <w:r>
              <w:rPr>
                <w:rFonts w:hint="eastAsia" w:ascii="Times New Roman" w:hAnsi="Times New Roman" w:eastAsia="宋体" w:cs="Times New Roman"/>
                <w:b w:val="0"/>
                <w:bCs w:val="0"/>
                <w:color w:val="auto"/>
                <w:sz w:val="24"/>
                <w:szCs w:val="24"/>
                <w:lang w:val="en-US" w:eastAsia="zh-CN"/>
              </w:rPr>
              <w:t>异味影响</w:t>
            </w:r>
          </w:p>
          <w:p w14:paraId="29735B0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人的嗅觉器官对异味很敏感，很多时候在低于仪器检出限的浓度水平下仍能够明显感知异味，嗅阈值即用来表征引起嗅觉的异味物质的最小浓度。嗅阈值分为感觉阈值和识别阈值两种，感觉阈值是指使人勉强感知异味但无法辨别异味特征时的最小浓度;识别值在数值上要高于感觉阈值，其被定义为使人准确辨别异味特征时的最小浓度。通常所指的嗅阈值是感觉值(GB/T14675-93)。</w:t>
            </w:r>
          </w:p>
          <w:p w14:paraId="4236EF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FF0000"/>
                <w:sz w:val="21"/>
                <w:szCs w:val="21"/>
                <w:lang w:val="en-US" w:eastAsia="zh-CN"/>
              </w:rPr>
            </w:pPr>
            <w:r>
              <w:rPr>
                <w:rFonts w:hint="eastAsia"/>
                <w:b/>
                <w:bCs/>
                <w:color w:val="000000" w:themeColor="text1"/>
                <w:sz w:val="21"/>
                <w:szCs w:val="21"/>
                <w:lang w:val="en-US" w:eastAsia="zh-CN"/>
                <w14:textFill>
                  <w14:solidFill>
                    <w14:schemeClr w14:val="tx1"/>
                  </w14:solidFill>
                </w14:textFill>
              </w:rPr>
              <w:t>表4-9 异味物质的嗅阈值和异味特征</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2211"/>
              <w:gridCol w:w="2212"/>
              <w:gridCol w:w="2212"/>
            </w:tblGrid>
            <w:tr w14:paraId="60182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212" w:type="dxa"/>
                  <w:tcBorders>
                    <w:tl2br w:val="nil"/>
                    <w:tr2bl w:val="nil"/>
                  </w:tcBorders>
                  <w:vAlign w:val="center"/>
                </w:tcPr>
                <w:p w14:paraId="766A8E1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b/>
                      <w:bCs/>
                      <w:color w:val="FF0000"/>
                      <w:sz w:val="21"/>
                      <w:szCs w:val="21"/>
                      <w:vertAlign w:val="baseline"/>
                      <w:lang w:val="en-US" w:eastAsia="zh-CN"/>
                    </w:rPr>
                  </w:pPr>
                  <w:r>
                    <w:rPr>
                      <w:rFonts w:hint="eastAsia"/>
                      <w:b/>
                      <w:bCs/>
                      <w:color w:val="000000" w:themeColor="text1"/>
                      <w:lang w:val="en-US" w:eastAsia="zh-CN"/>
                      <w14:textFill>
                        <w14:solidFill>
                          <w14:schemeClr w14:val="tx1"/>
                        </w14:solidFill>
                      </w14:textFill>
                    </w:rPr>
                    <w:t>类别</w:t>
                  </w:r>
                </w:p>
              </w:tc>
              <w:tc>
                <w:tcPr>
                  <w:tcW w:w="2212" w:type="dxa"/>
                  <w:tcBorders>
                    <w:tl2br w:val="nil"/>
                    <w:tr2bl w:val="nil"/>
                  </w:tcBorders>
                  <w:vAlign w:val="center"/>
                </w:tcPr>
                <w:p w14:paraId="68D6BE8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b/>
                      <w:bCs/>
                      <w:color w:val="FF0000"/>
                      <w:sz w:val="21"/>
                      <w:szCs w:val="21"/>
                      <w:vertAlign w:val="baseline"/>
                      <w:lang w:val="en-US" w:eastAsia="zh-CN"/>
                    </w:rPr>
                  </w:pPr>
                  <w:r>
                    <w:rPr>
                      <w:rFonts w:hint="eastAsia"/>
                      <w:b/>
                      <w:bCs/>
                      <w:color w:val="000000" w:themeColor="text1"/>
                      <w:sz w:val="21"/>
                      <w:szCs w:val="21"/>
                      <w:vertAlign w:val="baseline"/>
                      <w:lang w:val="en-US" w:eastAsia="zh-CN"/>
                      <w14:textFill>
                        <w14:solidFill>
                          <w14:schemeClr w14:val="tx1"/>
                        </w14:solidFill>
                      </w14:textFill>
                    </w:rPr>
                    <w:t>阈值参考（mg/m</w:t>
                  </w:r>
                  <w:r>
                    <w:rPr>
                      <w:rFonts w:hint="eastAsia"/>
                      <w:b/>
                      <w:bCs/>
                      <w:color w:val="000000" w:themeColor="text1"/>
                      <w:sz w:val="21"/>
                      <w:szCs w:val="21"/>
                      <w:vertAlign w:val="superscript"/>
                      <w:lang w:val="en-US" w:eastAsia="zh-CN"/>
                      <w14:textFill>
                        <w14:solidFill>
                          <w14:schemeClr w14:val="tx1"/>
                        </w14:solidFill>
                      </w14:textFill>
                    </w:rPr>
                    <w:t>3</w:t>
                  </w:r>
                  <w:r>
                    <w:rPr>
                      <w:rFonts w:hint="eastAsia"/>
                      <w:b/>
                      <w:bCs/>
                      <w:color w:val="000000" w:themeColor="text1"/>
                      <w:sz w:val="21"/>
                      <w:szCs w:val="21"/>
                      <w:vertAlign w:val="baseline"/>
                      <w:lang w:val="en-US" w:eastAsia="zh-CN"/>
                      <w14:textFill>
                        <w14:solidFill>
                          <w14:schemeClr w14:val="tx1"/>
                        </w14:solidFill>
                      </w14:textFill>
                    </w:rPr>
                    <w:t>）</w:t>
                  </w:r>
                </w:p>
              </w:tc>
              <w:tc>
                <w:tcPr>
                  <w:tcW w:w="2213" w:type="dxa"/>
                  <w:tcBorders>
                    <w:tl2br w:val="nil"/>
                    <w:tr2bl w:val="nil"/>
                  </w:tcBorders>
                  <w:vAlign w:val="center"/>
                </w:tcPr>
                <w:p w14:paraId="353C72C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b/>
                      <w:bCs/>
                      <w:color w:val="FF0000"/>
                      <w:sz w:val="21"/>
                      <w:szCs w:val="21"/>
                      <w:vertAlign w:val="baseline"/>
                      <w:lang w:val="en-US" w:eastAsia="zh-CN"/>
                    </w:rPr>
                  </w:pPr>
                  <w:r>
                    <w:rPr>
                      <w:rFonts w:hint="eastAsia"/>
                      <w:b/>
                      <w:bCs/>
                      <w:color w:val="000000" w:themeColor="text1"/>
                      <w:sz w:val="21"/>
                      <w:szCs w:val="21"/>
                      <w:vertAlign w:val="baseline"/>
                      <w:lang w:val="en-US" w:eastAsia="zh-CN"/>
                      <w14:textFill>
                        <w14:solidFill>
                          <w14:schemeClr w14:val="tx1"/>
                        </w14:solidFill>
                      </w14:textFill>
                    </w:rPr>
                    <w:t>臭气浓度</w:t>
                  </w:r>
                </w:p>
              </w:tc>
              <w:tc>
                <w:tcPr>
                  <w:tcW w:w="2213" w:type="dxa"/>
                  <w:tcBorders>
                    <w:tl2br w:val="nil"/>
                    <w:tr2bl w:val="nil"/>
                  </w:tcBorders>
                  <w:vAlign w:val="center"/>
                </w:tcPr>
                <w:p w14:paraId="2353EEA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b/>
                      <w:bCs/>
                      <w:color w:val="FF0000"/>
                      <w:sz w:val="21"/>
                      <w:szCs w:val="21"/>
                      <w:vertAlign w:val="baseline"/>
                      <w:lang w:val="en-US" w:eastAsia="zh-CN"/>
                    </w:rPr>
                  </w:pPr>
                  <w:r>
                    <w:rPr>
                      <w:rFonts w:hint="eastAsia"/>
                      <w:b/>
                      <w:bCs/>
                      <w:color w:val="000000" w:themeColor="text1"/>
                      <w:sz w:val="21"/>
                      <w:szCs w:val="21"/>
                      <w:vertAlign w:val="baseline"/>
                      <w:lang w:val="en-US" w:eastAsia="zh-CN"/>
                      <w14:textFill>
                        <w14:solidFill>
                          <w14:schemeClr w14:val="tx1"/>
                        </w14:solidFill>
                      </w14:textFill>
                    </w:rPr>
                    <w:t>厂界标准（mg/m</w:t>
                  </w:r>
                  <w:r>
                    <w:rPr>
                      <w:rFonts w:hint="eastAsia"/>
                      <w:b/>
                      <w:bCs/>
                      <w:color w:val="000000" w:themeColor="text1"/>
                      <w:sz w:val="21"/>
                      <w:szCs w:val="21"/>
                      <w:vertAlign w:val="superscript"/>
                      <w:lang w:val="en-US" w:eastAsia="zh-CN"/>
                      <w14:textFill>
                        <w14:solidFill>
                          <w14:schemeClr w14:val="tx1"/>
                        </w14:solidFill>
                      </w14:textFill>
                    </w:rPr>
                    <w:t>3</w:t>
                  </w:r>
                  <w:r>
                    <w:rPr>
                      <w:rFonts w:hint="eastAsia"/>
                      <w:b/>
                      <w:bCs/>
                      <w:color w:val="000000" w:themeColor="text1"/>
                      <w:sz w:val="21"/>
                      <w:szCs w:val="21"/>
                      <w:vertAlign w:val="baseline"/>
                      <w:lang w:val="en-US" w:eastAsia="zh-CN"/>
                      <w14:textFill>
                        <w14:solidFill>
                          <w14:schemeClr w14:val="tx1"/>
                        </w14:solidFill>
                      </w14:textFill>
                    </w:rPr>
                    <w:t>）</w:t>
                  </w:r>
                </w:p>
              </w:tc>
            </w:tr>
            <w:tr w14:paraId="36F7D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2" w:type="dxa"/>
                  <w:tcBorders>
                    <w:tl2br w:val="nil"/>
                    <w:tr2bl w:val="nil"/>
                  </w:tcBorders>
                  <w:vAlign w:val="center"/>
                </w:tcPr>
                <w:p w14:paraId="361424D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color w:val="FF0000"/>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氨</w:t>
                  </w:r>
                </w:p>
              </w:tc>
              <w:tc>
                <w:tcPr>
                  <w:tcW w:w="2212" w:type="dxa"/>
                  <w:tcBorders>
                    <w:tl2br w:val="nil"/>
                    <w:tr2bl w:val="nil"/>
                  </w:tcBorders>
                  <w:vAlign w:val="center"/>
                </w:tcPr>
                <w:p w14:paraId="5E83444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0.5-1.5</w:t>
                  </w:r>
                </w:p>
              </w:tc>
              <w:tc>
                <w:tcPr>
                  <w:tcW w:w="2213" w:type="dxa"/>
                  <w:tcBorders>
                    <w:tl2br w:val="nil"/>
                    <w:tr2bl w:val="nil"/>
                  </w:tcBorders>
                  <w:vAlign w:val="center"/>
                </w:tcPr>
                <w:p w14:paraId="3FE6945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0.00001</w:t>
                  </w:r>
                </w:p>
              </w:tc>
              <w:tc>
                <w:tcPr>
                  <w:tcW w:w="2213" w:type="dxa"/>
                  <w:tcBorders>
                    <w:tl2br w:val="nil"/>
                    <w:tr2bl w:val="nil"/>
                  </w:tcBorders>
                  <w:vAlign w:val="center"/>
                </w:tcPr>
                <w:p w14:paraId="1E4AAE1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1.5</w:t>
                  </w:r>
                </w:p>
              </w:tc>
            </w:tr>
            <w:tr w14:paraId="52E36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2" w:type="dxa"/>
                  <w:tcBorders>
                    <w:tl2br w:val="nil"/>
                    <w:tr2bl w:val="nil"/>
                  </w:tcBorders>
                  <w:vAlign w:val="center"/>
                </w:tcPr>
                <w:p w14:paraId="630331F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臭气浓度</w:t>
                  </w:r>
                </w:p>
              </w:tc>
              <w:tc>
                <w:tcPr>
                  <w:tcW w:w="2212" w:type="dxa"/>
                  <w:tcBorders>
                    <w:tl2br w:val="nil"/>
                    <w:tr2bl w:val="nil"/>
                  </w:tcBorders>
                  <w:vAlign w:val="center"/>
                </w:tcPr>
                <w:p w14:paraId="6A91BEE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eastAsia="宋体"/>
                      <w:color w:val="FF0000"/>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w:t>
                  </w:r>
                </w:p>
              </w:tc>
              <w:tc>
                <w:tcPr>
                  <w:tcW w:w="2213" w:type="dxa"/>
                  <w:tcBorders>
                    <w:tl2br w:val="nil"/>
                    <w:tr2bl w:val="nil"/>
                  </w:tcBorders>
                  <w:vAlign w:val="center"/>
                </w:tcPr>
                <w:p w14:paraId="1DD4B4D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0.00001</w:t>
                  </w:r>
                </w:p>
              </w:tc>
              <w:tc>
                <w:tcPr>
                  <w:tcW w:w="2213" w:type="dxa"/>
                  <w:tcBorders>
                    <w:tl2br w:val="nil"/>
                    <w:tr2bl w:val="nil"/>
                  </w:tcBorders>
                  <w:vAlign w:val="center"/>
                </w:tcPr>
                <w:p w14:paraId="7F85070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color w:val="FF0000"/>
                      <w:sz w:val="21"/>
                      <w:szCs w:val="21"/>
                      <w:vertAlign w:val="baseline"/>
                      <w:lang w:val="en-US" w:eastAsia="zh-CN"/>
                    </w:rPr>
                  </w:pPr>
                  <w:r>
                    <w:rPr>
                      <w:rFonts w:hint="eastAsia"/>
                      <w:color w:val="000000" w:themeColor="text1"/>
                      <w:sz w:val="21"/>
                      <w:szCs w:val="21"/>
                      <w:vertAlign w:val="baseline"/>
                      <w:lang w:val="en-US" w:eastAsia="zh-CN"/>
                      <w14:textFill>
                        <w14:solidFill>
                          <w14:schemeClr w14:val="tx1"/>
                        </w14:solidFill>
                      </w14:textFill>
                    </w:rPr>
                    <w:t>20（无量纲）</w:t>
                  </w:r>
                </w:p>
              </w:tc>
            </w:tr>
          </w:tbl>
          <w:p w14:paraId="76C0E75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有上表可知，氨达标排放，对周围环境 产生的影响较小。</w:t>
            </w:r>
          </w:p>
          <w:p w14:paraId="6E0453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rFonts w:hint="default" w:ascii="Times New Roman" w:hAnsi="Times New Roman" w:eastAsia="宋体" w:cs="Times New Roman"/>
                <w:b w:val="0"/>
                <w:bCs w:val="0"/>
                <w:color w:val="auto"/>
                <w:kern w:val="2"/>
                <w:sz w:val="24"/>
                <w:szCs w:val="24"/>
                <w:lang w:val="en-US" w:eastAsia="zh-CN" w:bidi="ar-SA"/>
              </w:rPr>
              <w:t>②</w:t>
            </w:r>
            <w:r>
              <w:rPr>
                <w:b w:val="0"/>
                <w:bCs w:val="0"/>
                <w:color w:val="auto"/>
                <w:sz w:val="24"/>
                <w:szCs w:val="24"/>
              </w:rPr>
              <w:t>异味的危害分析</w:t>
            </w:r>
          </w:p>
          <w:p w14:paraId="53CAEA2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异味危害主要包括以下六个方面：</w:t>
            </w:r>
          </w:p>
          <w:p w14:paraId="70FF47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危害呼吸系统：人们突然闻到恶臭，就会产生反射性的抑制吸气，使呼吸次数减少，深度变浅，甚至会暂时停止吸气，妨碍正常呼吸功能。</w:t>
            </w:r>
          </w:p>
          <w:p w14:paraId="3D1B921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危害循环系统：随着呼吸的变化，会出现脉搏和血压的变化。如氨等刺激性臭气会使血压出现先下降后上升，脉搏先减慢后加快的现象。</w:t>
            </w:r>
          </w:p>
          <w:p w14:paraId="1B3B402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危害消化系统：经常接触恶臭，会使人厌食、恶心，甚至呕吐，进而发展为消化功能减退。</w:t>
            </w:r>
          </w:p>
          <w:p w14:paraId="5291C9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危害内分泌系统：经常受恶臭刺激，会使内分泌系统的分泌功能紊乱，影响机体的代谢活动。</w:t>
            </w:r>
          </w:p>
          <w:p w14:paraId="23C37C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神经系统：长期受到一种或几种低浓度恶臭物质的刺激，会引起嗅觉脱失、嗅觉疲劳等障碍。“久闻而不知其臭”，使嗅觉丧失了第一道防御功能，但脑神经仍不断受到刺激和损伤，最后导致大脑皮层兴奋和抑制的调节功能失调。</w:t>
            </w:r>
          </w:p>
          <w:p w14:paraId="6BE8CB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对精神的影响：恶臭使人精神烦躁不安，思想不集中，工作效率减低，判断力和记忆力下降，影响大脑的思考活动。异味的危害分析</w:t>
            </w:r>
          </w:p>
          <w:p w14:paraId="1A2D6C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异味危害主要包括以下六个方面：</w:t>
            </w:r>
          </w:p>
          <w:p w14:paraId="6FD669D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危害呼吸系统：人们突然闻到恶臭，就会产生反射性的抑制吸气，使呼吸次数减少，深度变浅，甚至会暂时停止吸气，妨碍正常呼吸功能。</w:t>
            </w:r>
          </w:p>
          <w:p w14:paraId="675166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危害循环系统：随着呼吸的变化，会出现脉搏和血压的变化。如氨等刺激性臭气会使血压出现先下降后上升，脉搏先减慢后加快的现象。</w:t>
            </w:r>
          </w:p>
          <w:p w14:paraId="5C0109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危害消化系统：经常接触恶臭，会使人厌食、恶心，甚至呕吐，进而发展为消化功能减退。</w:t>
            </w:r>
          </w:p>
          <w:p w14:paraId="1BD80C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危害内分泌系统：经常受恶臭刺激，会使内分泌系统的分泌功能紊乱，影响机体的代谢活动。</w:t>
            </w:r>
          </w:p>
          <w:p w14:paraId="15C7E62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 w:val="0"/>
                <w:bCs w:val="0"/>
                <w:color w:val="auto"/>
                <w:sz w:val="24"/>
                <w:szCs w:val="24"/>
              </w:rPr>
            </w:pPr>
            <w:r>
              <w:rPr>
                <w:b w:val="0"/>
                <w:bCs w:val="0"/>
                <w:color w:val="auto"/>
                <w:sz w:val="24"/>
                <w:szCs w:val="24"/>
              </w:rPr>
              <w:t>危害神经系统：长期受到一种或几种低浓度恶臭物质的刺激，会引起嗅觉脱失、嗅觉疲劳等障碍。“久闻而不知其臭”，使嗅觉丧失了第一道防御功能，但脑神经仍不断受到刺激和损伤，最后导致大脑皮层兴奋和抑制的调节功能失调。</w:t>
            </w:r>
          </w:p>
          <w:p w14:paraId="377BFA02">
            <w:pPr>
              <w:pStyle w:val="30"/>
              <w:rPr>
                <w:rFonts w:hint="default" w:ascii="Times New Roman" w:hAnsi="Times New Roman" w:eastAsia="宋体" w:cs="Times New Roman"/>
                <w:b w:val="0"/>
                <w:bCs w:val="0"/>
                <w:color w:val="auto"/>
                <w:kern w:val="2"/>
                <w:sz w:val="24"/>
                <w:szCs w:val="24"/>
                <w:lang w:val="en-US" w:eastAsia="zh-CN" w:bidi="ar-SA"/>
              </w:rPr>
            </w:pPr>
            <w:r>
              <w:rPr>
                <w:b w:val="0"/>
                <w:bCs w:val="0"/>
                <w:color w:val="auto"/>
                <w:sz w:val="24"/>
                <w:szCs w:val="24"/>
              </w:rPr>
              <w:t>对精神的影响：恶臭使人精神烦躁不安，思想不集中，工作效率减低，判断力和记忆力下降，影响大脑的思考活动。</w:t>
            </w:r>
          </w:p>
          <w:p w14:paraId="463B4881">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r>
              <w:rPr>
                <w:b/>
                <w:bCs/>
                <w:color w:val="auto"/>
                <w:sz w:val="24"/>
                <w:szCs w:val="24"/>
              </w:rPr>
              <w:t>1.</w:t>
            </w:r>
            <w:r>
              <w:rPr>
                <w:rFonts w:hint="eastAsia"/>
                <w:b/>
                <w:bCs/>
                <w:color w:val="auto"/>
                <w:sz w:val="24"/>
                <w:szCs w:val="24"/>
                <w:lang w:val="en-US" w:eastAsia="zh-CN"/>
              </w:rPr>
              <w:t>8</w:t>
            </w:r>
            <w:r>
              <w:rPr>
                <w:b/>
                <w:bCs/>
                <w:color w:val="auto"/>
                <w:sz w:val="24"/>
                <w:szCs w:val="24"/>
              </w:rPr>
              <w:t>废气排放达标性分析</w:t>
            </w:r>
          </w:p>
          <w:p w14:paraId="287205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rFonts w:hint="eastAsia"/>
                <w:color w:val="auto"/>
                <w:sz w:val="24"/>
                <w:szCs w:val="24"/>
              </w:rPr>
              <w:t>本项目位于环境空气质量非达标区，企业卫生防护距离范围内不涉及居民、学校等环境敏感保护目标。本项目产生的各类大气污染物经采取有效的污染防治措施治理后排放，各</w:t>
            </w:r>
            <w:r>
              <w:rPr>
                <w:rFonts w:hint="eastAsia"/>
                <w:color w:val="auto"/>
                <w:sz w:val="24"/>
                <w:szCs w:val="24"/>
                <w:lang w:val="en-US" w:eastAsia="zh-CN"/>
              </w:rPr>
              <w:t>类</w:t>
            </w:r>
            <w:r>
              <w:rPr>
                <w:rFonts w:hint="eastAsia"/>
                <w:color w:val="auto"/>
                <w:sz w:val="24"/>
                <w:szCs w:val="24"/>
              </w:rPr>
              <w:t>大气污染物排放强度较低，对大气环境影响较小，周边大气环境可基本维持现状，但仍要加强污染控制管理，减少非正常排放情况的发生。</w:t>
            </w:r>
          </w:p>
          <w:p w14:paraId="0718CB74">
            <w:pPr>
              <w:keepNext w:val="0"/>
              <w:keepLines w:val="0"/>
              <w:pageBreakBefore w:val="0"/>
              <w:widowControl w:val="0"/>
              <w:kinsoku/>
              <w:wordWrap/>
              <w:overflowPunct/>
              <w:topLinePunct w:val="0"/>
              <w:autoSpaceDE/>
              <w:autoSpaceDN/>
              <w:bidi w:val="0"/>
              <w:adjustRightInd/>
              <w:snapToGrid/>
              <w:spacing w:line="480" w:lineRule="exact"/>
              <w:textAlignment w:val="auto"/>
              <w:rPr>
                <w:b/>
                <w:bCs/>
                <w:color w:val="auto"/>
                <w:spacing w:val="-4"/>
                <w:sz w:val="24"/>
                <w:szCs w:val="24"/>
              </w:rPr>
            </w:pPr>
            <w:r>
              <w:rPr>
                <w:b/>
                <w:bCs/>
                <w:color w:val="auto"/>
                <w:spacing w:val="-4"/>
                <w:sz w:val="24"/>
                <w:szCs w:val="24"/>
              </w:rPr>
              <w:t>2、废水</w:t>
            </w:r>
          </w:p>
          <w:p w14:paraId="68225B49">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val="0"/>
                <w:bCs w:val="0"/>
                <w:color w:val="auto"/>
                <w:sz w:val="24"/>
                <w:szCs w:val="24"/>
                <w:lang w:val="en-US" w:eastAsia="zh-CN"/>
              </w:rPr>
            </w:pPr>
            <w:r>
              <w:rPr>
                <w:rFonts w:hint="eastAsia" w:cs="Times New Roman"/>
                <w:b/>
                <w:bCs/>
                <w:color w:val="auto"/>
                <w:sz w:val="24"/>
                <w:szCs w:val="24"/>
                <w:lang w:val="en-US" w:eastAsia="zh-CN"/>
              </w:rPr>
              <w:t>2.1废水</w:t>
            </w:r>
          </w:p>
          <w:p w14:paraId="784683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本项目产生的废水有实验室设备清洗废水、地面清洗水，生活污水。</w:t>
            </w:r>
          </w:p>
          <w:p w14:paraId="6BA5022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实验室设备清洗废水、地面清洗水收集至洗手池储存于储罐内，作为危废委托有资质单位处置。</w:t>
            </w:r>
          </w:p>
          <w:p w14:paraId="336636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劳动定员</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人，年工作3</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0天，不设食堂、宿舍和浴室。人均生活用水定额按</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0L/（人·天）计，则生活用水量为</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rPr>
              <w:t>0t/a，排污系数为0.8，则生活污水排放量为</w:t>
            </w:r>
            <w:r>
              <w:rPr>
                <w:rFonts w:hint="eastAsia" w:ascii="Times New Roman" w:hAnsi="Times New Roman" w:eastAsia="宋体" w:cs="Times New Roman"/>
                <w:color w:val="auto"/>
                <w:sz w:val="24"/>
                <w:lang w:val="en-US" w:eastAsia="zh-CN"/>
              </w:rPr>
              <w:t>240</w:t>
            </w:r>
            <w:r>
              <w:rPr>
                <w:rFonts w:hint="default" w:ascii="Times New Roman" w:hAnsi="Times New Roman" w:eastAsia="宋体" w:cs="Times New Roman"/>
                <w:color w:val="auto"/>
                <w:sz w:val="24"/>
              </w:rPr>
              <w:t>t/</w:t>
            </w:r>
            <w:r>
              <w:rPr>
                <w:rFonts w:hint="eastAsia" w:ascii="Times New Roman" w:hAnsi="Times New Roman" w:eastAsia="宋体" w:cs="Times New Roman"/>
                <w:color w:val="auto"/>
                <w:sz w:val="24"/>
                <w:lang w:val="en-US" w:eastAsia="zh-CN"/>
              </w:rPr>
              <w:t>a，</w:t>
            </w:r>
            <w:r>
              <w:rPr>
                <w:rFonts w:ascii="Times New Roman" w:hAnsi="Times New Roman" w:cs="Times New Roman"/>
                <w:b w:val="0"/>
                <w:bCs w:val="0"/>
                <w:color w:val="auto"/>
                <w:sz w:val="24"/>
                <w:szCs w:val="24"/>
              </w:rPr>
              <w:t>员工生活污水</w:t>
            </w:r>
            <w:r>
              <w:rPr>
                <w:rFonts w:hint="eastAsia" w:ascii="Times New Roman" w:hAnsi="Times New Roman" w:cs="Times New Roman"/>
                <w:b w:val="0"/>
                <w:bCs w:val="0"/>
                <w:color w:val="auto"/>
                <w:sz w:val="24"/>
                <w:szCs w:val="24"/>
              </w:rPr>
              <w:t>经厂区化粪池预处理</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rPr>
              <w:t>接管至金坛第二污水处理厂集中处理</w:t>
            </w:r>
            <w:r>
              <w:rPr>
                <w:rFonts w:ascii="Times New Roman" w:hAnsi="Times New Roman" w:cs="Times New Roman"/>
                <w:b w:val="0"/>
                <w:bCs w:val="0"/>
                <w:color w:val="auto"/>
                <w:sz w:val="24"/>
                <w:szCs w:val="24"/>
              </w:rPr>
              <w:t>。</w:t>
            </w:r>
          </w:p>
          <w:p w14:paraId="7D8FAE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rPr>
              <w:t>根据工程分析，本项目生活污水量为</w:t>
            </w:r>
            <w:r>
              <w:rPr>
                <w:rFonts w:hint="eastAsia" w:cs="Times New Roman"/>
                <w:b w:val="0"/>
                <w:bCs w:val="0"/>
                <w:color w:val="auto"/>
                <w:sz w:val="24"/>
                <w:szCs w:val="24"/>
                <w:lang w:val="en-US" w:eastAsia="zh-CN"/>
              </w:rPr>
              <w:t>240</w:t>
            </w:r>
            <w:r>
              <w:rPr>
                <w:rFonts w:hint="eastAsia" w:ascii="Times New Roman" w:hAnsi="Times New Roman" w:cs="Times New Roman"/>
                <w:b w:val="0"/>
                <w:bCs w:val="0"/>
                <w:color w:val="auto"/>
                <w:sz w:val="24"/>
                <w:szCs w:val="24"/>
              </w:rPr>
              <w:t>t/a，生活污水经厂区化粪池预处理，接管至金坛第二污水处理厂集中处理，处理后尾水排入尧塘河。</w:t>
            </w:r>
          </w:p>
          <w:p w14:paraId="39345959">
            <w:pPr>
              <w:spacing w:line="360" w:lineRule="exact"/>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w:t>
            </w:r>
            <w:r>
              <w:rPr>
                <w:rFonts w:hint="eastAsia" w:cs="Times New Roman"/>
                <w:b/>
                <w:bCs/>
                <w:color w:val="auto"/>
                <w:sz w:val="21"/>
                <w:szCs w:val="21"/>
                <w:lang w:val="en-US" w:eastAsia="zh-CN"/>
              </w:rPr>
              <w:t>10</w:t>
            </w:r>
            <w:r>
              <w:rPr>
                <w:rFonts w:ascii="Times New Roman" w:hAnsi="Times New Roman" w:cs="Times New Roman"/>
                <w:b/>
                <w:bCs/>
                <w:color w:val="auto"/>
                <w:sz w:val="21"/>
                <w:szCs w:val="21"/>
              </w:rPr>
              <w:t xml:space="preserve"> 本项目废水产生情况表</w:t>
            </w:r>
          </w:p>
          <w:tbl>
            <w:tblPr>
              <w:tblStyle w:val="22"/>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27"/>
              <w:gridCol w:w="1556"/>
              <w:gridCol w:w="1823"/>
              <w:gridCol w:w="1750"/>
              <w:gridCol w:w="1589"/>
            </w:tblGrid>
            <w:tr w14:paraId="35C619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noWrap w:val="0"/>
                  <w:vAlign w:val="center"/>
                </w:tcPr>
                <w:p w14:paraId="4CB70D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废水类型</w:t>
                  </w:r>
                </w:p>
              </w:tc>
              <w:tc>
                <w:tcPr>
                  <w:tcW w:w="879" w:type="pct"/>
                  <w:noWrap w:val="0"/>
                  <w:vAlign w:val="center"/>
                </w:tcPr>
                <w:p w14:paraId="2ABCDE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废水量t/a</w:t>
                  </w:r>
                </w:p>
              </w:tc>
              <w:tc>
                <w:tcPr>
                  <w:tcW w:w="1030" w:type="pct"/>
                  <w:noWrap w:val="0"/>
                  <w:vAlign w:val="center"/>
                </w:tcPr>
                <w:p w14:paraId="3F8BAA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污染物因子</w:t>
                  </w:r>
                </w:p>
              </w:tc>
              <w:tc>
                <w:tcPr>
                  <w:tcW w:w="989" w:type="pct"/>
                  <w:noWrap w:val="0"/>
                  <w:vAlign w:val="center"/>
                </w:tcPr>
                <w:p w14:paraId="307A32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产生浓度(mg/L)</w:t>
                  </w:r>
                </w:p>
              </w:tc>
              <w:tc>
                <w:tcPr>
                  <w:tcW w:w="898" w:type="pct"/>
                  <w:noWrap w:val="0"/>
                  <w:vAlign w:val="center"/>
                </w:tcPr>
                <w:p w14:paraId="076349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产生量(t/a)</w:t>
                  </w:r>
                </w:p>
              </w:tc>
            </w:tr>
            <w:tr w14:paraId="06E42B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02" w:type="pct"/>
                  <w:vMerge w:val="restart"/>
                  <w:noWrap w:val="0"/>
                  <w:vAlign w:val="center"/>
                </w:tcPr>
                <w:p w14:paraId="2FD015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生活污水</w:t>
                  </w:r>
                </w:p>
              </w:tc>
              <w:tc>
                <w:tcPr>
                  <w:tcW w:w="879" w:type="pct"/>
                  <w:vMerge w:val="restart"/>
                  <w:noWrap w:val="0"/>
                  <w:vAlign w:val="center"/>
                </w:tcPr>
                <w:p w14:paraId="38A5A7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240</w:t>
                  </w:r>
                </w:p>
              </w:tc>
              <w:tc>
                <w:tcPr>
                  <w:tcW w:w="1030" w:type="pct"/>
                  <w:noWrap w:val="0"/>
                  <w:vAlign w:val="center"/>
                </w:tcPr>
                <w:p w14:paraId="50E99C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COD</w:t>
                  </w:r>
                </w:p>
              </w:tc>
              <w:tc>
                <w:tcPr>
                  <w:tcW w:w="989" w:type="pct"/>
                  <w:noWrap w:val="0"/>
                  <w:vAlign w:val="center"/>
                </w:tcPr>
                <w:p w14:paraId="41398B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400</w:t>
                  </w:r>
                </w:p>
              </w:tc>
              <w:tc>
                <w:tcPr>
                  <w:tcW w:w="898" w:type="pct"/>
                  <w:noWrap w:val="0"/>
                  <w:vAlign w:val="bottom"/>
                </w:tcPr>
                <w:p w14:paraId="57D3FB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0.096</w:t>
                  </w:r>
                </w:p>
              </w:tc>
            </w:tr>
            <w:tr w14:paraId="4A14DF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noWrap w:val="0"/>
                  <w:vAlign w:val="center"/>
                </w:tcPr>
                <w:p w14:paraId="75EBDF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p>
              </w:tc>
              <w:tc>
                <w:tcPr>
                  <w:tcW w:w="879" w:type="pct"/>
                  <w:vMerge w:val="continue"/>
                  <w:noWrap w:val="0"/>
                  <w:vAlign w:val="center"/>
                </w:tcPr>
                <w:p w14:paraId="5FA108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p>
              </w:tc>
              <w:tc>
                <w:tcPr>
                  <w:tcW w:w="1030" w:type="pct"/>
                  <w:noWrap w:val="0"/>
                  <w:vAlign w:val="center"/>
                </w:tcPr>
                <w:p w14:paraId="7DFA1E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NH3-N</w:t>
                  </w:r>
                </w:p>
              </w:tc>
              <w:tc>
                <w:tcPr>
                  <w:tcW w:w="989" w:type="pct"/>
                  <w:noWrap w:val="0"/>
                  <w:vAlign w:val="center"/>
                </w:tcPr>
                <w:p w14:paraId="2D136E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25</w:t>
                  </w:r>
                </w:p>
              </w:tc>
              <w:tc>
                <w:tcPr>
                  <w:tcW w:w="1581" w:type="dxa"/>
                  <w:noWrap w:val="0"/>
                  <w:vAlign w:val="bottom"/>
                </w:tcPr>
                <w:p w14:paraId="3CC69B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0.006</w:t>
                  </w:r>
                </w:p>
              </w:tc>
            </w:tr>
            <w:tr w14:paraId="7C3FEE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noWrap w:val="0"/>
                  <w:vAlign w:val="center"/>
                </w:tcPr>
                <w:p w14:paraId="3E2F50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p>
              </w:tc>
              <w:tc>
                <w:tcPr>
                  <w:tcW w:w="879" w:type="pct"/>
                  <w:vMerge w:val="continue"/>
                  <w:noWrap w:val="0"/>
                  <w:vAlign w:val="center"/>
                </w:tcPr>
                <w:p w14:paraId="417025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p>
              </w:tc>
              <w:tc>
                <w:tcPr>
                  <w:tcW w:w="1030" w:type="pct"/>
                  <w:noWrap w:val="0"/>
                  <w:vAlign w:val="center"/>
                </w:tcPr>
                <w:p w14:paraId="28EEE8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SS</w:t>
                  </w:r>
                </w:p>
              </w:tc>
              <w:tc>
                <w:tcPr>
                  <w:tcW w:w="989" w:type="pct"/>
                  <w:noWrap w:val="0"/>
                  <w:vAlign w:val="center"/>
                </w:tcPr>
                <w:p w14:paraId="155575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250</w:t>
                  </w:r>
                </w:p>
              </w:tc>
              <w:tc>
                <w:tcPr>
                  <w:tcW w:w="1581" w:type="dxa"/>
                  <w:noWrap w:val="0"/>
                  <w:vAlign w:val="bottom"/>
                </w:tcPr>
                <w:p w14:paraId="42E727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0.06</w:t>
                  </w:r>
                </w:p>
              </w:tc>
            </w:tr>
            <w:tr w14:paraId="7542F6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noWrap w:val="0"/>
                  <w:vAlign w:val="center"/>
                </w:tcPr>
                <w:p w14:paraId="67C5F5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p>
              </w:tc>
              <w:tc>
                <w:tcPr>
                  <w:tcW w:w="879" w:type="pct"/>
                  <w:vMerge w:val="continue"/>
                  <w:noWrap w:val="0"/>
                  <w:vAlign w:val="center"/>
                </w:tcPr>
                <w:p w14:paraId="1433B3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p>
              </w:tc>
              <w:tc>
                <w:tcPr>
                  <w:tcW w:w="1030" w:type="pct"/>
                  <w:noWrap w:val="0"/>
                  <w:vAlign w:val="center"/>
                </w:tcPr>
                <w:p w14:paraId="0DE28B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TP</w:t>
                  </w:r>
                </w:p>
              </w:tc>
              <w:tc>
                <w:tcPr>
                  <w:tcW w:w="989" w:type="pct"/>
                  <w:noWrap w:val="0"/>
                  <w:vAlign w:val="center"/>
                </w:tcPr>
                <w:p w14:paraId="55F0C3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3</w:t>
                  </w:r>
                </w:p>
              </w:tc>
              <w:tc>
                <w:tcPr>
                  <w:tcW w:w="1581" w:type="dxa"/>
                  <w:noWrap w:val="0"/>
                  <w:vAlign w:val="bottom"/>
                </w:tcPr>
                <w:p w14:paraId="46F19D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0.00072</w:t>
                  </w:r>
                </w:p>
              </w:tc>
            </w:tr>
            <w:tr w14:paraId="7201FF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noWrap w:val="0"/>
                  <w:vAlign w:val="center"/>
                </w:tcPr>
                <w:p w14:paraId="16B87A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p>
              </w:tc>
              <w:tc>
                <w:tcPr>
                  <w:tcW w:w="879" w:type="pct"/>
                  <w:vMerge w:val="continue"/>
                  <w:noWrap w:val="0"/>
                  <w:vAlign w:val="center"/>
                </w:tcPr>
                <w:p w14:paraId="0BE0EB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p>
              </w:tc>
              <w:tc>
                <w:tcPr>
                  <w:tcW w:w="1030" w:type="pct"/>
                  <w:noWrap w:val="0"/>
                  <w:vAlign w:val="center"/>
                </w:tcPr>
                <w:p w14:paraId="22F76D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TN</w:t>
                  </w:r>
                </w:p>
              </w:tc>
              <w:tc>
                <w:tcPr>
                  <w:tcW w:w="989" w:type="pct"/>
                  <w:noWrap w:val="0"/>
                  <w:vAlign w:val="center"/>
                </w:tcPr>
                <w:p w14:paraId="411AE4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40</w:t>
                  </w:r>
                </w:p>
              </w:tc>
              <w:tc>
                <w:tcPr>
                  <w:tcW w:w="1581" w:type="dxa"/>
                  <w:noWrap w:val="0"/>
                  <w:vAlign w:val="bottom"/>
                </w:tcPr>
                <w:p w14:paraId="4C8685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FF0000"/>
                      <w:sz w:val="21"/>
                      <w:szCs w:val="21"/>
                      <w:lang w:val="en-US" w:eastAsia="zh-CN"/>
                    </w:rPr>
                  </w:pPr>
                  <w:r>
                    <w:rPr>
                      <w:rFonts w:hint="eastAsia" w:ascii="Times New Roman" w:hAnsi="Times New Roman" w:eastAsia="宋体" w:cs="Times New Roman"/>
                      <w:b w:val="0"/>
                      <w:bCs w:val="0"/>
                      <w:color w:val="auto"/>
                      <w:sz w:val="21"/>
                      <w:szCs w:val="21"/>
                      <w:lang w:val="en-US" w:eastAsia="zh-CN"/>
                    </w:rPr>
                    <w:t>0.0096</w:t>
                  </w:r>
                </w:p>
              </w:tc>
            </w:tr>
          </w:tbl>
          <w:p w14:paraId="3FFEFF15">
            <w:pPr>
              <w:pStyle w:val="11"/>
              <w:numPr>
                <w:ilvl w:val="0"/>
                <w:numId w:val="0"/>
              </w:numPr>
              <w:rPr>
                <w:color w:val="auto"/>
                <w:sz w:val="24"/>
                <w:szCs w:val="24"/>
              </w:rPr>
            </w:pPr>
          </w:p>
        </w:tc>
      </w:tr>
    </w:tbl>
    <w:p w14:paraId="187797EF">
      <w:pPr>
        <w:tabs>
          <w:tab w:val="left" w:pos="810"/>
        </w:tabs>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2722"/>
      </w:tblGrid>
      <w:tr w14:paraId="7CF6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noWrap w:val="0"/>
            <w:vAlign w:val="center"/>
          </w:tcPr>
          <w:p w14:paraId="3E4A5206">
            <w:pPr>
              <w:adjustRightInd w:val="0"/>
              <w:snapToGrid w:val="0"/>
              <w:jc w:val="center"/>
              <w:rPr>
                <w:bCs/>
                <w:color w:val="auto"/>
                <w:sz w:val="24"/>
                <w:szCs w:val="24"/>
              </w:rPr>
            </w:pPr>
            <w:r>
              <w:rPr>
                <w:bCs/>
                <w:color w:val="auto"/>
                <w:sz w:val="24"/>
                <w:szCs w:val="24"/>
              </w:rPr>
              <w:t>运营</w:t>
            </w:r>
          </w:p>
          <w:p w14:paraId="1E3AF8AC">
            <w:pPr>
              <w:adjustRightInd w:val="0"/>
              <w:snapToGrid w:val="0"/>
              <w:jc w:val="center"/>
              <w:rPr>
                <w:bCs/>
                <w:color w:val="auto"/>
                <w:sz w:val="24"/>
                <w:szCs w:val="24"/>
              </w:rPr>
            </w:pPr>
            <w:r>
              <w:rPr>
                <w:bCs/>
                <w:color w:val="auto"/>
                <w:sz w:val="24"/>
                <w:szCs w:val="24"/>
              </w:rPr>
              <w:t>期环</w:t>
            </w:r>
          </w:p>
          <w:p w14:paraId="0995E0BC">
            <w:pPr>
              <w:adjustRightInd w:val="0"/>
              <w:snapToGrid w:val="0"/>
              <w:jc w:val="center"/>
              <w:rPr>
                <w:bCs/>
                <w:color w:val="auto"/>
                <w:sz w:val="24"/>
                <w:szCs w:val="24"/>
              </w:rPr>
            </w:pPr>
            <w:r>
              <w:rPr>
                <w:bCs/>
                <w:color w:val="auto"/>
                <w:sz w:val="24"/>
                <w:szCs w:val="24"/>
              </w:rPr>
              <w:t>境影</w:t>
            </w:r>
          </w:p>
          <w:p w14:paraId="2B992E4E">
            <w:pPr>
              <w:adjustRightInd w:val="0"/>
              <w:snapToGrid w:val="0"/>
              <w:jc w:val="center"/>
              <w:rPr>
                <w:bCs/>
                <w:color w:val="auto"/>
                <w:sz w:val="24"/>
                <w:szCs w:val="24"/>
              </w:rPr>
            </w:pPr>
            <w:r>
              <w:rPr>
                <w:bCs/>
                <w:color w:val="auto"/>
                <w:sz w:val="24"/>
                <w:szCs w:val="24"/>
              </w:rPr>
              <w:t>响和</w:t>
            </w:r>
          </w:p>
          <w:p w14:paraId="06086488">
            <w:pPr>
              <w:adjustRightInd w:val="0"/>
              <w:snapToGrid w:val="0"/>
              <w:jc w:val="center"/>
              <w:rPr>
                <w:bCs/>
                <w:color w:val="auto"/>
                <w:sz w:val="24"/>
                <w:szCs w:val="24"/>
              </w:rPr>
            </w:pPr>
            <w:r>
              <w:rPr>
                <w:bCs/>
                <w:color w:val="auto"/>
                <w:sz w:val="24"/>
                <w:szCs w:val="24"/>
              </w:rPr>
              <w:t>保护</w:t>
            </w:r>
          </w:p>
          <w:p w14:paraId="1EE35271">
            <w:pPr>
              <w:pStyle w:val="44"/>
              <w:spacing w:after="0" w:line="360" w:lineRule="exact"/>
              <w:jc w:val="center"/>
              <w:rPr>
                <w:color w:val="auto"/>
                <w:sz w:val="24"/>
                <w:szCs w:val="24"/>
              </w:rPr>
            </w:pPr>
            <w:r>
              <w:rPr>
                <w:bCs/>
                <w:color w:val="auto"/>
                <w:sz w:val="24"/>
                <w:szCs w:val="24"/>
              </w:rPr>
              <w:t>措施</w:t>
            </w:r>
          </w:p>
        </w:tc>
        <w:tc>
          <w:tcPr>
            <w:tcW w:w="12722" w:type="dxa"/>
            <w:noWrap w:val="0"/>
            <w:vAlign w:val="center"/>
          </w:tcPr>
          <w:p w14:paraId="291C6789">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r>
              <w:rPr>
                <w:b/>
                <w:bCs/>
                <w:color w:val="auto"/>
                <w:sz w:val="24"/>
                <w:szCs w:val="24"/>
              </w:rPr>
              <w:t>2.</w:t>
            </w:r>
            <w:r>
              <w:rPr>
                <w:rFonts w:hint="eastAsia"/>
                <w:b/>
                <w:bCs/>
                <w:color w:val="auto"/>
                <w:sz w:val="24"/>
                <w:szCs w:val="24"/>
                <w:lang w:val="en-US" w:eastAsia="zh-CN"/>
              </w:rPr>
              <w:t>2</w:t>
            </w:r>
            <w:r>
              <w:rPr>
                <w:b/>
                <w:bCs/>
                <w:color w:val="auto"/>
                <w:sz w:val="24"/>
                <w:szCs w:val="24"/>
              </w:rPr>
              <w:t>项目水污染物排放信息</w:t>
            </w:r>
          </w:p>
          <w:p w14:paraId="1FBBCF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①废水类别、污染物及污染治理设施信息见表4-</w:t>
            </w:r>
            <w:r>
              <w:rPr>
                <w:rFonts w:hint="eastAsia"/>
                <w:color w:val="auto"/>
                <w:sz w:val="24"/>
                <w:szCs w:val="24"/>
                <w:lang w:val="en-US" w:eastAsia="zh-CN"/>
              </w:rPr>
              <w:t>11</w:t>
            </w:r>
            <w:r>
              <w:rPr>
                <w:color w:val="auto"/>
                <w:sz w:val="24"/>
                <w:szCs w:val="24"/>
              </w:rPr>
              <w:t>。</w:t>
            </w:r>
          </w:p>
          <w:p w14:paraId="4D63476E">
            <w:pPr>
              <w:pStyle w:val="7"/>
              <w:spacing w:before="0" w:after="0" w:line="320" w:lineRule="exact"/>
              <w:ind w:right="0" w:firstLine="422" w:firstLineChars="200"/>
              <w:jc w:val="center"/>
              <w:rPr>
                <w:b/>
                <w:bCs/>
                <w:color w:val="auto"/>
                <w:sz w:val="21"/>
                <w:szCs w:val="21"/>
                <w:lang w:val="en-US" w:eastAsia="zh-CN"/>
              </w:rPr>
            </w:pPr>
            <w:r>
              <w:rPr>
                <w:b/>
                <w:bCs/>
                <w:color w:val="auto"/>
                <w:sz w:val="21"/>
                <w:szCs w:val="21"/>
                <w:lang w:val="en-US" w:eastAsia="zh-CN"/>
              </w:rPr>
              <w:t>表4-</w:t>
            </w:r>
            <w:r>
              <w:rPr>
                <w:rFonts w:hint="eastAsia"/>
                <w:b/>
                <w:bCs/>
                <w:color w:val="auto"/>
                <w:sz w:val="21"/>
                <w:szCs w:val="21"/>
                <w:lang w:val="en-US" w:eastAsia="zh-CN"/>
              </w:rPr>
              <w:t>11</w:t>
            </w:r>
            <w:r>
              <w:rPr>
                <w:b/>
                <w:bCs/>
                <w:color w:val="auto"/>
                <w:sz w:val="21"/>
                <w:szCs w:val="21"/>
                <w:lang w:val="en-US" w:eastAsia="zh-CN"/>
              </w:rPr>
              <w:t xml:space="preserve"> 废水类别、污染物及污染治理设施信息表</w:t>
            </w:r>
          </w:p>
          <w:tbl>
            <w:tblPr>
              <w:tblStyle w:val="22"/>
              <w:tblW w:w="4995" w:type="pct"/>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672"/>
              <w:gridCol w:w="1335"/>
              <w:gridCol w:w="1127"/>
              <w:gridCol w:w="1150"/>
              <w:gridCol w:w="1350"/>
              <w:gridCol w:w="1172"/>
              <w:gridCol w:w="1565"/>
              <w:gridCol w:w="882"/>
              <w:gridCol w:w="1382"/>
              <w:gridCol w:w="1431"/>
            </w:tblGrid>
            <w:tr w14:paraId="6485425A">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7" w:type="pct"/>
                  <w:vMerge w:val="restart"/>
                  <w:tcBorders>
                    <w:top w:val="single" w:color="auto" w:sz="12" w:space="0"/>
                  </w:tcBorders>
                  <w:noWrap w:val="0"/>
                  <w:vAlign w:val="center"/>
                </w:tcPr>
                <w:p w14:paraId="1B423513">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序号</w:t>
                  </w:r>
                </w:p>
              </w:tc>
              <w:tc>
                <w:tcPr>
                  <w:tcW w:w="271" w:type="pct"/>
                  <w:vMerge w:val="restart"/>
                  <w:tcBorders>
                    <w:top w:val="single" w:color="auto" w:sz="12" w:space="0"/>
                  </w:tcBorders>
                  <w:noWrap w:val="0"/>
                  <w:vAlign w:val="center"/>
                </w:tcPr>
                <w:p w14:paraId="1EEA34AE">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废水类别</w:t>
                  </w:r>
                </w:p>
              </w:tc>
              <w:tc>
                <w:tcPr>
                  <w:tcW w:w="536" w:type="pct"/>
                  <w:vMerge w:val="restart"/>
                  <w:tcBorders>
                    <w:top w:val="single" w:color="auto" w:sz="12" w:space="0"/>
                  </w:tcBorders>
                  <w:noWrap w:val="0"/>
                  <w:vAlign w:val="center"/>
                </w:tcPr>
                <w:p w14:paraId="3DF96BBC">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污染物</w:t>
                  </w:r>
                </w:p>
                <w:p w14:paraId="5D5D466E">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种类</w:t>
                  </w:r>
                </w:p>
              </w:tc>
              <w:tc>
                <w:tcPr>
                  <w:tcW w:w="453" w:type="pct"/>
                  <w:vMerge w:val="restart"/>
                  <w:tcBorders>
                    <w:top w:val="single" w:color="auto" w:sz="12" w:space="0"/>
                  </w:tcBorders>
                  <w:noWrap w:val="0"/>
                  <w:vAlign w:val="center"/>
                </w:tcPr>
                <w:p w14:paraId="2545C38D">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排放去向</w:t>
                  </w:r>
                </w:p>
              </w:tc>
              <w:tc>
                <w:tcPr>
                  <w:tcW w:w="462" w:type="pct"/>
                  <w:vMerge w:val="restart"/>
                  <w:tcBorders>
                    <w:top w:val="single" w:color="auto" w:sz="12" w:space="0"/>
                  </w:tcBorders>
                  <w:noWrap w:val="0"/>
                  <w:vAlign w:val="center"/>
                </w:tcPr>
                <w:p w14:paraId="406CB803">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排放规律</w:t>
                  </w:r>
                </w:p>
              </w:tc>
              <w:tc>
                <w:tcPr>
                  <w:tcW w:w="1641" w:type="pct"/>
                  <w:gridSpan w:val="3"/>
                  <w:tcBorders>
                    <w:top w:val="single" w:color="auto" w:sz="12" w:space="0"/>
                  </w:tcBorders>
                  <w:noWrap w:val="0"/>
                  <w:vAlign w:val="center"/>
                </w:tcPr>
                <w:p w14:paraId="292B7E91">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污染治理设施</w:t>
                  </w:r>
                </w:p>
              </w:tc>
              <w:tc>
                <w:tcPr>
                  <w:tcW w:w="355" w:type="pct"/>
                  <w:vMerge w:val="restart"/>
                  <w:tcBorders>
                    <w:top w:val="single" w:color="auto" w:sz="12" w:space="0"/>
                  </w:tcBorders>
                  <w:noWrap w:val="0"/>
                  <w:vAlign w:val="center"/>
                </w:tcPr>
                <w:p w14:paraId="1FAABF0D">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排放口编号</w:t>
                  </w:r>
                </w:p>
              </w:tc>
              <w:tc>
                <w:tcPr>
                  <w:tcW w:w="555" w:type="pct"/>
                  <w:vMerge w:val="restart"/>
                  <w:tcBorders>
                    <w:top w:val="single" w:color="auto" w:sz="12" w:space="0"/>
                  </w:tcBorders>
                  <w:noWrap w:val="0"/>
                  <w:vAlign w:val="center"/>
                </w:tcPr>
                <w:p w14:paraId="70B5EEF4">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排放口设置是否符合要求</w:t>
                  </w:r>
                </w:p>
              </w:tc>
              <w:tc>
                <w:tcPr>
                  <w:tcW w:w="574" w:type="pct"/>
                  <w:vMerge w:val="restart"/>
                  <w:tcBorders>
                    <w:top w:val="single" w:color="auto" w:sz="12" w:space="0"/>
                  </w:tcBorders>
                  <w:noWrap w:val="0"/>
                  <w:vAlign w:val="center"/>
                </w:tcPr>
                <w:p w14:paraId="6E5BF62F">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排放口类型</w:t>
                  </w:r>
                </w:p>
              </w:tc>
            </w:tr>
            <w:tr w14:paraId="46C5F50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7" w:type="pct"/>
                  <w:vMerge w:val="continue"/>
                  <w:noWrap w:val="0"/>
                  <w:vAlign w:val="center"/>
                </w:tcPr>
                <w:p w14:paraId="3F9914E5">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p>
              </w:tc>
              <w:tc>
                <w:tcPr>
                  <w:tcW w:w="271" w:type="pct"/>
                  <w:vMerge w:val="continue"/>
                  <w:noWrap w:val="0"/>
                  <w:vAlign w:val="center"/>
                </w:tcPr>
                <w:p w14:paraId="2D19EF3D">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p>
              </w:tc>
              <w:tc>
                <w:tcPr>
                  <w:tcW w:w="536" w:type="pct"/>
                  <w:vMerge w:val="continue"/>
                  <w:noWrap w:val="0"/>
                  <w:vAlign w:val="center"/>
                </w:tcPr>
                <w:p w14:paraId="42124891">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p>
              </w:tc>
              <w:tc>
                <w:tcPr>
                  <w:tcW w:w="453" w:type="pct"/>
                  <w:vMerge w:val="continue"/>
                  <w:noWrap w:val="0"/>
                  <w:vAlign w:val="center"/>
                </w:tcPr>
                <w:p w14:paraId="71891290">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p>
              </w:tc>
              <w:tc>
                <w:tcPr>
                  <w:tcW w:w="462" w:type="pct"/>
                  <w:vMerge w:val="continue"/>
                  <w:noWrap w:val="0"/>
                  <w:vAlign w:val="center"/>
                </w:tcPr>
                <w:p w14:paraId="7463B010">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p>
              </w:tc>
              <w:tc>
                <w:tcPr>
                  <w:tcW w:w="542" w:type="pct"/>
                  <w:noWrap w:val="0"/>
                  <w:vAlign w:val="center"/>
                </w:tcPr>
                <w:p w14:paraId="4ED34F31">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污染治理设施编号</w:t>
                  </w:r>
                </w:p>
              </w:tc>
              <w:tc>
                <w:tcPr>
                  <w:tcW w:w="471" w:type="pct"/>
                  <w:noWrap w:val="0"/>
                  <w:vAlign w:val="center"/>
                </w:tcPr>
                <w:p w14:paraId="41B404E9">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z w:val="21"/>
                      <w:szCs w:val="21"/>
                      <w:lang w:val="en-US" w:eastAsia="zh-CN"/>
                    </w:rPr>
                  </w:pPr>
                  <w:r>
                    <w:rPr>
                      <w:b/>
                      <w:bCs/>
                      <w:color w:val="auto"/>
                      <w:sz w:val="21"/>
                      <w:szCs w:val="21"/>
                      <w:lang w:val="en-US" w:eastAsia="zh-CN"/>
                    </w:rPr>
                    <w:t>污染治理设施名称</w:t>
                  </w:r>
                </w:p>
              </w:tc>
              <w:tc>
                <w:tcPr>
                  <w:tcW w:w="627" w:type="pct"/>
                  <w:noWrap w:val="0"/>
                  <w:vAlign w:val="center"/>
                </w:tcPr>
                <w:p w14:paraId="0FFA4910">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b/>
                      <w:bCs/>
                      <w:color w:val="auto"/>
                      <w:spacing w:val="-11"/>
                      <w:sz w:val="21"/>
                      <w:szCs w:val="21"/>
                      <w:lang w:val="en-US" w:eastAsia="zh-CN"/>
                    </w:rPr>
                  </w:pPr>
                  <w:r>
                    <w:rPr>
                      <w:b/>
                      <w:bCs/>
                      <w:color w:val="auto"/>
                      <w:spacing w:val="-11"/>
                      <w:sz w:val="21"/>
                      <w:szCs w:val="21"/>
                      <w:lang w:val="en-US" w:eastAsia="zh-CN"/>
                    </w:rPr>
                    <w:t>污染治理设置工艺</w:t>
                  </w:r>
                </w:p>
              </w:tc>
              <w:tc>
                <w:tcPr>
                  <w:tcW w:w="355" w:type="pct"/>
                  <w:vMerge w:val="continue"/>
                  <w:noWrap w:val="0"/>
                  <w:vAlign w:val="center"/>
                </w:tcPr>
                <w:p w14:paraId="26C4EFD4">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p>
              </w:tc>
              <w:tc>
                <w:tcPr>
                  <w:tcW w:w="555" w:type="pct"/>
                  <w:vMerge w:val="continue"/>
                  <w:noWrap w:val="0"/>
                  <w:vAlign w:val="center"/>
                </w:tcPr>
                <w:p w14:paraId="265E65A1">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p>
              </w:tc>
              <w:tc>
                <w:tcPr>
                  <w:tcW w:w="574" w:type="pct"/>
                  <w:vMerge w:val="continue"/>
                  <w:noWrap w:val="0"/>
                  <w:vAlign w:val="center"/>
                </w:tcPr>
                <w:p w14:paraId="53A16DF8">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p>
              </w:tc>
            </w:tr>
            <w:tr w14:paraId="7173E4B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7" w:type="pct"/>
                  <w:noWrap w:val="0"/>
                  <w:vAlign w:val="center"/>
                </w:tcPr>
                <w:p w14:paraId="5737A501">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rFonts w:hint="eastAsia"/>
                      <w:color w:val="auto"/>
                      <w:sz w:val="21"/>
                      <w:szCs w:val="21"/>
                      <w:lang w:val="en-US" w:eastAsia="zh-CN"/>
                    </w:rPr>
                    <w:t>1</w:t>
                  </w:r>
                </w:p>
              </w:tc>
              <w:tc>
                <w:tcPr>
                  <w:tcW w:w="271" w:type="pct"/>
                  <w:noWrap w:val="0"/>
                  <w:vAlign w:val="center"/>
                </w:tcPr>
                <w:p w14:paraId="44C7199C">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color w:val="auto"/>
                      <w:sz w:val="21"/>
                      <w:szCs w:val="21"/>
                      <w:lang w:val="en-US" w:eastAsia="zh-CN"/>
                    </w:rPr>
                    <w:t>生活污水</w:t>
                  </w:r>
                </w:p>
              </w:tc>
              <w:tc>
                <w:tcPr>
                  <w:tcW w:w="536" w:type="pct"/>
                  <w:noWrap w:val="0"/>
                  <w:vAlign w:val="center"/>
                </w:tcPr>
                <w:p w14:paraId="69A08890">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color w:val="auto"/>
                      <w:sz w:val="21"/>
                      <w:szCs w:val="21"/>
                      <w:lang w:val="en-US" w:eastAsia="zh-CN"/>
                    </w:rPr>
                    <w:t>COD</w:t>
                  </w:r>
                </w:p>
                <w:p w14:paraId="5FBCAB27">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color w:val="auto"/>
                      <w:sz w:val="21"/>
                      <w:szCs w:val="21"/>
                      <w:lang w:val="en-US" w:eastAsia="zh-CN"/>
                    </w:rPr>
                    <w:t>SS</w:t>
                  </w:r>
                </w:p>
                <w:p w14:paraId="616236D4">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color w:val="auto"/>
                      <w:sz w:val="21"/>
                      <w:szCs w:val="21"/>
                      <w:lang w:val="en-US" w:eastAsia="zh-CN"/>
                    </w:rPr>
                    <w:t>NH</w:t>
                  </w:r>
                  <w:r>
                    <w:rPr>
                      <w:color w:val="auto"/>
                      <w:sz w:val="21"/>
                      <w:szCs w:val="21"/>
                      <w:vertAlign w:val="subscript"/>
                      <w:lang w:val="en-US" w:eastAsia="zh-CN"/>
                    </w:rPr>
                    <w:t>3</w:t>
                  </w:r>
                  <w:r>
                    <w:rPr>
                      <w:color w:val="auto"/>
                      <w:sz w:val="21"/>
                      <w:szCs w:val="21"/>
                      <w:lang w:val="en-US" w:eastAsia="zh-CN"/>
                    </w:rPr>
                    <w:t>-N</w:t>
                  </w:r>
                </w:p>
                <w:p w14:paraId="1E9CB2FA">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color w:val="auto"/>
                      <w:sz w:val="21"/>
                      <w:szCs w:val="21"/>
                      <w:lang w:val="en-US" w:eastAsia="zh-CN"/>
                    </w:rPr>
                    <w:t>TP</w:t>
                  </w:r>
                </w:p>
                <w:p w14:paraId="2BE5FB04">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color w:val="auto"/>
                      <w:sz w:val="21"/>
                      <w:szCs w:val="21"/>
                      <w:lang w:val="en-US" w:eastAsia="zh-CN"/>
                    </w:rPr>
                    <w:t>TN</w:t>
                  </w:r>
                </w:p>
              </w:tc>
              <w:tc>
                <w:tcPr>
                  <w:tcW w:w="453" w:type="pct"/>
                  <w:noWrap w:val="0"/>
                  <w:vAlign w:val="center"/>
                </w:tcPr>
                <w:p w14:paraId="05418E73">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rFonts w:hint="eastAsia"/>
                      <w:color w:val="auto"/>
                      <w:sz w:val="21"/>
                      <w:szCs w:val="21"/>
                      <w:lang w:val="en-US" w:eastAsia="zh-CN"/>
                    </w:rPr>
                    <w:t>常州金坛区第二污水处理有限公司</w:t>
                  </w:r>
                </w:p>
              </w:tc>
              <w:tc>
                <w:tcPr>
                  <w:tcW w:w="462" w:type="pct"/>
                  <w:noWrap w:val="0"/>
                  <w:vAlign w:val="center"/>
                </w:tcPr>
                <w:p w14:paraId="67ABF2A7">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color w:val="auto"/>
                      <w:sz w:val="21"/>
                      <w:szCs w:val="21"/>
                      <w:lang w:val="en-US" w:eastAsia="zh-CN"/>
                    </w:rPr>
                    <w:t>间歇排放、流量不稳定，但有周期性规律</w:t>
                  </w:r>
                </w:p>
              </w:tc>
              <w:tc>
                <w:tcPr>
                  <w:tcW w:w="542" w:type="pct"/>
                  <w:noWrap w:val="0"/>
                  <w:vAlign w:val="center"/>
                </w:tcPr>
                <w:p w14:paraId="1B451315">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rFonts w:hint="eastAsia"/>
                      <w:color w:val="auto"/>
                      <w:sz w:val="21"/>
                      <w:szCs w:val="21"/>
                      <w:lang w:val="en-US" w:eastAsia="zh-CN"/>
                    </w:rPr>
                    <w:t>TW01</w:t>
                  </w:r>
                </w:p>
              </w:tc>
              <w:tc>
                <w:tcPr>
                  <w:tcW w:w="471" w:type="pct"/>
                  <w:noWrap w:val="0"/>
                  <w:vAlign w:val="center"/>
                </w:tcPr>
                <w:p w14:paraId="15D3ADE9">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627" w:type="pct"/>
                  <w:noWrap w:val="0"/>
                  <w:vAlign w:val="center"/>
                </w:tcPr>
                <w:p w14:paraId="29D05CD1">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rFonts w:hint="eastAsia"/>
                      <w:color w:val="auto"/>
                      <w:sz w:val="21"/>
                      <w:szCs w:val="21"/>
                      <w:lang w:val="en-US" w:eastAsia="zh-CN"/>
                    </w:rPr>
                    <w:t>/</w:t>
                  </w:r>
                </w:p>
              </w:tc>
              <w:tc>
                <w:tcPr>
                  <w:tcW w:w="355" w:type="pct"/>
                  <w:noWrap w:val="0"/>
                  <w:vAlign w:val="center"/>
                </w:tcPr>
                <w:p w14:paraId="1F05CDB3">
                  <w:pPr>
                    <w:pStyle w:val="20"/>
                    <w:keepNext w:val="0"/>
                    <w:keepLines w:val="0"/>
                    <w:pageBreakBefore w:val="0"/>
                    <w:widowControl/>
                    <w:kinsoku/>
                    <w:wordWrap/>
                    <w:overflowPunct/>
                    <w:topLinePunct w:val="0"/>
                    <w:autoSpaceDE/>
                    <w:autoSpaceDN/>
                    <w:bidi w:val="0"/>
                    <w:adjustRightInd/>
                    <w:snapToGrid/>
                    <w:spacing w:before="0" w:after="0" w:line="220" w:lineRule="exact"/>
                    <w:ind w:right="0" w:rightChars="0" w:firstLine="0" w:firstLineChars="0"/>
                    <w:jc w:val="center"/>
                    <w:textAlignment w:val="auto"/>
                    <w:rPr>
                      <w:rFonts w:ascii="Times New Roman" w:hAnsi="Times New Roman" w:eastAsia="宋体" w:cs="Times New Roman"/>
                      <w:color w:val="auto"/>
                      <w:kern w:val="0"/>
                      <w:sz w:val="21"/>
                      <w:szCs w:val="21"/>
                      <w:lang w:val="en-US" w:eastAsia="zh-CN" w:bidi="ar-SA"/>
                    </w:rPr>
                  </w:pPr>
                  <w:r>
                    <w:rPr>
                      <w:color w:val="auto"/>
                      <w:sz w:val="21"/>
                      <w:szCs w:val="21"/>
                      <w:lang w:val="en-US" w:eastAsia="zh-CN"/>
                    </w:rPr>
                    <w:t>WS001</w:t>
                  </w:r>
                </w:p>
              </w:tc>
              <w:tc>
                <w:tcPr>
                  <w:tcW w:w="555" w:type="pct"/>
                  <w:noWrap w:val="0"/>
                  <w:vAlign w:val="center"/>
                </w:tcPr>
                <w:p w14:paraId="6EC64A6A">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color w:val="auto"/>
                      <w:sz w:val="21"/>
                      <w:szCs w:val="21"/>
                      <w:lang w:val="en-US" w:eastAsia="zh-CN"/>
                    </w:rPr>
                  </w:pPr>
                  <w:r>
                    <w:rPr>
                      <w:color w:val="auto"/>
                      <w:sz w:val="21"/>
                      <w:szCs w:val="21"/>
                      <w:lang w:val="en-US" w:eastAsia="zh-CN"/>
                    </w:rPr>
                    <w:sym w:font="Wingdings" w:char="00FE"/>
                  </w:r>
                  <w:r>
                    <w:rPr>
                      <w:color w:val="auto"/>
                      <w:sz w:val="21"/>
                      <w:szCs w:val="21"/>
                      <w:lang w:val="en-US" w:eastAsia="zh-CN"/>
                    </w:rPr>
                    <w:t>是</w:t>
                  </w:r>
                </w:p>
                <w:p w14:paraId="33225C21">
                  <w:pPr>
                    <w:pStyle w:val="20"/>
                    <w:keepNext w:val="0"/>
                    <w:keepLines w:val="0"/>
                    <w:pageBreakBefore w:val="0"/>
                    <w:widowControl/>
                    <w:kinsoku/>
                    <w:wordWrap/>
                    <w:overflowPunct/>
                    <w:topLinePunct w:val="0"/>
                    <w:autoSpaceDE/>
                    <w:autoSpaceDN/>
                    <w:bidi w:val="0"/>
                    <w:adjustRightInd/>
                    <w:snapToGrid/>
                    <w:spacing w:before="0" w:after="0" w:line="220" w:lineRule="exact"/>
                    <w:ind w:right="0" w:rightChars="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r>
                    <w:rPr>
                      <w:color w:val="auto"/>
                      <w:sz w:val="21"/>
                      <w:szCs w:val="21"/>
                      <w:lang w:val="en-US" w:eastAsia="zh-CN"/>
                    </w:rPr>
                    <w:t>否</w:t>
                  </w:r>
                </w:p>
              </w:tc>
              <w:tc>
                <w:tcPr>
                  <w:tcW w:w="574" w:type="pct"/>
                  <w:noWrap w:val="0"/>
                  <w:vAlign w:val="center"/>
                </w:tcPr>
                <w:p w14:paraId="7EBC0A2C">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left"/>
                    <w:textAlignment w:val="auto"/>
                    <w:rPr>
                      <w:color w:val="auto"/>
                      <w:sz w:val="21"/>
                      <w:szCs w:val="21"/>
                      <w:lang w:val="en-US" w:eastAsia="zh-CN"/>
                    </w:rPr>
                  </w:pPr>
                  <w:r>
                    <w:rPr>
                      <w:color w:val="auto"/>
                      <w:sz w:val="21"/>
                      <w:szCs w:val="21"/>
                      <w:lang w:val="en-US" w:eastAsia="zh-CN"/>
                    </w:rPr>
                    <w:t>☑企业总排</w:t>
                  </w:r>
                </w:p>
                <w:p w14:paraId="3D333BBF">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left"/>
                    <w:textAlignment w:val="auto"/>
                    <w:rPr>
                      <w:color w:val="auto"/>
                      <w:sz w:val="21"/>
                      <w:szCs w:val="21"/>
                      <w:lang w:val="en-US" w:eastAsia="zh-CN"/>
                    </w:rPr>
                  </w:pPr>
                  <w:r>
                    <w:rPr>
                      <w:color w:val="auto"/>
                      <w:sz w:val="21"/>
                      <w:szCs w:val="21"/>
                      <w:lang w:val="en-US" w:eastAsia="zh-CN"/>
                    </w:rPr>
                    <w:t>□雨水排放</w:t>
                  </w:r>
                </w:p>
                <w:p w14:paraId="6ABD823B">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left"/>
                    <w:textAlignment w:val="auto"/>
                    <w:rPr>
                      <w:color w:val="auto"/>
                      <w:sz w:val="21"/>
                      <w:szCs w:val="21"/>
                      <w:lang w:val="en-US" w:eastAsia="zh-CN"/>
                    </w:rPr>
                  </w:pPr>
                  <w:r>
                    <w:rPr>
                      <w:color w:val="auto"/>
                      <w:sz w:val="21"/>
                      <w:szCs w:val="21"/>
                      <w:lang w:val="en-US" w:eastAsia="zh-CN"/>
                    </w:rPr>
                    <w:t>□清净下水排放</w:t>
                  </w:r>
                </w:p>
                <w:p w14:paraId="4F9AF525">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left"/>
                    <w:textAlignment w:val="auto"/>
                    <w:rPr>
                      <w:color w:val="auto"/>
                      <w:sz w:val="21"/>
                      <w:szCs w:val="21"/>
                      <w:lang w:val="en-US" w:eastAsia="zh-CN"/>
                    </w:rPr>
                  </w:pPr>
                  <w:r>
                    <w:rPr>
                      <w:color w:val="auto"/>
                      <w:sz w:val="21"/>
                      <w:szCs w:val="21"/>
                      <w:lang w:val="en-US" w:eastAsia="zh-CN"/>
                    </w:rPr>
                    <w:t>□温排水排放</w:t>
                  </w:r>
                </w:p>
                <w:p w14:paraId="2901BAAD">
                  <w:pPr>
                    <w:pStyle w:val="20"/>
                    <w:keepNext w:val="0"/>
                    <w:keepLines w:val="0"/>
                    <w:pageBreakBefore w:val="0"/>
                    <w:widowControl/>
                    <w:kinsoku/>
                    <w:wordWrap/>
                    <w:overflowPunct/>
                    <w:topLinePunct w:val="0"/>
                    <w:autoSpaceDE/>
                    <w:autoSpaceDN/>
                    <w:bidi w:val="0"/>
                    <w:adjustRightInd/>
                    <w:snapToGrid/>
                    <w:spacing w:before="0" w:after="0" w:line="220" w:lineRule="exact"/>
                    <w:ind w:right="0" w:rightChars="0" w:firstLine="0" w:firstLineChars="0"/>
                    <w:jc w:val="left"/>
                    <w:textAlignment w:val="auto"/>
                    <w:rPr>
                      <w:rFonts w:ascii="Times New Roman" w:hAnsi="Times New Roman" w:eastAsia="宋体" w:cs="Times New Roman"/>
                      <w:color w:val="auto"/>
                      <w:kern w:val="0"/>
                      <w:sz w:val="21"/>
                      <w:szCs w:val="21"/>
                      <w:lang w:val="en-US" w:eastAsia="zh-CN" w:bidi="ar-SA"/>
                    </w:rPr>
                  </w:pPr>
                  <w:r>
                    <w:rPr>
                      <w:color w:val="auto"/>
                      <w:sz w:val="21"/>
                      <w:szCs w:val="21"/>
                      <w:lang w:val="en-US" w:eastAsia="zh-CN"/>
                    </w:rPr>
                    <w:t>□车间或车间处理设施排放</w:t>
                  </w:r>
                </w:p>
              </w:tc>
            </w:tr>
          </w:tbl>
          <w:p w14:paraId="083CCF95">
            <w:pPr>
              <w:pStyle w:val="20"/>
              <w:keepNext w:val="0"/>
              <w:keepLines w:val="0"/>
              <w:pageBreakBefore w:val="0"/>
              <w:widowControl/>
              <w:kinsoku/>
              <w:wordWrap/>
              <w:overflowPunct/>
              <w:topLinePunct w:val="0"/>
              <w:autoSpaceDE/>
              <w:autoSpaceDN/>
              <w:bidi w:val="0"/>
              <w:adjustRightInd/>
              <w:snapToGrid/>
              <w:spacing w:before="0" w:after="0" w:line="480" w:lineRule="exact"/>
              <w:ind w:right="0" w:firstLineChars="200"/>
              <w:textAlignment w:val="auto"/>
              <w:rPr>
                <w:rFonts w:hint="default"/>
                <w:b/>
                <w:bCs/>
                <w:color w:val="auto"/>
                <w:sz w:val="24"/>
                <w:szCs w:val="24"/>
                <w:lang w:val="en-US" w:eastAsia="zh-CN"/>
              </w:rPr>
            </w:pPr>
            <w:r>
              <w:rPr>
                <w:color w:val="auto"/>
                <w:sz w:val="24"/>
                <w:szCs w:val="24"/>
                <w:lang w:val="en-US" w:eastAsia="zh-CN"/>
              </w:rPr>
              <w:t>②废水间接排放口基本情况见表4-</w:t>
            </w:r>
            <w:r>
              <w:rPr>
                <w:rFonts w:hint="eastAsia"/>
                <w:color w:val="auto"/>
                <w:sz w:val="24"/>
                <w:szCs w:val="24"/>
                <w:lang w:val="en-US" w:eastAsia="zh-CN"/>
              </w:rPr>
              <w:t>12</w:t>
            </w:r>
          </w:p>
          <w:p w14:paraId="5292A919">
            <w:pPr>
              <w:pStyle w:val="7"/>
              <w:spacing w:before="0" w:after="0" w:line="360" w:lineRule="exact"/>
              <w:ind w:right="0" w:firstLine="422" w:firstLineChars="200"/>
              <w:jc w:val="center"/>
              <w:rPr>
                <w:b/>
                <w:bCs/>
                <w:color w:val="auto"/>
                <w:sz w:val="21"/>
                <w:szCs w:val="21"/>
                <w:lang w:val="en-US" w:eastAsia="zh-CN"/>
              </w:rPr>
            </w:pPr>
            <w:r>
              <w:rPr>
                <w:b/>
                <w:bCs/>
                <w:color w:val="auto"/>
                <w:sz w:val="21"/>
                <w:szCs w:val="21"/>
                <w:lang w:val="en-US" w:eastAsia="zh-CN"/>
              </w:rPr>
              <w:t>表4-</w:t>
            </w:r>
            <w:r>
              <w:rPr>
                <w:rFonts w:hint="eastAsia"/>
                <w:b/>
                <w:bCs/>
                <w:color w:val="auto"/>
                <w:sz w:val="21"/>
                <w:szCs w:val="21"/>
                <w:lang w:val="en-US" w:eastAsia="zh-CN"/>
              </w:rPr>
              <w:t xml:space="preserve">12 </w:t>
            </w:r>
            <w:r>
              <w:rPr>
                <w:b/>
                <w:bCs/>
                <w:color w:val="auto"/>
                <w:sz w:val="21"/>
                <w:szCs w:val="21"/>
                <w:lang w:val="en-US" w:eastAsia="zh-CN"/>
              </w:rPr>
              <w:t xml:space="preserve"> 废水间接排放口基本情况表（目前执行标准）</w:t>
            </w:r>
          </w:p>
          <w:tbl>
            <w:tblPr>
              <w:tblStyle w:val="22"/>
              <w:tblW w:w="0" w:type="auto"/>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61"/>
              <w:gridCol w:w="881"/>
              <w:gridCol w:w="1548"/>
              <w:gridCol w:w="1423"/>
              <w:gridCol w:w="1117"/>
              <w:gridCol w:w="809"/>
              <w:gridCol w:w="1280"/>
              <w:gridCol w:w="818"/>
              <w:gridCol w:w="1280"/>
              <w:gridCol w:w="866"/>
              <w:gridCol w:w="2023"/>
            </w:tblGrid>
            <w:tr w14:paraId="5605A10C">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PrEx>
              <w:tc>
                <w:tcPr>
                  <w:tcW w:w="463" w:type="dxa"/>
                  <w:vMerge w:val="restart"/>
                  <w:tcBorders>
                    <w:top w:val="single" w:color="auto" w:sz="12" w:space="0"/>
                  </w:tcBorders>
                  <w:noWrap w:val="0"/>
                  <w:vAlign w:val="center"/>
                </w:tcPr>
                <w:p w14:paraId="12175028">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序号</w:t>
                  </w:r>
                </w:p>
              </w:tc>
              <w:tc>
                <w:tcPr>
                  <w:tcW w:w="881" w:type="dxa"/>
                  <w:vMerge w:val="restart"/>
                  <w:tcBorders>
                    <w:top w:val="single" w:color="auto" w:sz="12" w:space="0"/>
                  </w:tcBorders>
                  <w:noWrap w:val="0"/>
                  <w:vAlign w:val="center"/>
                </w:tcPr>
                <w:p w14:paraId="1AE02044">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排放口</w:t>
                  </w:r>
                </w:p>
                <w:p w14:paraId="4F17E845">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编号</w:t>
                  </w:r>
                </w:p>
              </w:tc>
              <w:tc>
                <w:tcPr>
                  <w:tcW w:w="2830" w:type="dxa"/>
                  <w:gridSpan w:val="2"/>
                  <w:tcBorders>
                    <w:top w:val="single" w:color="auto" w:sz="12" w:space="0"/>
                  </w:tcBorders>
                  <w:noWrap w:val="0"/>
                  <w:vAlign w:val="center"/>
                </w:tcPr>
                <w:p w14:paraId="1F155DBA">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排放口地理坐标</w:t>
                  </w:r>
                </w:p>
              </w:tc>
              <w:tc>
                <w:tcPr>
                  <w:tcW w:w="1127" w:type="dxa"/>
                  <w:vMerge w:val="restart"/>
                  <w:tcBorders>
                    <w:top w:val="single" w:color="auto" w:sz="12" w:space="0"/>
                  </w:tcBorders>
                  <w:noWrap w:val="0"/>
                  <w:vAlign w:val="center"/>
                </w:tcPr>
                <w:p w14:paraId="64ED2CF0">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废水排放量</w:t>
                  </w:r>
                </w:p>
                <w:p w14:paraId="31581650">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（t/a）</w:t>
                  </w:r>
                </w:p>
              </w:tc>
              <w:tc>
                <w:tcPr>
                  <w:tcW w:w="824" w:type="dxa"/>
                  <w:vMerge w:val="restart"/>
                  <w:tcBorders>
                    <w:top w:val="single" w:color="auto" w:sz="12" w:space="0"/>
                  </w:tcBorders>
                  <w:noWrap w:val="0"/>
                  <w:vAlign w:val="center"/>
                </w:tcPr>
                <w:p w14:paraId="48104EE6">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排放</w:t>
                  </w:r>
                </w:p>
                <w:p w14:paraId="1B885897">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去向</w:t>
                  </w:r>
                </w:p>
              </w:tc>
              <w:tc>
                <w:tcPr>
                  <w:tcW w:w="1306" w:type="dxa"/>
                  <w:vMerge w:val="restart"/>
                  <w:tcBorders>
                    <w:top w:val="single" w:color="auto" w:sz="12" w:space="0"/>
                  </w:tcBorders>
                  <w:noWrap w:val="0"/>
                  <w:vAlign w:val="center"/>
                </w:tcPr>
                <w:p w14:paraId="3540324A">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排放规律</w:t>
                  </w:r>
                </w:p>
              </w:tc>
              <w:tc>
                <w:tcPr>
                  <w:tcW w:w="834" w:type="dxa"/>
                  <w:vMerge w:val="restart"/>
                  <w:tcBorders>
                    <w:top w:val="single" w:color="auto" w:sz="12" w:space="0"/>
                  </w:tcBorders>
                  <w:noWrap w:val="0"/>
                  <w:vAlign w:val="center"/>
                </w:tcPr>
                <w:p w14:paraId="5A508D82">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间歇排放时段</w:t>
                  </w:r>
                </w:p>
              </w:tc>
              <w:tc>
                <w:tcPr>
                  <w:tcW w:w="4241" w:type="dxa"/>
                  <w:gridSpan w:val="3"/>
                  <w:tcBorders>
                    <w:top w:val="single" w:color="auto" w:sz="12" w:space="0"/>
                  </w:tcBorders>
                  <w:noWrap w:val="0"/>
                  <w:vAlign w:val="center"/>
                </w:tcPr>
                <w:p w14:paraId="40C3A93D">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受纳污水处理厂信息</w:t>
                  </w:r>
                </w:p>
              </w:tc>
            </w:tr>
            <w:tr w14:paraId="65D5AD42">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63" w:type="dxa"/>
                  <w:vMerge w:val="continue"/>
                  <w:noWrap w:val="0"/>
                  <w:vAlign w:val="center"/>
                </w:tcPr>
                <w:p w14:paraId="4FB07731">
                  <w:pPr>
                    <w:pStyle w:val="20"/>
                    <w:spacing w:before="0" w:after="0" w:line="260" w:lineRule="exact"/>
                    <w:ind w:right="0" w:firstLine="0" w:firstLineChars="0"/>
                    <w:jc w:val="center"/>
                    <w:rPr>
                      <w:b/>
                      <w:bCs/>
                      <w:color w:val="auto"/>
                      <w:sz w:val="21"/>
                      <w:szCs w:val="21"/>
                      <w:lang w:val="en-US" w:eastAsia="zh-CN"/>
                    </w:rPr>
                  </w:pPr>
                </w:p>
              </w:tc>
              <w:tc>
                <w:tcPr>
                  <w:tcW w:w="881" w:type="dxa"/>
                  <w:vMerge w:val="continue"/>
                  <w:noWrap w:val="0"/>
                  <w:vAlign w:val="center"/>
                </w:tcPr>
                <w:p w14:paraId="02BA1E7B">
                  <w:pPr>
                    <w:pStyle w:val="20"/>
                    <w:spacing w:before="0" w:after="0" w:line="260" w:lineRule="exact"/>
                    <w:ind w:right="0" w:firstLine="0" w:firstLineChars="0"/>
                    <w:jc w:val="center"/>
                    <w:rPr>
                      <w:b/>
                      <w:bCs/>
                      <w:color w:val="auto"/>
                      <w:sz w:val="21"/>
                      <w:szCs w:val="21"/>
                      <w:lang w:val="en-US" w:eastAsia="zh-CN"/>
                    </w:rPr>
                  </w:pPr>
                </w:p>
              </w:tc>
              <w:tc>
                <w:tcPr>
                  <w:tcW w:w="1407" w:type="dxa"/>
                  <w:noWrap w:val="0"/>
                  <w:vAlign w:val="center"/>
                </w:tcPr>
                <w:p w14:paraId="3D37511F">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经度</w:t>
                  </w:r>
                </w:p>
              </w:tc>
              <w:tc>
                <w:tcPr>
                  <w:tcW w:w="1423" w:type="dxa"/>
                  <w:noWrap w:val="0"/>
                  <w:vAlign w:val="center"/>
                </w:tcPr>
                <w:p w14:paraId="754571F5">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纬度</w:t>
                  </w:r>
                </w:p>
              </w:tc>
              <w:tc>
                <w:tcPr>
                  <w:tcW w:w="1127" w:type="dxa"/>
                  <w:vMerge w:val="continue"/>
                  <w:noWrap w:val="0"/>
                  <w:vAlign w:val="center"/>
                </w:tcPr>
                <w:p w14:paraId="3E78796A">
                  <w:pPr>
                    <w:pStyle w:val="20"/>
                    <w:spacing w:before="0" w:after="0" w:line="260" w:lineRule="exact"/>
                    <w:ind w:right="0" w:firstLine="0" w:firstLineChars="0"/>
                    <w:jc w:val="center"/>
                    <w:rPr>
                      <w:b/>
                      <w:bCs/>
                      <w:color w:val="auto"/>
                      <w:sz w:val="21"/>
                      <w:szCs w:val="21"/>
                      <w:lang w:val="en-US" w:eastAsia="zh-CN"/>
                    </w:rPr>
                  </w:pPr>
                </w:p>
              </w:tc>
              <w:tc>
                <w:tcPr>
                  <w:tcW w:w="824" w:type="dxa"/>
                  <w:vMerge w:val="continue"/>
                  <w:noWrap w:val="0"/>
                  <w:vAlign w:val="center"/>
                </w:tcPr>
                <w:p w14:paraId="574E2820">
                  <w:pPr>
                    <w:pStyle w:val="20"/>
                    <w:spacing w:before="0" w:after="0" w:line="260" w:lineRule="exact"/>
                    <w:ind w:right="0" w:firstLine="0" w:firstLineChars="0"/>
                    <w:jc w:val="center"/>
                    <w:rPr>
                      <w:b/>
                      <w:bCs/>
                      <w:color w:val="auto"/>
                      <w:sz w:val="21"/>
                      <w:szCs w:val="21"/>
                      <w:lang w:val="en-US" w:eastAsia="zh-CN"/>
                    </w:rPr>
                  </w:pPr>
                </w:p>
              </w:tc>
              <w:tc>
                <w:tcPr>
                  <w:tcW w:w="1306" w:type="dxa"/>
                  <w:vMerge w:val="continue"/>
                  <w:noWrap w:val="0"/>
                  <w:vAlign w:val="center"/>
                </w:tcPr>
                <w:p w14:paraId="68F39348">
                  <w:pPr>
                    <w:pStyle w:val="20"/>
                    <w:spacing w:before="0" w:after="0" w:line="260" w:lineRule="exact"/>
                    <w:ind w:right="0" w:firstLine="0" w:firstLineChars="0"/>
                    <w:jc w:val="center"/>
                    <w:rPr>
                      <w:b/>
                      <w:bCs/>
                      <w:color w:val="auto"/>
                      <w:sz w:val="21"/>
                      <w:szCs w:val="21"/>
                      <w:lang w:val="en-US" w:eastAsia="zh-CN"/>
                    </w:rPr>
                  </w:pPr>
                </w:p>
              </w:tc>
              <w:tc>
                <w:tcPr>
                  <w:tcW w:w="834" w:type="dxa"/>
                  <w:vMerge w:val="continue"/>
                  <w:noWrap w:val="0"/>
                  <w:vAlign w:val="center"/>
                </w:tcPr>
                <w:p w14:paraId="072110C8">
                  <w:pPr>
                    <w:pStyle w:val="20"/>
                    <w:spacing w:before="0" w:after="0" w:line="260" w:lineRule="exact"/>
                    <w:ind w:right="0" w:firstLine="0" w:firstLineChars="0"/>
                    <w:jc w:val="center"/>
                    <w:rPr>
                      <w:b/>
                      <w:bCs/>
                      <w:color w:val="auto"/>
                      <w:sz w:val="21"/>
                      <w:szCs w:val="21"/>
                      <w:lang w:val="en-US" w:eastAsia="zh-CN"/>
                    </w:rPr>
                  </w:pPr>
                </w:p>
              </w:tc>
              <w:tc>
                <w:tcPr>
                  <w:tcW w:w="1314" w:type="dxa"/>
                  <w:noWrap w:val="0"/>
                  <w:vAlign w:val="center"/>
                </w:tcPr>
                <w:p w14:paraId="50F4DA85">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名称</w:t>
                  </w:r>
                </w:p>
              </w:tc>
              <w:tc>
                <w:tcPr>
                  <w:tcW w:w="868" w:type="dxa"/>
                  <w:noWrap w:val="0"/>
                  <w:vAlign w:val="center"/>
                </w:tcPr>
                <w:p w14:paraId="0A974F43">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污染物种类</w:t>
                  </w:r>
                </w:p>
              </w:tc>
              <w:tc>
                <w:tcPr>
                  <w:tcW w:w="2059" w:type="dxa"/>
                  <w:noWrap w:val="0"/>
                  <w:vAlign w:val="center"/>
                </w:tcPr>
                <w:p w14:paraId="7C50E9F5">
                  <w:pPr>
                    <w:pStyle w:val="20"/>
                    <w:spacing w:before="0" w:after="0" w:line="260" w:lineRule="exact"/>
                    <w:ind w:right="0" w:firstLine="0" w:firstLineChars="0"/>
                    <w:jc w:val="center"/>
                    <w:rPr>
                      <w:b/>
                      <w:bCs/>
                      <w:color w:val="auto"/>
                      <w:sz w:val="21"/>
                      <w:szCs w:val="21"/>
                      <w:lang w:val="en-US" w:eastAsia="zh-CN"/>
                    </w:rPr>
                  </w:pPr>
                  <w:r>
                    <w:rPr>
                      <w:b/>
                      <w:bCs/>
                      <w:color w:val="auto"/>
                      <w:sz w:val="21"/>
                      <w:szCs w:val="21"/>
                      <w:lang w:val="en-US" w:eastAsia="zh-CN"/>
                    </w:rPr>
                    <w:t>国家或地方污染物排放标准浓度限值/（mg/L）</w:t>
                  </w:r>
                </w:p>
              </w:tc>
            </w:tr>
            <w:tr w14:paraId="4EE7325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7" w:hRule="atLeast"/>
              </w:trPr>
              <w:tc>
                <w:tcPr>
                  <w:tcW w:w="463" w:type="dxa"/>
                  <w:vMerge w:val="restart"/>
                  <w:noWrap w:val="0"/>
                  <w:vAlign w:val="center"/>
                </w:tcPr>
                <w:p w14:paraId="6A62EF3F">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1</w:t>
                  </w:r>
                </w:p>
              </w:tc>
              <w:tc>
                <w:tcPr>
                  <w:tcW w:w="881" w:type="dxa"/>
                  <w:vMerge w:val="restart"/>
                  <w:noWrap w:val="0"/>
                  <w:vAlign w:val="center"/>
                </w:tcPr>
                <w:p w14:paraId="304A7BA6">
                  <w:pPr>
                    <w:pStyle w:val="20"/>
                    <w:spacing w:before="0" w:after="0" w:line="260" w:lineRule="exact"/>
                    <w:ind w:right="0" w:firstLine="0" w:firstLineChars="0"/>
                    <w:jc w:val="center"/>
                    <w:rPr>
                      <w:color w:val="auto"/>
                      <w:sz w:val="21"/>
                      <w:szCs w:val="21"/>
                      <w:lang w:val="en-US" w:eastAsia="zh-CN"/>
                    </w:rPr>
                  </w:pPr>
                  <w:r>
                    <w:rPr>
                      <w:rFonts w:hint="eastAsia"/>
                      <w:color w:val="auto"/>
                      <w:sz w:val="21"/>
                      <w:szCs w:val="21"/>
                      <w:lang w:val="en-US" w:eastAsia="zh-CN"/>
                    </w:rPr>
                    <w:t>DW</w:t>
                  </w:r>
                  <w:r>
                    <w:rPr>
                      <w:color w:val="auto"/>
                      <w:sz w:val="21"/>
                      <w:szCs w:val="21"/>
                      <w:lang w:val="en-US" w:eastAsia="zh-CN"/>
                    </w:rPr>
                    <w:t>001</w:t>
                  </w:r>
                </w:p>
              </w:tc>
              <w:tc>
                <w:tcPr>
                  <w:tcW w:w="1407" w:type="dxa"/>
                  <w:vMerge w:val="restart"/>
                  <w:noWrap w:val="0"/>
                  <w:vAlign w:val="center"/>
                </w:tcPr>
                <w:p w14:paraId="3F2C1C0D">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rFonts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119</w:t>
                  </w:r>
                  <w:r>
                    <w:rPr>
                      <w:rFonts w:hint="eastAsia" w:ascii="微软雅黑" w:hAnsi="微软雅黑" w:eastAsia="微软雅黑" w:cs="微软雅黑"/>
                      <w:color w:val="auto"/>
                      <w:sz w:val="21"/>
                      <w:szCs w:val="21"/>
                      <w:lang w:val="en-US" w:eastAsia="zh-CN"/>
                    </w:rPr>
                    <w:t>⁰</w:t>
                  </w:r>
                  <w:r>
                    <w:rPr>
                      <w:rFonts w:hint="eastAsia" w:ascii="Times New Roman" w:hAnsi="Times New Roman" w:cs="Times New Roman"/>
                      <w:color w:val="auto"/>
                      <w:sz w:val="21"/>
                      <w:szCs w:val="21"/>
                      <w:lang w:val="en-US" w:eastAsia="zh-CN"/>
                    </w:rPr>
                    <w:t>34'1.405"</w:t>
                  </w:r>
                </w:p>
              </w:tc>
              <w:tc>
                <w:tcPr>
                  <w:tcW w:w="1423" w:type="dxa"/>
                  <w:vMerge w:val="restart"/>
                  <w:noWrap w:val="0"/>
                  <w:vAlign w:val="center"/>
                </w:tcPr>
                <w:p w14:paraId="060EE538">
                  <w:pPr>
                    <w:pStyle w:val="20"/>
                    <w:keepNext w:val="0"/>
                    <w:keepLines w:val="0"/>
                    <w:pageBreakBefore w:val="0"/>
                    <w:widowControl/>
                    <w:kinsoku/>
                    <w:wordWrap/>
                    <w:overflowPunct/>
                    <w:topLinePunct w:val="0"/>
                    <w:autoSpaceDE/>
                    <w:autoSpaceDN/>
                    <w:bidi w:val="0"/>
                    <w:adjustRightInd/>
                    <w:snapToGrid/>
                    <w:spacing w:before="0" w:after="0" w:line="220" w:lineRule="exact"/>
                    <w:ind w:right="0" w:firstLine="0" w:firstLineChars="0"/>
                    <w:jc w:val="center"/>
                    <w:textAlignment w:val="auto"/>
                    <w:rPr>
                      <w:rFonts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w:t>
                  </w:r>
                  <w:r>
                    <w:rPr>
                      <w:rFonts w:hint="eastAsia" w:ascii="微软雅黑" w:hAnsi="微软雅黑" w:eastAsia="微软雅黑" w:cs="微软雅黑"/>
                      <w:color w:val="auto"/>
                      <w:sz w:val="21"/>
                      <w:szCs w:val="21"/>
                      <w:lang w:val="en-US" w:eastAsia="zh-CN"/>
                    </w:rPr>
                    <w:t>°</w:t>
                  </w:r>
                  <w:r>
                    <w:rPr>
                      <w:rFonts w:hint="eastAsia" w:ascii="Times New Roman" w:hAnsi="Times New Roman" w:cs="Times New Roman"/>
                      <w:color w:val="auto"/>
                      <w:sz w:val="21"/>
                      <w:szCs w:val="21"/>
                      <w:lang w:val="en-US" w:eastAsia="zh-CN"/>
                    </w:rPr>
                    <w:t>45'45.065"</w:t>
                  </w:r>
                </w:p>
              </w:tc>
              <w:tc>
                <w:tcPr>
                  <w:tcW w:w="1127" w:type="dxa"/>
                  <w:vMerge w:val="restart"/>
                  <w:noWrap w:val="0"/>
                  <w:vAlign w:val="center"/>
                </w:tcPr>
                <w:p w14:paraId="1B418514">
                  <w:pPr>
                    <w:pStyle w:val="20"/>
                    <w:spacing w:before="0" w:after="0" w:line="260" w:lineRule="exact"/>
                    <w:ind w:right="0" w:firstLine="0" w:firstLineChars="0"/>
                    <w:jc w:val="center"/>
                    <w:rPr>
                      <w:rFonts w:hint="default"/>
                      <w:color w:val="auto"/>
                      <w:sz w:val="21"/>
                      <w:szCs w:val="21"/>
                      <w:lang w:val="en-US" w:eastAsia="zh-CN"/>
                    </w:rPr>
                  </w:pPr>
                  <w:r>
                    <w:rPr>
                      <w:rFonts w:hint="eastAsia"/>
                      <w:color w:val="auto"/>
                      <w:sz w:val="21"/>
                      <w:szCs w:val="21"/>
                      <w:lang w:val="en-US" w:eastAsia="zh-CN"/>
                    </w:rPr>
                    <w:t>83.52</w:t>
                  </w:r>
                </w:p>
              </w:tc>
              <w:tc>
                <w:tcPr>
                  <w:tcW w:w="824" w:type="dxa"/>
                  <w:vMerge w:val="restart"/>
                  <w:noWrap w:val="0"/>
                  <w:vAlign w:val="center"/>
                </w:tcPr>
                <w:p w14:paraId="6137207B">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进入城市污水处理厂</w:t>
                  </w:r>
                </w:p>
              </w:tc>
              <w:tc>
                <w:tcPr>
                  <w:tcW w:w="1306" w:type="dxa"/>
                  <w:vMerge w:val="restart"/>
                  <w:noWrap w:val="0"/>
                  <w:vAlign w:val="center"/>
                </w:tcPr>
                <w:p w14:paraId="2A0EF16D">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间歇排放、流量不稳定，但有周期性规律</w:t>
                  </w:r>
                </w:p>
              </w:tc>
              <w:tc>
                <w:tcPr>
                  <w:tcW w:w="834" w:type="dxa"/>
                  <w:vMerge w:val="restart"/>
                  <w:noWrap w:val="0"/>
                  <w:vAlign w:val="center"/>
                </w:tcPr>
                <w:p w14:paraId="60FBCEC8">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w:t>
                  </w:r>
                </w:p>
              </w:tc>
              <w:tc>
                <w:tcPr>
                  <w:tcW w:w="1314" w:type="dxa"/>
                  <w:vMerge w:val="restart"/>
                  <w:noWrap w:val="0"/>
                  <w:vAlign w:val="center"/>
                </w:tcPr>
                <w:p w14:paraId="7FB618A2">
                  <w:pPr>
                    <w:pStyle w:val="20"/>
                    <w:spacing w:before="0" w:after="0" w:line="260" w:lineRule="exact"/>
                    <w:ind w:right="0" w:firstLine="0" w:firstLineChars="0"/>
                    <w:jc w:val="center"/>
                    <w:rPr>
                      <w:color w:val="auto"/>
                      <w:sz w:val="21"/>
                      <w:szCs w:val="21"/>
                      <w:lang w:val="en-US" w:eastAsia="zh-CN"/>
                    </w:rPr>
                  </w:pPr>
                  <w:r>
                    <w:rPr>
                      <w:rFonts w:hint="eastAsia"/>
                      <w:color w:val="auto"/>
                      <w:sz w:val="21"/>
                      <w:szCs w:val="21"/>
                      <w:lang w:val="en-US" w:eastAsia="zh-CN"/>
                    </w:rPr>
                    <w:t>常州金坛区第二污水处理有限公司</w:t>
                  </w:r>
                </w:p>
              </w:tc>
              <w:tc>
                <w:tcPr>
                  <w:tcW w:w="868" w:type="dxa"/>
                  <w:noWrap w:val="0"/>
                  <w:vAlign w:val="center"/>
                </w:tcPr>
                <w:p w14:paraId="4F7B5BE9">
                  <w:pPr>
                    <w:pStyle w:val="20"/>
                    <w:spacing w:before="0" w:after="0" w:line="260" w:lineRule="exact"/>
                    <w:ind w:right="0" w:firstLine="0" w:firstLineChars="0"/>
                    <w:jc w:val="center"/>
                    <w:rPr>
                      <w:rFonts w:hint="default"/>
                      <w:color w:val="auto"/>
                      <w:sz w:val="21"/>
                      <w:szCs w:val="21"/>
                      <w:lang w:val="en-US" w:eastAsia="zh-CN"/>
                    </w:rPr>
                  </w:pPr>
                  <w:r>
                    <w:rPr>
                      <w:rFonts w:hint="eastAsia"/>
                      <w:color w:val="auto"/>
                      <w:sz w:val="21"/>
                      <w:szCs w:val="21"/>
                      <w:lang w:val="en-US" w:eastAsia="zh-CN"/>
                    </w:rPr>
                    <w:t>pH</w:t>
                  </w:r>
                </w:p>
              </w:tc>
              <w:tc>
                <w:tcPr>
                  <w:tcW w:w="2059" w:type="dxa"/>
                  <w:noWrap w:val="0"/>
                  <w:vAlign w:val="center"/>
                </w:tcPr>
                <w:p w14:paraId="39CDF9CF">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6-9</w:t>
                  </w:r>
                </w:p>
              </w:tc>
            </w:tr>
            <w:tr w14:paraId="0C123E9A">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7" w:hRule="atLeast"/>
              </w:trPr>
              <w:tc>
                <w:tcPr>
                  <w:tcW w:w="463" w:type="dxa"/>
                  <w:vMerge w:val="continue"/>
                  <w:noWrap w:val="0"/>
                  <w:vAlign w:val="center"/>
                </w:tcPr>
                <w:p w14:paraId="0932B3E3">
                  <w:pPr>
                    <w:spacing w:line="260" w:lineRule="exact"/>
                    <w:jc w:val="center"/>
                  </w:pPr>
                </w:p>
              </w:tc>
              <w:tc>
                <w:tcPr>
                  <w:tcW w:w="881" w:type="dxa"/>
                  <w:vMerge w:val="continue"/>
                  <w:noWrap w:val="0"/>
                  <w:vAlign w:val="center"/>
                </w:tcPr>
                <w:p w14:paraId="294064C4">
                  <w:pPr>
                    <w:spacing w:line="260" w:lineRule="exact"/>
                    <w:jc w:val="center"/>
                  </w:pPr>
                </w:p>
              </w:tc>
              <w:tc>
                <w:tcPr>
                  <w:tcW w:w="1407" w:type="dxa"/>
                  <w:vMerge w:val="continue"/>
                  <w:noWrap w:val="0"/>
                  <w:vAlign w:val="center"/>
                </w:tcPr>
                <w:p w14:paraId="22A54D2C">
                  <w:pPr>
                    <w:spacing w:line="260" w:lineRule="exact"/>
                    <w:jc w:val="center"/>
                  </w:pPr>
                </w:p>
              </w:tc>
              <w:tc>
                <w:tcPr>
                  <w:tcW w:w="1423" w:type="dxa"/>
                  <w:vMerge w:val="continue"/>
                  <w:noWrap w:val="0"/>
                  <w:vAlign w:val="center"/>
                </w:tcPr>
                <w:p w14:paraId="125F64C1">
                  <w:pPr>
                    <w:spacing w:line="260" w:lineRule="exact"/>
                    <w:jc w:val="center"/>
                  </w:pPr>
                </w:p>
              </w:tc>
              <w:tc>
                <w:tcPr>
                  <w:tcW w:w="1127" w:type="dxa"/>
                  <w:vMerge w:val="continue"/>
                  <w:noWrap w:val="0"/>
                  <w:vAlign w:val="center"/>
                </w:tcPr>
                <w:p w14:paraId="4058830C">
                  <w:pPr>
                    <w:spacing w:line="260" w:lineRule="exact"/>
                    <w:jc w:val="center"/>
                  </w:pPr>
                </w:p>
              </w:tc>
              <w:tc>
                <w:tcPr>
                  <w:tcW w:w="824" w:type="dxa"/>
                  <w:vMerge w:val="continue"/>
                  <w:noWrap w:val="0"/>
                  <w:vAlign w:val="center"/>
                </w:tcPr>
                <w:p w14:paraId="7F4AC0D5">
                  <w:pPr>
                    <w:spacing w:line="260" w:lineRule="exact"/>
                    <w:jc w:val="center"/>
                  </w:pPr>
                </w:p>
              </w:tc>
              <w:tc>
                <w:tcPr>
                  <w:tcW w:w="1306" w:type="dxa"/>
                  <w:vMerge w:val="continue"/>
                  <w:noWrap w:val="0"/>
                  <w:vAlign w:val="center"/>
                </w:tcPr>
                <w:p w14:paraId="1E889E9E">
                  <w:pPr>
                    <w:spacing w:line="260" w:lineRule="exact"/>
                    <w:jc w:val="center"/>
                  </w:pPr>
                </w:p>
              </w:tc>
              <w:tc>
                <w:tcPr>
                  <w:tcW w:w="834" w:type="dxa"/>
                  <w:vMerge w:val="continue"/>
                  <w:noWrap w:val="0"/>
                  <w:vAlign w:val="center"/>
                </w:tcPr>
                <w:p w14:paraId="569E5ABF">
                  <w:pPr>
                    <w:spacing w:line="260" w:lineRule="exact"/>
                    <w:jc w:val="center"/>
                  </w:pPr>
                </w:p>
              </w:tc>
              <w:tc>
                <w:tcPr>
                  <w:tcW w:w="1314" w:type="dxa"/>
                  <w:vMerge w:val="continue"/>
                  <w:noWrap w:val="0"/>
                  <w:vAlign w:val="center"/>
                </w:tcPr>
                <w:p w14:paraId="5801A09F">
                  <w:pPr>
                    <w:spacing w:line="260" w:lineRule="exact"/>
                    <w:jc w:val="center"/>
                  </w:pPr>
                </w:p>
              </w:tc>
              <w:tc>
                <w:tcPr>
                  <w:tcW w:w="868" w:type="dxa"/>
                  <w:noWrap w:val="0"/>
                  <w:vAlign w:val="center"/>
                </w:tcPr>
                <w:p w14:paraId="2613743C">
                  <w:pPr>
                    <w:pStyle w:val="20"/>
                    <w:spacing w:before="0" w:after="0" w:line="260" w:lineRule="exact"/>
                    <w:ind w:right="0" w:rightChars="0"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lang w:val="en-US" w:eastAsia="zh-CN"/>
                    </w:rPr>
                    <w:t>COD</w:t>
                  </w:r>
                </w:p>
              </w:tc>
              <w:tc>
                <w:tcPr>
                  <w:tcW w:w="2059" w:type="dxa"/>
                  <w:noWrap w:val="0"/>
                  <w:vAlign w:val="center"/>
                </w:tcPr>
                <w:p w14:paraId="678BAE17">
                  <w:pPr>
                    <w:spacing w:line="260" w:lineRule="exact"/>
                    <w:jc w:val="center"/>
                    <w:rPr>
                      <w:rFonts w:hint="eastAsia" w:ascii="Times New Roman" w:hAnsi="Times New Roman" w:eastAsia="宋体" w:cs="Times New Roman"/>
                      <w:color w:val="auto"/>
                      <w:kern w:val="2"/>
                      <w:sz w:val="21"/>
                      <w:szCs w:val="21"/>
                      <w:lang w:val="en-US" w:eastAsia="zh-CN" w:bidi="ar-SA"/>
                    </w:rPr>
                  </w:pPr>
                  <w:r>
                    <w:rPr>
                      <w:color w:val="auto"/>
                      <w:sz w:val="21"/>
                      <w:szCs w:val="21"/>
                    </w:rPr>
                    <w:t>50</w:t>
                  </w:r>
                  <w:r>
                    <w:rPr>
                      <w:rFonts w:hint="eastAsia"/>
                      <w:color w:val="auto"/>
                      <w:sz w:val="21"/>
                      <w:szCs w:val="21"/>
                      <w:lang w:val="en-US" w:eastAsia="zh-CN"/>
                    </w:rPr>
                    <w:t>0</w:t>
                  </w:r>
                </w:p>
              </w:tc>
            </w:tr>
            <w:tr w14:paraId="51EEF2A5">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63" w:type="dxa"/>
                  <w:noWrap w:val="0"/>
                  <w:vAlign w:val="center"/>
                </w:tcPr>
                <w:p w14:paraId="575D5E4F">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2</w:t>
                  </w:r>
                </w:p>
              </w:tc>
              <w:tc>
                <w:tcPr>
                  <w:tcW w:w="881" w:type="dxa"/>
                  <w:vMerge w:val="continue"/>
                  <w:noWrap w:val="0"/>
                  <w:vAlign w:val="center"/>
                </w:tcPr>
                <w:p w14:paraId="0E02C84B">
                  <w:pPr>
                    <w:pStyle w:val="20"/>
                    <w:spacing w:before="0" w:after="0" w:line="260" w:lineRule="exact"/>
                    <w:ind w:right="0" w:firstLine="0" w:firstLineChars="0"/>
                    <w:jc w:val="center"/>
                    <w:rPr>
                      <w:color w:val="auto"/>
                      <w:sz w:val="21"/>
                      <w:szCs w:val="21"/>
                      <w:lang w:val="en-US" w:eastAsia="zh-CN"/>
                    </w:rPr>
                  </w:pPr>
                </w:p>
              </w:tc>
              <w:tc>
                <w:tcPr>
                  <w:tcW w:w="1407" w:type="dxa"/>
                  <w:vMerge w:val="continue"/>
                  <w:noWrap w:val="0"/>
                  <w:vAlign w:val="center"/>
                </w:tcPr>
                <w:p w14:paraId="1AD74D7E">
                  <w:pPr>
                    <w:pStyle w:val="20"/>
                    <w:spacing w:before="0" w:after="0" w:line="260" w:lineRule="exact"/>
                    <w:ind w:right="0" w:firstLine="0" w:firstLineChars="0"/>
                    <w:jc w:val="center"/>
                    <w:rPr>
                      <w:color w:val="auto"/>
                      <w:sz w:val="21"/>
                      <w:szCs w:val="21"/>
                      <w:lang w:val="en-US" w:eastAsia="zh-CN"/>
                    </w:rPr>
                  </w:pPr>
                </w:p>
              </w:tc>
              <w:tc>
                <w:tcPr>
                  <w:tcW w:w="1423" w:type="dxa"/>
                  <w:vMerge w:val="continue"/>
                  <w:noWrap w:val="0"/>
                  <w:vAlign w:val="center"/>
                </w:tcPr>
                <w:p w14:paraId="54FCB8FD">
                  <w:pPr>
                    <w:pStyle w:val="20"/>
                    <w:spacing w:before="0" w:after="0" w:line="260" w:lineRule="exact"/>
                    <w:ind w:right="0" w:firstLine="0" w:firstLineChars="0"/>
                    <w:jc w:val="center"/>
                    <w:rPr>
                      <w:color w:val="auto"/>
                      <w:sz w:val="21"/>
                      <w:szCs w:val="21"/>
                      <w:lang w:val="en-US" w:eastAsia="zh-CN"/>
                    </w:rPr>
                  </w:pPr>
                </w:p>
              </w:tc>
              <w:tc>
                <w:tcPr>
                  <w:tcW w:w="1127" w:type="dxa"/>
                  <w:vMerge w:val="continue"/>
                  <w:noWrap w:val="0"/>
                  <w:vAlign w:val="center"/>
                </w:tcPr>
                <w:p w14:paraId="36DAD3F3">
                  <w:pPr>
                    <w:pStyle w:val="20"/>
                    <w:spacing w:before="0" w:after="0" w:line="260" w:lineRule="exact"/>
                    <w:ind w:right="0" w:firstLine="0" w:firstLineChars="0"/>
                    <w:jc w:val="center"/>
                    <w:rPr>
                      <w:color w:val="auto"/>
                      <w:sz w:val="21"/>
                      <w:szCs w:val="21"/>
                      <w:lang w:val="en-US" w:eastAsia="zh-CN"/>
                    </w:rPr>
                  </w:pPr>
                </w:p>
              </w:tc>
              <w:tc>
                <w:tcPr>
                  <w:tcW w:w="824" w:type="dxa"/>
                  <w:vMerge w:val="continue"/>
                  <w:noWrap w:val="0"/>
                  <w:vAlign w:val="center"/>
                </w:tcPr>
                <w:p w14:paraId="196DB8F1">
                  <w:pPr>
                    <w:pStyle w:val="20"/>
                    <w:spacing w:before="0" w:after="0" w:line="260" w:lineRule="exact"/>
                    <w:ind w:right="0" w:firstLine="0" w:firstLineChars="0"/>
                    <w:jc w:val="center"/>
                    <w:rPr>
                      <w:color w:val="auto"/>
                      <w:sz w:val="21"/>
                      <w:szCs w:val="21"/>
                      <w:lang w:val="en-US" w:eastAsia="zh-CN"/>
                    </w:rPr>
                  </w:pPr>
                </w:p>
              </w:tc>
              <w:tc>
                <w:tcPr>
                  <w:tcW w:w="1306" w:type="dxa"/>
                  <w:vMerge w:val="continue"/>
                  <w:noWrap w:val="0"/>
                  <w:vAlign w:val="center"/>
                </w:tcPr>
                <w:p w14:paraId="78953804">
                  <w:pPr>
                    <w:pStyle w:val="20"/>
                    <w:spacing w:before="0" w:after="0" w:line="260" w:lineRule="exact"/>
                    <w:ind w:right="0" w:firstLine="0" w:firstLineChars="0"/>
                    <w:jc w:val="center"/>
                    <w:rPr>
                      <w:color w:val="auto"/>
                      <w:sz w:val="21"/>
                      <w:szCs w:val="21"/>
                      <w:lang w:val="en-US" w:eastAsia="zh-CN"/>
                    </w:rPr>
                  </w:pPr>
                </w:p>
              </w:tc>
              <w:tc>
                <w:tcPr>
                  <w:tcW w:w="834" w:type="dxa"/>
                  <w:vMerge w:val="continue"/>
                  <w:noWrap w:val="0"/>
                  <w:vAlign w:val="center"/>
                </w:tcPr>
                <w:p w14:paraId="5530AFA8">
                  <w:pPr>
                    <w:pStyle w:val="20"/>
                    <w:spacing w:before="0" w:after="0" w:line="260" w:lineRule="exact"/>
                    <w:ind w:right="0" w:firstLine="0" w:firstLineChars="0"/>
                    <w:jc w:val="center"/>
                    <w:rPr>
                      <w:color w:val="auto"/>
                      <w:sz w:val="21"/>
                      <w:szCs w:val="21"/>
                      <w:lang w:val="en-US" w:eastAsia="zh-CN"/>
                    </w:rPr>
                  </w:pPr>
                </w:p>
              </w:tc>
              <w:tc>
                <w:tcPr>
                  <w:tcW w:w="1314" w:type="dxa"/>
                  <w:vMerge w:val="continue"/>
                  <w:noWrap w:val="0"/>
                  <w:vAlign w:val="center"/>
                </w:tcPr>
                <w:p w14:paraId="55B2ADE3">
                  <w:pPr>
                    <w:pStyle w:val="20"/>
                    <w:spacing w:before="0" w:after="0" w:line="260" w:lineRule="exact"/>
                    <w:ind w:right="0" w:firstLine="0" w:firstLineChars="0"/>
                    <w:jc w:val="center"/>
                    <w:rPr>
                      <w:color w:val="auto"/>
                      <w:sz w:val="21"/>
                      <w:szCs w:val="21"/>
                      <w:lang w:val="en-US" w:eastAsia="zh-CN"/>
                    </w:rPr>
                  </w:pPr>
                </w:p>
              </w:tc>
              <w:tc>
                <w:tcPr>
                  <w:tcW w:w="868" w:type="dxa"/>
                  <w:noWrap w:val="0"/>
                  <w:vAlign w:val="center"/>
                </w:tcPr>
                <w:p w14:paraId="1A50D25B">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SS</w:t>
                  </w:r>
                </w:p>
              </w:tc>
              <w:tc>
                <w:tcPr>
                  <w:tcW w:w="2059" w:type="dxa"/>
                  <w:noWrap w:val="0"/>
                  <w:vAlign w:val="center"/>
                </w:tcPr>
                <w:p w14:paraId="5080D10B">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250</w:t>
                  </w:r>
                </w:p>
              </w:tc>
            </w:tr>
            <w:tr w14:paraId="4D1F1850">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63" w:type="dxa"/>
                  <w:noWrap w:val="0"/>
                  <w:vAlign w:val="center"/>
                </w:tcPr>
                <w:p w14:paraId="32BD90AC">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3</w:t>
                  </w:r>
                </w:p>
              </w:tc>
              <w:tc>
                <w:tcPr>
                  <w:tcW w:w="881" w:type="dxa"/>
                  <w:vMerge w:val="continue"/>
                  <w:noWrap w:val="0"/>
                  <w:vAlign w:val="center"/>
                </w:tcPr>
                <w:p w14:paraId="2BAF2BD3">
                  <w:pPr>
                    <w:pStyle w:val="20"/>
                    <w:spacing w:before="0" w:after="0" w:line="260" w:lineRule="exact"/>
                    <w:ind w:right="0" w:firstLine="0" w:firstLineChars="0"/>
                    <w:jc w:val="center"/>
                    <w:rPr>
                      <w:color w:val="auto"/>
                      <w:sz w:val="21"/>
                      <w:szCs w:val="21"/>
                      <w:lang w:val="en-US" w:eastAsia="zh-CN"/>
                    </w:rPr>
                  </w:pPr>
                </w:p>
              </w:tc>
              <w:tc>
                <w:tcPr>
                  <w:tcW w:w="1407" w:type="dxa"/>
                  <w:vMerge w:val="continue"/>
                  <w:noWrap w:val="0"/>
                  <w:vAlign w:val="center"/>
                </w:tcPr>
                <w:p w14:paraId="11647A1B">
                  <w:pPr>
                    <w:pStyle w:val="20"/>
                    <w:spacing w:before="0" w:after="0" w:line="260" w:lineRule="exact"/>
                    <w:ind w:right="0" w:firstLine="0" w:firstLineChars="0"/>
                    <w:jc w:val="center"/>
                    <w:rPr>
                      <w:color w:val="auto"/>
                      <w:sz w:val="21"/>
                      <w:szCs w:val="21"/>
                      <w:lang w:val="en-US" w:eastAsia="zh-CN"/>
                    </w:rPr>
                  </w:pPr>
                </w:p>
              </w:tc>
              <w:tc>
                <w:tcPr>
                  <w:tcW w:w="1423" w:type="dxa"/>
                  <w:vMerge w:val="continue"/>
                  <w:noWrap w:val="0"/>
                  <w:vAlign w:val="center"/>
                </w:tcPr>
                <w:p w14:paraId="698AC362">
                  <w:pPr>
                    <w:pStyle w:val="20"/>
                    <w:spacing w:before="0" w:after="0" w:line="260" w:lineRule="exact"/>
                    <w:ind w:right="0" w:firstLine="0" w:firstLineChars="0"/>
                    <w:jc w:val="center"/>
                    <w:rPr>
                      <w:color w:val="auto"/>
                      <w:sz w:val="21"/>
                      <w:szCs w:val="21"/>
                      <w:lang w:val="en-US" w:eastAsia="zh-CN"/>
                    </w:rPr>
                  </w:pPr>
                </w:p>
              </w:tc>
              <w:tc>
                <w:tcPr>
                  <w:tcW w:w="1127" w:type="dxa"/>
                  <w:vMerge w:val="continue"/>
                  <w:noWrap w:val="0"/>
                  <w:vAlign w:val="center"/>
                </w:tcPr>
                <w:p w14:paraId="51E2E11D">
                  <w:pPr>
                    <w:pStyle w:val="20"/>
                    <w:spacing w:before="0" w:after="0" w:line="260" w:lineRule="exact"/>
                    <w:ind w:right="0" w:firstLine="0" w:firstLineChars="0"/>
                    <w:jc w:val="center"/>
                    <w:rPr>
                      <w:color w:val="auto"/>
                      <w:sz w:val="21"/>
                      <w:szCs w:val="21"/>
                      <w:lang w:val="en-US" w:eastAsia="zh-CN"/>
                    </w:rPr>
                  </w:pPr>
                </w:p>
              </w:tc>
              <w:tc>
                <w:tcPr>
                  <w:tcW w:w="824" w:type="dxa"/>
                  <w:vMerge w:val="continue"/>
                  <w:noWrap w:val="0"/>
                  <w:vAlign w:val="center"/>
                </w:tcPr>
                <w:p w14:paraId="6B104F4A">
                  <w:pPr>
                    <w:pStyle w:val="20"/>
                    <w:spacing w:before="0" w:after="0" w:line="260" w:lineRule="exact"/>
                    <w:ind w:right="0" w:firstLine="0" w:firstLineChars="0"/>
                    <w:jc w:val="center"/>
                    <w:rPr>
                      <w:color w:val="auto"/>
                      <w:sz w:val="21"/>
                      <w:szCs w:val="21"/>
                      <w:lang w:val="en-US" w:eastAsia="zh-CN"/>
                    </w:rPr>
                  </w:pPr>
                </w:p>
              </w:tc>
              <w:tc>
                <w:tcPr>
                  <w:tcW w:w="1306" w:type="dxa"/>
                  <w:vMerge w:val="continue"/>
                  <w:noWrap w:val="0"/>
                  <w:vAlign w:val="center"/>
                </w:tcPr>
                <w:p w14:paraId="5495D145">
                  <w:pPr>
                    <w:pStyle w:val="20"/>
                    <w:spacing w:before="0" w:after="0" w:line="260" w:lineRule="exact"/>
                    <w:ind w:right="0" w:firstLine="0" w:firstLineChars="0"/>
                    <w:jc w:val="center"/>
                    <w:rPr>
                      <w:color w:val="auto"/>
                      <w:sz w:val="21"/>
                      <w:szCs w:val="21"/>
                      <w:lang w:val="en-US" w:eastAsia="zh-CN"/>
                    </w:rPr>
                  </w:pPr>
                </w:p>
              </w:tc>
              <w:tc>
                <w:tcPr>
                  <w:tcW w:w="834" w:type="dxa"/>
                  <w:vMerge w:val="continue"/>
                  <w:noWrap w:val="0"/>
                  <w:vAlign w:val="center"/>
                </w:tcPr>
                <w:p w14:paraId="206CDF78">
                  <w:pPr>
                    <w:pStyle w:val="20"/>
                    <w:spacing w:before="0" w:after="0" w:line="260" w:lineRule="exact"/>
                    <w:ind w:right="0" w:firstLine="0" w:firstLineChars="0"/>
                    <w:jc w:val="center"/>
                    <w:rPr>
                      <w:color w:val="auto"/>
                      <w:sz w:val="21"/>
                      <w:szCs w:val="21"/>
                      <w:lang w:val="en-US" w:eastAsia="zh-CN"/>
                    </w:rPr>
                  </w:pPr>
                </w:p>
              </w:tc>
              <w:tc>
                <w:tcPr>
                  <w:tcW w:w="1314" w:type="dxa"/>
                  <w:vMerge w:val="continue"/>
                  <w:noWrap w:val="0"/>
                  <w:vAlign w:val="center"/>
                </w:tcPr>
                <w:p w14:paraId="2B82DB7D">
                  <w:pPr>
                    <w:pStyle w:val="20"/>
                    <w:spacing w:before="0" w:after="0" w:line="260" w:lineRule="exact"/>
                    <w:ind w:right="0" w:firstLine="0" w:firstLineChars="0"/>
                    <w:jc w:val="center"/>
                    <w:rPr>
                      <w:color w:val="auto"/>
                      <w:sz w:val="21"/>
                      <w:szCs w:val="21"/>
                      <w:lang w:val="en-US" w:eastAsia="zh-CN"/>
                    </w:rPr>
                  </w:pPr>
                </w:p>
              </w:tc>
              <w:tc>
                <w:tcPr>
                  <w:tcW w:w="868" w:type="dxa"/>
                  <w:noWrap w:val="0"/>
                  <w:vAlign w:val="center"/>
                </w:tcPr>
                <w:p w14:paraId="499FC841">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NH</w:t>
                  </w:r>
                  <w:r>
                    <w:rPr>
                      <w:color w:val="auto"/>
                      <w:sz w:val="21"/>
                      <w:szCs w:val="21"/>
                      <w:vertAlign w:val="subscript"/>
                      <w:lang w:val="en-US" w:eastAsia="zh-CN"/>
                    </w:rPr>
                    <w:t>3</w:t>
                  </w:r>
                  <w:r>
                    <w:rPr>
                      <w:color w:val="auto"/>
                      <w:sz w:val="21"/>
                      <w:szCs w:val="21"/>
                      <w:lang w:val="en-US" w:eastAsia="zh-CN"/>
                    </w:rPr>
                    <w:t>-N</w:t>
                  </w:r>
                </w:p>
              </w:tc>
              <w:tc>
                <w:tcPr>
                  <w:tcW w:w="2059" w:type="dxa"/>
                  <w:noWrap w:val="0"/>
                  <w:vAlign w:val="center"/>
                </w:tcPr>
                <w:p w14:paraId="7E374718">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35</w:t>
                  </w:r>
                </w:p>
              </w:tc>
            </w:tr>
            <w:tr w14:paraId="503E51A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63" w:type="dxa"/>
                  <w:noWrap w:val="0"/>
                  <w:vAlign w:val="center"/>
                </w:tcPr>
                <w:p w14:paraId="3F23667F">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4</w:t>
                  </w:r>
                </w:p>
              </w:tc>
              <w:tc>
                <w:tcPr>
                  <w:tcW w:w="881" w:type="dxa"/>
                  <w:vMerge w:val="continue"/>
                  <w:noWrap w:val="0"/>
                  <w:vAlign w:val="center"/>
                </w:tcPr>
                <w:p w14:paraId="5B08095A">
                  <w:pPr>
                    <w:pStyle w:val="20"/>
                    <w:spacing w:before="0" w:after="0" w:line="260" w:lineRule="exact"/>
                    <w:ind w:right="0" w:firstLine="0" w:firstLineChars="0"/>
                    <w:jc w:val="center"/>
                    <w:rPr>
                      <w:color w:val="auto"/>
                      <w:sz w:val="21"/>
                      <w:szCs w:val="21"/>
                      <w:lang w:val="en-US" w:eastAsia="zh-CN"/>
                    </w:rPr>
                  </w:pPr>
                </w:p>
              </w:tc>
              <w:tc>
                <w:tcPr>
                  <w:tcW w:w="1407" w:type="dxa"/>
                  <w:vMerge w:val="continue"/>
                  <w:noWrap w:val="0"/>
                  <w:vAlign w:val="center"/>
                </w:tcPr>
                <w:p w14:paraId="569B45F2">
                  <w:pPr>
                    <w:pStyle w:val="20"/>
                    <w:spacing w:before="0" w:after="0" w:line="260" w:lineRule="exact"/>
                    <w:ind w:right="0" w:firstLine="0" w:firstLineChars="0"/>
                    <w:jc w:val="center"/>
                    <w:rPr>
                      <w:color w:val="auto"/>
                      <w:sz w:val="21"/>
                      <w:szCs w:val="21"/>
                      <w:lang w:val="en-US" w:eastAsia="zh-CN"/>
                    </w:rPr>
                  </w:pPr>
                </w:p>
              </w:tc>
              <w:tc>
                <w:tcPr>
                  <w:tcW w:w="1423" w:type="dxa"/>
                  <w:vMerge w:val="continue"/>
                  <w:noWrap w:val="0"/>
                  <w:vAlign w:val="center"/>
                </w:tcPr>
                <w:p w14:paraId="028719D9">
                  <w:pPr>
                    <w:pStyle w:val="20"/>
                    <w:spacing w:before="0" w:after="0" w:line="260" w:lineRule="exact"/>
                    <w:ind w:right="0" w:firstLine="0" w:firstLineChars="0"/>
                    <w:jc w:val="center"/>
                    <w:rPr>
                      <w:color w:val="auto"/>
                      <w:sz w:val="21"/>
                      <w:szCs w:val="21"/>
                      <w:lang w:val="en-US" w:eastAsia="zh-CN"/>
                    </w:rPr>
                  </w:pPr>
                </w:p>
              </w:tc>
              <w:tc>
                <w:tcPr>
                  <w:tcW w:w="1127" w:type="dxa"/>
                  <w:vMerge w:val="continue"/>
                  <w:noWrap w:val="0"/>
                  <w:vAlign w:val="center"/>
                </w:tcPr>
                <w:p w14:paraId="769EE144">
                  <w:pPr>
                    <w:pStyle w:val="20"/>
                    <w:spacing w:before="0" w:after="0" w:line="260" w:lineRule="exact"/>
                    <w:ind w:right="0" w:firstLine="0" w:firstLineChars="0"/>
                    <w:jc w:val="center"/>
                    <w:rPr>
                      <w:color w:val="auto"/>
                      <w:sz w:val="21"/>
                      <w:szCs w:val="21"/>
                      <w:lang w:val="en-US" w:eastAsia="zh-CN"/>
                    </w:rPr>
                  </w:pPr>
                </w:p>
              </w:tc>
              <w:tc>
                <w:tcPr>
                  <w:tcW w:w="824" w:type="dxa"/>
                  <w:vMerge w:val="continue"/>
                  <w:noWrap w:val="0"/>
                  <w:vAlign w:val="center"/>
                </w:tcPr>
                <w:p w14:paraId="387EBFF6">
                  <w:pPr>
                    <w:pStyle w:val="20"/>
                    <w:spacing w:before="0" w:after="0" w:line="260" w:lineRule="exact"/>
                    <w:ind w:right="0" w:firstLine="0" w:firstLineChars="0"/>
                    <w:jc w:val="center"/>
                    <w:rPr>
                      <w:color w:val="auto"/>
                      <w:sz w:val="21"/>
                      <w:szCs w:val="21"/>
                      <w:lang w:val="en-US" w:eastAsia="zh-CN"/>
                    </w:rPr>
                  </w:pPr>
                </w:p>
              </w:tc>
              <w:tc>
                <w:tcPr>
                  <w:tcW w:w="1306" w:type="dxa"/>
                  <w:vMerge w:val="continue"/>
                  <w:noWrap w:val="0"/>
                  <w:vAlign w:val="center"/>
                </w:tcPr>
                <w:p w14:paraId="47B6630A">
                  <w:pPr>
                    <w:pStyle w:val="20"/>
                    <w:spacing w:before="0" w:after="0" w:line="260" w:lineRule="exact"/>
                    <w:ind w:right="0" w:firstLine="0" w:firstLineChars="0"/>
                    <w:jc w:val="center"/>
                    <w:rPr>
                      <w:color w:val="auto"/>
                      <w:sz w:val="21"/>
                      <w:szCs w:val="21"/>
                      <w:lang w:val="en-US" w:eastAsia="zh-CN"/>
                    </w:rPr>
                  </w:pPr>
                </w:p>
              </w:tc>
              <w:tc>
                <w:tcPr>
                  <w:tcW w:w="834" w:type="dxa"/>
                  <w:vMerge w:val="continue"/>
                  <w:noWrap w:val="0"/>
                  <w:vAlign w:val="center"/>
                </w:tcPr>
                <w:p w14:paraId="09C75D1C">
                  <w:pPr>
                    <w:pStyle w:val="20"/>
                    <w:spacing w:before="0" w:after="0" w:line="260" w:lineRule="exact"/>
                    <w:ind w:right="0" w:firstLine="0" w:firstLineChars="0"/>
                    <w:jc w:val="center"/>
                    <w:rPr>
                      <w:color w:val="auto"/>
                      <w:sz w:val="21"/>
                      <w:szCs w:val="21"/>
                      <w:lang w:val="en-US" w:eastAsia="zh-CN"/>
                    </w:rPr>
                  </w:pPr>
                </w:p>
              </w:tc>
              <w:tc>
                <w:tcPr>
                  <w:tcW w:w="1314" w:type="dxa"/>
                  <w:vMerge w:val="continue"/>
                  <w:noWrap w:val="0"/>
                  <w:vAlign w:val="center"/>
                </w:tcPr>
                <w:p w14:paraId="5812B3A0">
                  <w:pPr>
                    <w:pStyle w:val="20"/>
                    <w:spacing w:before="0" w:after="0" w:line="260" w:lineRule="exact"/>
                    <w:ind w:right="0" w:firstLine="0" w:firstLineChars="0"/>
                    <w:jc w:val="center"/>
                    <w:rPr>
                      <w:color w:val="auto"/>
                      <w:sz w:val="21"/>
                      <w:szCs w:val="21"/>
                      <w:lang w:val="en-US" w:eastAsia="zh-CN"/>
                    </w:rPr>
                  </w:pPr>
                </w:p>
              </w:tc>
              <w:tc>
                <w:tcPr>
                  <w:tcW w:w="868" w:type="dxa"/>
                  <w:noWrap w:val="0"/>
                  <w:vAlign w:val="center"/>
                </w:tcPr>
                <w:p w14:paraId="5112BA13">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TP</w:t>
                  </w:r>
                </w:p>
              </w:tc>
              <w:tc>
                <w:tcPr>
                  <w:tcW w:w="2059" w:type="dxa"/>
                  <w:noWrap w:val="0"/>
                  <w:vAlign w:val="center"/>
                </w:tcPr>
                <w:p w14:paraId="750D7386">
                  <w:pPr>
                    <w:spacing w:line="260" w:lineRule="exact"/>
                    <w:jc w:val="center"/>
                    <w:rPr>
                      <w:rFonts w:hint="default" w:eastAsia="宋体"/>
                      <w:color w:val="auto"/>
                      <w:sz w:val="21"/>
                      <w:szCs w:val="21"/>
                      <w:lang w:val="en-US" w:eastAsia="zh-CN"/>
                    </w:rPr>
                  </w:pPr>
                  <w:r>
                    <w:rPr>
                      <w:rFonts w:hint="eastAsia"/>
                      <w:color w:val="auto"/>
                      <w:sz w:val="21"/>
                      <w:szCs w:val="21"/>
                      <w:lang w:val="en-US" w:eastAsia="zh-CN"/>
                    </w:rPr>
                    <w:t>50</w:t>
                  </w:r>
                </w:p>
              </w:tc>
            </w:tr>
            <w:tr w14:paraId="1965364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63" w:type="dxa"/>
                  <w:noWrap w:val="0"/>
                  <w:vAlign w:val="center"/>
                </w:tcPr>
                <w:p w14:paraId="3EF95532">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5</w:t>
                  </w:r>
                </w:p>
              </w:tc>
              <w:tc>
                <w:tcPr>
                  <w:tcW w:w="881" w:type="dxa"/>
                  <w:vMerge w:val="continue"/>
                  <w:noWrap w:val="0"/>
                  <w:vAlign w:val="center"/>
                </w:tcPr>
                <w:p w14:paraId="6804F6B2">
                  <w:pPr>
                    <w:pStyle w:val="20"/>
                    <w:spacing w:before="0" w:after="0" w:line="260" w:lineRule="exact"/>
                    <w:ind w:right="0" w:firstLine="0" w:firstLineChars="0"/>
                    <w:jc w:val="center"/>
                    <w:rPr>
                      <w:color w:val="auto"/>
                      <w:sz w:val="21"/>
                      <w:szCs w:val="21"/>
                      <w:lang w:val="en-US" w:eastAsia="zh-CN"/>
                    </w:rPr>
                  </w:pPr>
                </w:p>
              </w:tc>
              <w:tc>
                <w:tcPr>
                  <w:tcW w:w="1407" w:type="dxa"/>
                  <w:vMerge w:val="continue"/>
                  <w:noWrap w:val="0"/>
                  <w:vAlign w:val="center"/>
                </w:tcPr>
                <w:p w14:paraId="03378E67">
                  <w:pPr>
                    <w:pStyle w:val="20"/>
                    <w:spacing w:before="0" w:after="0" w:line="260" w:lineRule="exact"/>
                    <w:ind w:right="0" w:firstLine="0" w:firstLineChars="0"/>
                    <w:jc w:val="center"/>
                    <w:rPr>
                      <w:color w:val="auto"/>
                      <w:sz w:val="21"/>
                      <w:szCs w:val="21"/>
                      <w:lang w:val="en-US" w:eastAsia="zh-CN"/>
                    </w:rPr>
                  </w:pPr>
                </w:p>
              </w:tc>
              <w:tc>
                <w:tcPr>
                  <w:tcW w:w="1423" w:type="dxa"/>
                  <w:vMerge w:val="continue"/>
                  <w:noWrap w:val="0"/>
                  <w:vAlign w:val="center"/>
                </w:tcPr>
                <w:p w14:paraId="74D90127">
                  <w:pPr>
                    <w:pStyle w:val="20"/>
                    <w:spacing w:before="0" w:after="0" w:line="260" w:lineRule="exact"/>
                    <w:ind w:right="0" w:firstLine="0" w:firstLineChars="0"/>
                    <w:jc w:val="center"/>
                    <w:rPr>
                      <w:color w:val="auto"/>
                      <w:sz w:val="21"/>
                      <w:szCs w:val="21"/>
                      <w:lang w:val="en-US" w:eastAsia="zh-CN"/>
                    </w:rPr>
                  </w:pPr>
                </w:p>
              </w:tc>
              <w:tc>
                <w:tcPr>
                  <w:tcW w:w="1127" w:type="dxa"/>
                  <w:vMerge w:val="continue"/>
                  <w:noWrap w:val="0"/>
                  <w:vAlign w:val="center"/>
                </w:tcPr>
                <w:p w14:paraId="5CDF2BC5">
                  <w:pPr>
                    <w:pStyle w:val="20"/>
                    <w:spacing w:before="0" w:after="0" w:line="260" w:lineRule="exact"/>
                    <w:ind w:right="0" w:firstLine="0" w:firstLineChars="0"/>
                    <w:jc w:val="center"/>
                    <w:rPr>
                      <w:color w:val="auto"/>
                      <w:sz w:val="21"/>
                      <w:szCs w:val="21"/>
                      <w:lang w:val="en-US" w:eastAsia="zh-CN"/>
                    </w:rPr>
                  </w:pPr>
                </w:p>
              </w:tc>
              <w:tc>
                <w:tcPr>
                  <w:tcW w:w="824" w:type="dxa"/>
                  <w:vMerge w:val="continue"/>
                  <w:noWrap w:val="0"/>
                  <w:vAlign w:val="center"/>
                </w:tcPr>
                <w:p w14:paraId="422FC15A">
                  <w:pPr>
                    <w:pStyle w:val="20"/>
                    <w:spacing w:before="0" w:after="0" w:line="260" w:lineRule="exact"/>
                    <w:ind w:right="0" w:firstLine="0" w:firstLineChars="0"/>
                    <w:jc w:val="center"/>
                    <w:rPr>
                      <w:color w:val="auto"/>
                      <w:sz w:val="21"/>
                      <w:szCs w:val="21"/>
                      <w:lang w:val="en-US" w:eastAsia="zh-CN"/>
                    </w:rPr>
                  </w:pPr>
                </w:p>
              </w:tc>
              <w:tc>
                <w:tcPr>
                  <w:tcW w:w="1306" w:type="dxa"/>
                  <w:vMerge w:val="continue"/>
                  <w:noWrap w:val="0"/>
                  <w:vAlign w:val="center"/>
                </w:tcPr>
                <w:p w14:paraId="48588987">
                  <w:pPr>
                    <w:pStyle w:val="20"/>
                    <w:spacing w:before="0" w:after="0" w:line="260" w:lineRule="exact"/>
                    <w:ind w:right="0" w:firstLine="0" w:firstLineChars="0"/>
                    <w:jc w:val="center"/>
                    <w:rPr>
                      <w:color w:val="auto"/>
                      <w:sz w:val="21"/>
                      <w:szCs w:val="21"/>
                      <w:lang w:val="en-US" w:eastAsia="zh-CN"/>
                    </w:rPr>
                  </w:pPr>
                </w:p>
              </w:tc>
              <w:tc>
                <w:tcPr>
                  <w:tcW w:w="834" w:type="dxa"/>
                  <w:vMerge w:val="continue"/>
                  <w:noWrap w:val="0"/>
                  <w:vAlign w:val="center"/>
                </w:tcPr>
                <w:p w14:paraId="0F8559EE">
                  <w:pPr>
                    <w:pStyle w:val="20"/>
                    <w:spacing w:before="0" w:after="0" w:line="260" w:lineRule="exact"/>
                    <w:ind w:right="0" w:firstLine="0" w:firstLineChars="0"/>
                    <w:jc w:val="center"/>
                    <w:rPr>
                      <w:color w:val="auto"/>
                      <w:sz w:val="21"/>
                      <w:szCs w:val="21"/>
                      <w:lang w:val="en-US" w:eastAsia="zh-CN"/>
                    </w:rPr>
                  </w:pPr>
                </w:p>
              </w:tc>
              <w:tc>
                <w:tcPr>
                  <w:tcW w:w="1314" w:type="dxa"/>
                  <w:vMerge w:val="continue"/>
                  <w:noWrap w:val="0"/>
                  <w:vAlign w:val="center"/>
                </w:tcPr>
                <w:p w14:paraId="0D27E686">
                  <w:pPr>
                    <w:pStyle w:val="20"/>
                    <w:spacing w:before="0" w:after="0" w:line="260" w:lineRule="exact"/>
                    <w:ind w:right="0" w:firstLine="0" w:firstLineChars="0"/>
                    <w:jc w:val="center"/>
                    <w:rPr>
                      <w:color w:val="auto"/>
                      <w:sz w:val="21"/>
                      <w:szCs w:val="21"/>
                      <w:lang w:val="en-US" w:eastAsia="zh-CN"/>
                    </w:rPr>
                  </w:pPr>
                </w:p>
              </w:tc>
              <w:tc>
                <w:tcPr>
                  <w:tcW w:w="868" w:type="dxa"/>
                  <w:noWrap w:val="0"/>
                  <w:vAlign w:val="center"/>
                </w:tcPr>
                <w:p w14:paraId="305F3877">
                  <w:pPr>
                    <w:pStyle w:val="20"/>
                    <w:spacing w:before="0" w:after="0" w:line="260" w:lineRule="exact"/>
                    <w:ind w:right="0" w:firstLine="0" w:firstLineChars="0"/>
                    <w:jc w:val="center"/>
                    <w:rPr>
                      <w:color w:val="auto"/>
                      <w:sz w:val="21"/>
                      <w:szCs w:val="21"/>
                      <w:lang w:val="en-US" w:eastAsia="zh-CN"/>
                    </w:rPr>
                  </w:pPr>
                  <w:r>
                    <w:rPr>
                      <w:color w:val="auto"/>
                      <w:sz w:val="21"/>
                      <w:szCs w:val="21"/>
                      <w:lang w:val="en-US" w:eastAsia="zh-CN"/>
                    </w:rPr>
                    <w:t>TN</w:t>
                  </w:r>
                </w:p>
              </w:tc>
              <w:tc>
                <w:tcPr>
                  <w:tcW w:w="2059" w:type="dxa"/>
                  <w:noWrap w:val="0"/>
                  <w:vAlign w:val="center"/>
                </w:tcPr>
                <w:p w14:paraId="687CA686">
                  <w:pPr>
                    <w:spacing w:line="260" w:lineRule="exact"/>
                    <w:jc w:val="center"/>
                    <w:rPr>
                      <w:rFonts w:hint="eastAsia" w:eastAsia="宋体"/>
                      <w:color w:val="auto"/>
                      <w:sz w:val="21"/>
                      <w:szCs w:val="21"/>
                      <w:lang w:eastAsia="zh-CN"/>
                    </w:rPr>
                  </w:pPr>
                  <w:r>
                    <w:rPr>
                      <w:rFonts w:hint="eastAsia"/>
                      <w:color w:val="auto"/>
                      <w:sz w:val="21"/>
                      <w:szCs w:val="21"/>
                      <w:lang w:val="en-US" w:eastAsia="zh-CN"/>
                    </w:rPr>
                    <w:t>3</w:t>
                  </w:r>
                </w:p>
              </w:tc>
            </w:tr>
          </w:tbl>
          <w:p w14:paraId="598BEA7C">
            <w:pPr>
              <w:jc w:val="left"/>
              <w:rPr>
                <w:b/>
                <w:bCs/>
                <w:color w:val="auto"/>
                <w:sz w:val="24"/>
                <w:szCs w:val="24"/>
              </w:rPr>
            </w:pPr>
          </w:p>
          <w:p w14:paraId="4EDD57F0">
            <w:pPr>
              <w:pStyle w:val="44"/>
              <w:spacing w:after="0" w:line="360" w:lineRule="exact"/>
              <w:jc w:val="center"/>
              <w:rPr>
                <w:color w:val="auto"/>
                <w:sz w:val="24"/>
                <w:szCs w:val="24"/>
              </w:rPr>
            </w:pPr>
          </w:p>
        </w:tc>
      </w:tr>
    </w:tbl>
    <w:p w14:paraId="69DE46FF">
      <w:pPr>
        <w:pStyle w:val="44"/>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515"/>
      </w:tblGrid>
      <w:tr w14:paraId="4F4C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3" w:hRule="atLeast"/>
        </w:trPr>
        <w:tc>
          <w:tcPr>
            <w:tcW w:w="546" w:type="dxa"/>
            <w:noWrap w:val="0"/>
            <w:vAlign w:val="center"/>
          </w:tcPr>
          <w:p w14:paraId="665C2A2E">
            <w:pPr>
              <w:pStyle w:val="11"/>
              <w:numPr>
                <w:ilvl w:val="0"/>
                <w:numId w:val="0"/>
              </w:numPr>
              <w:jc w:val="center"/>
              <w:rPr>
                <w:color w:val="auto"/>
                <w:sz w:val="24"/>
                <w:szCs w:val="24"/>
              </w:rPr>
            </w:pPr>
          </w:p>
          <w:p w14:paraId="6B10C428">
            <w:pPr>
              <w:adjustRightInd w:val="0"/>
              <w:snapToGrid w:val="0"/>
              <w:jc w:val="center"/>
              <w:rPr>
                <w:bCs/>
                <w:color w:val="auto"/>
                <w:sz w:val="24"/>
                <w:szCs w:val="24"/>
              </w:rPr>
            </w:pPr>
            <w:r>
              <w:rPr>
                <w:bCs/>
                <w:color w:val="auto"/>
                <w:sz w:val="24"/>
                <w:szCs w:val="24"/>
              </w:rPr>
              <w:t>运营</w:t>
            </w:r>
          </w:p>
          <w:p w14:paraId="3B85A4F7">
            <w:pPr>
              <w:adjustRightInd w:val="0"/>
              <w:snapToGrid w:val="0"/>
              <w:jc w:val="center"/>
              <w:rPr>
                <w:bCs/>
                <w:color w:val="auto"/>
                <w:sz w:val="24"/>
                <w:szCs w:val="24"/>
              </w:rPr>
            </w:pPr>
            <w:r>
              <w:rPr>
                <w:bCs/>
                <w:color w:val="auto"/>
                <w:sz w:val="24"/>
                <w:szCs w:val="24"/>
              </w:rPr>
              <w:t>期环</w:t>
            </w:r>
          </w:p>
          <w:p w14:paraId="3175A979">
            <w:pPr>
              <w:adjustRightInd w:val="0"/>
              <w:snapToGrid w:val="0"/>
              <w:jc w:val="center"/>
              <w:rPr>
                <w:bCs/>
                <w:color w:val="auto"/>
                <w:sz w:val="24"/>
                <w:szCs w:val="24"/>
              </w:rPr>
            </w:pPr>
            <w:r>
              <w:rPr>
                <w:bCs/>
                <w:color w:val="auto"/>
                <w:sz w:val="24"/>
                <w:szCs w:val="24"/>
              </w:rPr>
              <w:t>境影</w:t>
            </w:r>
          </w:p>
          <w:p w14:paraId="0E6FDD54">
            <w:pPr>
              <w:adjustRightInd w:val="0"/>
              <w:snapToGrid w:val="0"/>
              <w:jc w:val="center"/>
              <w:rPr>
                <w:bCs/>
                <w:color w:val="auto"/>
                <w:sz w:val="24"/>
                <w:szCs w:val="24"/>
              </w:rPr>
            </w:pPr>
            <w:r>
              <w:rPr>
                <w:bCs/>
                <w:color w:val="auto"/>
                <w:sz w:val="24"/>
                <w:szCs w:val="24"/>
              </w:rPr>
              <w:t>响和</w:t>
            </w:r>
          </w:p>
          <w:p w14:paraId="756A2E32">
            <w:pPr>
              <w:adjustRightInd w:val="0"/>
              <w:snapToGrid w:val="0"/>
              <w:jc w:val="center"/>
              <w:rPr>
                <w:bCs/>
                <w:color w:val="auto"/>
                <w:sz w:val="24"/>
                <w:szCs w:val="24"/>
              </w:rPr>
            </w:pPr>
            <w:r>
              <w:rPr>
                <w:bCs/>
                <w:color w:val="auto"/>
                <w:sz w:val="24"/>
                <w:szCs w:val="24"/>
              </w:rPr>
              <w:t>保护</w:t>
            </w:r>
          </w:p>
          <w:p w14:paraId="0FBF20B4">
            <w:pPr>
              <w:pStyle w:val="11"/>
              <w:numPr>
                <w:ilvl w:val="0"/>
                <w:numId w:val="0"/>
              </w:numPr>
              <w:jc w:val="center"/>
              <w:rPr>
                <w:color w:val="auto"/>
                <w:sz w:val="24"/>
                <w:szCs w:val="24"/>
              </w:rPr>
            </w:pPr>
            <w:r>
              <w:rPr>
                <w:bCs/>
                <w:color w:val="auto"/>
                <w:sz w:val="24"/>
                <w:szCs w:val="24"/>
              </w:rPr>
              <w:t>措施</w:t>
            </w:r>
          </w:p>
        </w:tc>
        <w:tc>
          <w:tcPr>
            <w:tcW w:w="8515" w:type="dxa"/>
            <w:noWrap w:val="0"/>
            <w:vAlign w:val="top"/>
          </w:tcPr>
          <w:p w14:paraId="5FD38AC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③废水污染物排放执行标准表见表4-</w:t>
            </w:r>
            <w:r>
              <w:rPr>
                <w:rFonts w:hint="eastAsia"/>
                <w:color w:val="auto"/>
                <w:sz w:val="24"/>
                <w:szCs w:val="24"/>
                <w:lang w:val="en-US" w:eastAsia="zh-CN"/>
              </w:rPr>
              <w:t>13</w:t>
            </w:r>
            <w:r>
              <w:rPr>
                <w:color w:val="auto"/>
                <w:sz w:val="24"/>
                <w:szCs w:val="24"/>
              </w:rPr>
              <w:t>。</w:t>
            </w:r>
          </w:p>
          <w:p w14:paraId="360D487E">
            <w:pPr>
              <w:pStyle w:val="7"/>
              <w:spacing w:before="0" w:after="0" w:line="360" w:lineRule="exact"/>
              <w:ind w:right="0" w:firstLine="422" w:firstLineChars="200"/>
              <w:jc w:val="center"/>
              <w:rPr>
                <w:b/>
                <w:bCs/>
                <w:color w:val="auto"/>
                <w:sz w:val="21"/>
                <w:szCs w:val="21"/>
                <w:lang w:val="en-US" w:eastAsia="zh-CN"/>
              </w:rPr>
            </w:pPr>
            <w:r>
              <w:rPr>
                <w:b/>
                <w:bCs/>
                <w:color w:val="auto"/>
                <w:sz w:val="21"/>
                <w:szCs w:val="21"/>
                <w:lang w:val="en-US" w:eastAsia="zh-CN"/>
              </w:rPr>
              <w:t>表4-</w:t>
            </w:r>
            <w:r>
              <w:rPr>
                <w:rFonts w:hint="eastAsia"/>
                <w:b/>
                <w:bCs/>
                <w:color w:val="auto"/>
                <w:sz w:val="21"/>
                <w:szCs w:val="21"/>
                <w:lang w:val="en-US" w:eastAsia="zh-CN"/>
              </w:rPr>
              <w:t xml:space="preserve">13 </w:t>
            </w:r>
            <w:r>
              <w:rPr>
                <w:b/>
                <w:bCs/>
                <w:color w:val="auto"/>
                <w:sz w:val="21"/>
                <w:szCs w:val="21"/>
                <w:lang w:val="en-US" w:eastAsia="zh-CN"/>
              </w:rPr>
              <w:t>废水污染物排放执行标准表</w:t>
            </w:r>
          </w:p>
          <w:tbl>
            <w:tblPr>
              <w:tblStyle w:val="22"/>
              <w:tblW w:w="4998" w:type="pct"/>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5"/>
              <w:gridCol w:w="1203"/>
              <w:gridCol w:w="1538"/>
              <w:gridCol w:w="2771"/>
              <w:gridCol w:w="2099"/>
            </w:tblGrid>
            <w:tr w14:paraId="6DFE14B4">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PrEx>
              <w:tc>
                <w:tcPr>
                  <w:tcW w:w="413" w:type="pct"/>
                  <w:vMerge w:val="restart"/>
                  <w:tcBorders>
                    <w:top w:val="single" w:color="auto" w:sz="12" w:space="0"/>
                  </w:tcBorders>
                  <w:noWrap w:val="0"/>
                  <w:vAlign w:val="center"/>
                </w:tcPr>
                <w:p w14:paraId="48C9E940">
                  <w:pPr>
                    <w:pStyle w:val="20"/>
                    <w:spacing w:before="0" w:after="0" w:line="300" w:lineRule="exact"/>
                    <w:ind w:right="0" w:firstLine="0" w:firstLineChars="0"/>
                    <w:jc w:val="center"/>
                    <w:rPr>
                      <w:b/>
                      <w:bCs/>
                      <w:color w:val="auto"/>
                      <w:sz w:val="21"/>
                      <w:szCs w:val="21"/>
                      <w:lang w:val="en-US" w:eastAsia="zh-CN"/>
                    </w:rPr>
                  </w:pPr>
                  <w:r>
                    <w:rPr>
                      <w:b/>
                      <w:bCs/>
                      <w:color w:val="auto"/>
                      <w:sz w:val="21"/>
                      <w:szCs w:val="21"/>
                      <w:lang w:val="en-US" w:eastAsia="zh-CN"/>
                    </w:rPr>
                    <w:t>序号</w:t>
                  </w:r>
                </w:p>
              </w:tc>
              <w:tc>
                <w:tcPr>
                  <w:tcW w:w="725" w:type="pct"/>
                  <w:vMerge w:val="restart"/>
                  <w:tcBorders>
                    <w:top w:val="single" w:color="auto" w:sz="12" w:space="0"/>
                  </w:tcBorders>
                  <w:noWrap w:val="0"/>
                  <w:vAlign w:val="center"/>
                </w:tcPr>
                <w:p w14:paraId="7EABA2AD">
                  <w:pPr>
                    <w:pStyle w:val="20"/>
                    <w:spacing w:before="0" w:after="0" w:line="300" w:lineRule="exact"/>
                    <w:ind w:right="0" w:firstLine="0" w:firstLineChars="0"/>
                    <w:jc w:val="center"/>
                    <w:rPr>
                      <w:b/>
                      <w:bCs/>
                      <w:color w:val="auto"/>
                      <w:sz w:val="21"/>
                      <w:szCs w:val="21"/>
                      <w:lang w:val="en-US" w:eastAsia="zh-CN"/>
                    </w:rPr>
                  </w:pPr>
                  <w:r>
                    <w:rPr>
                      <w:b/>
                      <w:bCs/>
                      <w:color w:val="auto"/>
                      <w:sz w:val="21"/>
                      <w:szCs w:val="21"/>
                      <w:lang w:val="en-US" w:eastAsia="zh-CN"/>
                    </w:rPr>
                    <w:t>排放口</w:t>
                  </w:r>
                </w:p>
                <w:p w14:paraId="25964424">
                  <w:pPr>
                    <w:pStyle w:val="20"/>
                    <w:spacing w:before="0" w:after="0" w:line="300" w:lineRule="exact"/>
                    <w:ind w:right="0" w:firstLine="0" w:firstLineChars="0"/>
                    <w:jc w:val="center"/>
                    <w:rPr>
                      <w:b/>
                      <w:bCs/>
                      <w:color w:val="auto"/>
                      <w:sz w:val="21"/>
                      <w:szCs w:val="21"/>
                      <w:lang w:val="en-US" w:eastAsia="zh-CN"/>
                    </w:rPr>
                  </w:pPr>
                  <w:r>
                    <w:rPr>
                      <w:b/>
                      <w:bCs/>
                      <w:color w:val="auto"/>
                      <w:sz w:val="21"/>
                      <w:szCs w:val="21"/>
                      <w:lang w:val="en-US" w:eastAsia="zh-CN"/>
                    </w:rPr>
                    <w:t>编号</w:t>
                  </w:r>
                </w:p>
              </w:tc>
              <w:tc>
                <w:tcPr>
                  <w:tcW w:w="927" w:type="pct"/>
                  <w:vMerge w:val="restart"/>
                  <w:tcBorders>
                    <w:top w:val="single" w:color="auto" w:sz="12" w:space="0"/>
                  </w:tcBorders>
                  <w:noWrap w:val="0"/>
                  <w:vAlign w:val="center"/>
                </w:tcPr>
                <w:p w14:paraId="4AC95F75">
                  <w:pPr>
                    <w:pStyle w:val="20"/>
                    <w:spacing w:before="0" w:after="0" w:line="300" w:lineRule="exact"/>
                    <w:ind w:right="0" w:firstLine="0" w:firstLineChars="0"/>
                    <w:jc w:val="center"/>
                    <w:rPr>
                      <w:b/>
                      <w:bCs/>
                      <w:color w:val="auto"/>
                      <w:sz w:val="21"/>
                      <w:szCs w:val="21"/>
                      <w:lang w:val="en-US" w:eastAsia="zh-CN"/>
                    </w:rPr>
                  </w:pPr>
                  <w:r>
                    <w:rPr>
                      <w:b/>
                      <w:bCs/>
                      <w:color w:val="auto"/>
                      <w:sz w:val="21"/>
                      <w:szCs w:val="21"/>
                      <w:lang w:val="en-US" w:eastAsia="zh-CN"/>
                    </w:rPr>
                    <w:t>污染物种类</w:t>
                  </w:r>
                </w:p>
              </w:tc>
              <w:tc>
                <w:tcPr>
                  <w:tcW w:w="2934" w:type="pct"/>
                  <w:gridSpan w:val="2"/>
                  <w:tcBorders>
                    <w:top w:val="single" w:color="auto" w:sz="12" w:space="0"/>
                  </w:tcBorders>
                  <w:noWrap w:val="0"/>
                  <w:vAlign w:val="center"/>
                </w:tcPr>
                <w:p w14:paraId="11FDFC05">
                  <w:pPr>
                    <w:pStyle w:val="20"/>
                    <w:spacing w:before="0" w:after="0" w:line="300" w:lineRule="exact"/>
                    <w:ind w:right="0" w:firstLine="0" w:firstLineChars="0"/>
                    <w:jc w:val="center"/>
                    <w:rPr>
                      <w:b/>
                      <w:bCs/>
                      <w:color w:val="auto"/>
                      <w:sz w:val="21"/>
                      <w:szCs w:val="21"/>
                      <w:lang w:val="en-US" w:eastAsia="zh-CN"/>
                    </w:rPr>
                  </w:pPr>
                  <w:r>
                    <w:rPr>
                      <w:b/>
                      <w:bCs/>
                      <w:color w:val="auto"/>
                      <w:sz w:val="21"/>
                      <w:szCs w:val="21"/>
                      <w:lang w:val="en-US" w:eastAsia="zh-CN"/>
                    </w:rPr>
                    <w:t>国家或地方污染物排放标准及其他按</w:t>
                  </w:r>
                </w:p>
                <w:p w14:paraId="63639DC0">
                  <w:pPr>
                    <w:pStyle w:val="20"/>
                    <w:spacing w:before="0" w:after="0" w:line="300" w:lineRule="exact"/>
                    <w:ind w:right="0" w:firstLine="0" w:firstLineChars="0"/>
                    <w:jc w:val="center"/>
                    <w:rPr>
                      <w:b/>
                      <w:bCs/>
                      <w:color w:val="auto"/>
                      <w:sz w:val="21"/>
                      <w:szCs w:val="21"/>
                      <w:lang w:val="en-US" w:eastAsia="zh-CN"/>
                    </w:rPr>
                  </w:pPr>
                  <w:r>
                    <w:rPr>
                      <w:b/>
                      <w:bCs/>
                      <w:color w:val="auto"/>
                      <w:sz w:val="21"/>
                      <w:szCs w:val="21"/>
                      <w:lang w:val="en-US" w:eastAsia="zh-CN"/>
                    </w:rPr>
                    <w:t>规定商定的排放协议</w:t>
                  </w:r>
                </w:p>
              </w:tc>
            </w:tr>
            <w:tr w14:paraId="52418A2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Merge w:val="continue"/>
                  <w:noWrap w:val="0"/>
                  <w:vAlign w:val="center"/>
                </w:tcPr>
                <w:p w14:paraId="1EBBF897">
                  <w:pPr>
                    <w:pStyle w:val="20"/>
                    <w:spacing w:before="0" w:after="0" w:line="300" w:lineRule="exact"/>
                    <w:ind w:right="0" w:firstLine="0" w:firstLineChars="0"/>
                    <w:jc w:val="center"/>
                    <w:rPr>
                      <w:b/>
                      <w:bCs/>
                      <w:color w:val="auto"/>
                      <w:sz w:val="21"/>
                      <w:szCs w:val="21"/>
                      <w:lang w:val="en-US" w:eastAsia="zh-CN"/>
                    </w:rPr>
                  </w:pPr>
                </w:p>
              </w:tc>
              <w:tc>
                <w:tcPr>
                  <w:tcW w:w="725" w:type="pct"/>
                  <w:vMerge w:val="continue"/>
                  <w:noWrap w:val="0"/>
                  <w:vAlign w:val="center"/>
                </w:tcPr>
                <w:p w14:paraId="2B067412">
                  <w:pPr>
                    <w:pStyle w:val="20"/>
                    <w:spacing w:before="0" w:after="0" w:line="300" w:lineRule="exact"/>
                    <w:ind w:right="0" w:firstLine="0" w:firstLineChars="0"/>
                    <w:jc w:val="center"/>
                    <w:rPr>
                      <w:b/>
                      <w:bCs/>
                      <w:color w:val="auto"/>
                      <w:sz w:val="21"/>
                      <w:szCs w:val="21"/>
                      <w:lang w:val="en-US" w:eastAsia="zh-CN"/>
                    </w:rPr>
                  </w:pPr>
                </w:p>
              </w:tc>
              <w:tc>
                <w:tcPr>
                  <w:tcW w:w="927" w:type="pct"/>
                  <w:vMerge w:val="continue"/>
                  <w:noWrap w:val="0"/>
                  <w:vAlign w:val="center"/>
                </w:tcPr>
                <w:p w14:paraId="5E6F957C">
                  <w:pPr>
                    <w:pStyle w:val="20"/>
                    <w:spacing w:before="0" w:after="0" w:line="300" w:lineRule="exact"/>
                    <w:ind w:right="0" w:firstLine="0" w:firstLineChars="0"/>
                    <w:jc w:val="center"/>
                    <w:rPr>
                      <w:b/>
                      <w:bCs/>
                      <w:color w:val="auto"/>
                      <w:sz w:val="21"/>
                      <w:szCs w:val="21"/>
                      <w:lang w:val="en-US" w:eastAsia="zh-CN"/>
                    </w:rPr>
                  </w:pPr>
                </w:p>
              </w:tc>
              <w:tc>
                <w:tcPr>
                  <w:tcW w:w="1669" w:type="pct"/>
                  <w:noWrap w:val="0"/>
                  <w:vAlign w:val="center"/>
                </w:tcPr>
                <w:p w14:paraId="6104241E">
                  <w:pPr>
                    <w:pStyle w:val="20"/>
                    <w:spacing w:before="0" w:after="0" w:line="300" w:lineRule="exact"/>
                    <w:ind w:right="0" w:firstLine="0" w:firstLineChars="0"/>
                    <w:jc w:val="center"/>
                    <w:rPr>
                      <w:b/>
                      <w:bCs/>
                      <w:color w:val="auto"/>
                      <w:sz w:val="21"/>
                      <w:szCs w:val="21"/>
                      <w:lang w:val="en-US" w:eastAsia="zh-CN"/>
                    </w:rPr>
                  </w:pPr>
                  <w:r>
                    <w:rPr>
                      <w:b/>
                      <w:bCs/>
                      <w:color w:val="auto"/>
                      <w:sz w:val="21"/>
                      <w:szCs w:val="21"/>
                      <w:lang w:val="en-US" w:eastAsia="zh-CN"/>
                    </w:rPr>
                    <w:t>名称</w:t>
                  </w:r>
                </w:p>
              </w:tc>
              <w:tc>
                <w:tcPr>
                  <w:tcW w:w="1264" w:type="pct"/>
                  <w:noWrap w:val="0"/>
                  <w:vAlign w:val="center"/>
                </w:tcPr>
                <w:p w14:paraId="7904D192">
                  <w:pPr>
                    <w:pStyle w:val="20"/>
                    <w:spacing w:before="0" w:after="0" w:line="300" w:lineRule="exact"/>
                    <w:ind w:right="0" w:firstLine="0" w:firstLineChars="0"/>
                    <w:jc w:val="center"/>
                    <w:rPr>
                      <w:b/>
                      <w:bCs/>
                      <w:color w:val="auto"/>
                      <w:sz w:val="21"/>
                      <w:szCs w:val="21"/>
                      <w:lang w:val="en-US" w:eastAsia="zh-CN"/>
                    </w:rPr>
                  </w:pPr>
                  <w:r>
                    <w:rPr>
                      <w:b/>
                      <w:bCs/>
                      <w:color w:val="auto"/>
                      <w:sz w:val="21"/>
                      <w:szCs w:val="21"/>
                      <w:lang w:val="en-US" w:eastAsia="zh-CN"/>
                    </w:rPr>
                    <w:t>浓度限值/mg/L）</w:t>
                  </w:r>
                </w:p>
              </w:tc>
            </w:tr>
            <w:tr w14:paraId="51ABA20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28AA2CCC">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1</w:t>
                  </w:r>
                </w:p>
              </w:tc>
              <w:tc>
                <w:tcPr>
                  <w:tcW w:w="725" w:type="pct"/>
                  <w:vMerge w:val="restart"/>
                  <w:noWrap w:val="0"/>
                  <w:vAlign w:val="center"/>
                </w:tcPr>
                <w:p w14:paraId="13E2A745">
                  <w:pPr>
                    <w:pStyle w:val="20"/>
                    <w:spacing w:before="0" w:after="0" w:line="300" w:lineRule="exact"/>
                    <w:ind w:right="0" w:firstLine="0" w:firstLineChars="0"/>
                    <w:jc w:val="center"/>
                    <w:rPr>
                      <w:color w:val="auto"/>
                      <w:sz w:val="21"/>
                      <w:szCs w:val="21"/>
                      <w:lang w:val="en-US" w:eastAsia="zh-CN"/>
                    </w:rPr>
                  </w:pPr>
                  <w:r>
                    <w:rPr>
                      <w:rFonts w:hint="eastAsia"/>
                      <w:color w:val="auto"/>
                      <w:sz w:val="21"/>
                      <w:szCs w:val="21"/>
                      <w:lang w:val="en-US" w:eastAsia="zh-CN"/>
                    </w:rPr>
                    <w:t>DW</w:t>
                  </w:r>
                  <w:r>
                    <w:rPr>
                      <w:color w:val="auto"/>
                      <w:sz w:val="21"/>
                      <w:szCs w:val="21"/>
                      <w:lang w:val="en-US" w:eastAsia="zh-CN"/>
                    </w:rPr>
                    <w:t>001</w:t>
                  </w:r>
                </w:p>
              </w:tc>
              <w:tc>
                <w:tcPr>
                  <w:tcW w:w="927" w:type="pct"/>
                  <w:noWrap w:val="0"/>
                  <w:vAlign w:val="center"/>
                </w:tcPr>
                <w:p w14:paraId="2562D6DD">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pH</w:t>
                  </w:r>
                </w:p>
              </w:tc>
              <w:tc>
                <w:tcPr>
                  <w:tcW w:w="1669" w:type="pct"/>
                  <w:vMerge w:val="restart"/>
                  <w:noWrap w:val="0"/>
                  <w:vAlign w:val="center"/>
                </w:tcPr>
                <w:p w14:paraId="5A1A18F4">
                  <w:pPr>
                    <w:spacing w:line="300" w:lineRule="exact"/>
                    <w:jc w:val="center"/>
                    <w:rPr>
                      <w:color w:val="auto"/>
                      <w:sz w:val="21"/>
                      <w:szCs w:val="21"/>
                    </w:rPr>
                  </w:pPr>
                  <w:r>
                    <w:rPr>
                      <w:rFonts w:hint="eastAsia"/>
                      <w:color w:val="auto"/>
                      <w:kern w:val="0"/>
                      <w:sz w:val="21"/>
                      <w:szCs w:val="21"/>
                    </w:rPr>
                    <w:t>常州金坛区第二污水处理有限公司污水接管标准</w:t>
                  </w:r>
                </w:p>
              </w:tc>
              <w:tc>
                <w:tcPr>
                  <w:tcW w:w="1264" w:type="pct"/>
                  <w:noWrap w:val="0"/>
                  <w:vAlign w:val="center"/>
                </w:tcPr>
                <w:p w14:paraId="0F00E3E7">
                  <w:pPr>
                    <w:spacing w:line="300" w:lineRule="exact"/>
                    <w:jc w:val="center"/>
                    <w:rPr>
                      <w:rFonts w:hint="eastAsia"/>
                      <w:color w:val="auto"/>
                      <w:sz w:val="21"/>
                      <w:szCs w:val="21"/>
                    </w:rPr>
                  </w:pPr>
                  <w:r>
                    <w:rPr>
                      <w:color w:val="auto"/>
                      <w:sz w:val="21"/>
                      <w:szCs w:val="21"/>
                    </w:rPr>
                    <w:t>6.</w:t>
                  </w:r>
                  <w:r>
                    <w:rPr>
                      <w:rFonts w:hint="eastAsia"/>
                      <w:color w:val="auto"/>
                      <w:sz w:val="21"/>
                      <w:szCs w:val="21"/>
                    </w:rPr>
                    <w:t>0</w:t>
                  </w:r>
                  <w:r>
                    <w:rPr>
                      <w:color w:val="auto"/>
                      <w:sz w:val="21"/>
                      <w:szCs w:val="21"/>
                    </w:rPr>
                    <w:t>~9.</w:t>
                  </w:r>
                  <w:r>
                    <w:rPr>
                      <w:rFonts w:hint="eastAsia"/>
                      <w:color w:val="auto"/>
                      <w:sz w:val="21"/>
                      <w:szCs w:val="21"/>
                    </w:rPr>
                    <w:t>0</w:t>
                  </w:r>
                </w:p>
              </w:tc>
            </w:tr>
            <w:tr w14:paraId="1308F74C">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2D4BD363">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2</w:t>
                  </w:r>
                </w:p>
              </w:tc>
              <w:tc>
                <w:tcPr>
                  <w:tcW w:w="725" w:type="pct"/>
                  <w:vMerge w:val="continue"/>
                  <w:noWrap w:val="0"/>
                  <w:vAlign w:val="center"/>
                </w:tcPr>
                <w:p w14:paraId="3E738029">
                  <w:pPr>
                    <w:pStyle w:val="20"/>
                    <w:spacing w:before="0" w:after="0" w:line="300" w:lineRule="exact"/>
                    <w:ind w:right="0" w:firstLine="0" w:firstLineChars="0"/>
                    <w:jc w:val="center"/>
                    <w:rPr>
                      <w:color w:val="auto"/>
                      <w:sz w:val="21"/>
                      <w:szCs w:val="21"/>
                      <w:lang w:val="en-US" w:eastAsia="zh-CN"/>
                    </w:rPr>
                  </w:pPr>
                </w:p>
              </w:tc>
              <w:tc>
                <w:tcPr>
                  <w:tcW w:w="927" w:type="pct"/>
                  <w:noWrap w:val="0"/>
                  <w:vAlign w:val="center"/>
                </w:tcPr>
                <w:p w14:paraId="48C12FCD">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COD</w:t>
                  </w:r>
                </w:p>
              </w:tc>
              <w:tc>
                <w:tcPr>
                  <w:tcW w:w="1669" w:type="pct"/>
                  <w:vMerge w:val="continue"/>
                  <w:noWrap w:val="0"/>
                  <w:vAlign w:val="center"/>
                </w:tcPr>
                <w:p w14:paraId="7AAF7639">
                  <w:pPr>
                    <w:pStyle w:val="20"/>
                    <w:spacing w:before="0" w:after="0" w:line="300" w:lineRule="exact"/>
                    <w:ind w:right="0" w:firstLine="0" w:firstLineChars="0"/>
                    <w:jc w:val="center"/>
                    <w:rPr>
                      <w:color w:val="auto"/>
                      <w:sz w:val="21"/>
                      <w:szCs w:val="21"/>
                      <w:lang w:val="en-US" w:eastAsia="zh-CN"/>
                    </w:rPr>
                  </w:pPr>
                </w:p>
              </w:tc>
              <w:tc>
                <w:tcPr>
                  <w:tcW w:w="1264" w:type="pct"/>
                  <w:noWrap w:val="0"/>
                  <w:vAlign w:val="center"/>
                </w:tcPr>
                <w:p w14:paraId="576787DD">
                  <w:pPr>
                    <w:spacing w:line="300" w:lineRule="exact"/>
                    <w:jc w:val="center"/>
                    <w:rPr>
                      <w:color w:val="auto"/>
                      <w:sz w:val="21"/>
                      <w:szCs w:val="21"/>
                    </w:rPr>
                  </w:pPr>
                  <w:r>
                    <w:rPr>
                      <w:color w:val="auto"/>
                      <w:sz w:val="21"/>
                      <w:szCs w:val="21"/>
                    </w:rPr>
                    <w:t>500</w:t>
                  </w:r>
                </w:p>
              </w:tc>
            </w:tr>
            <w:tr w14:paraId="480FAD00">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41F8453A">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3</w:t>
                  </w:r>
                </w:p>
              </w:tc>
              <w:tc>
                <w:tcPr>
                  <w:tcW w:w="725" w:type="pct"/>
                  <w:vMerge w:val="continue"/>
                  <w:noWrap w:val="0"/>
                  <w:vAlign w:val="center"/>
                </w:tcPr>
                <w:p w14:paraId="5497D899">
                  <w:pPr>
                    <w:pStyle w:val="20"/>
                    <w:spacing w:before="0" w:after="0" w:line="300" w:lineRule="exact"/>
                    <w:ind w:right="0" w:firstLine="0" w:firstLineChars="0"/>
                    <w:jc w:val="center"/>
                    <w:rPr>
                      <w:color w:val="auto"/>
                      <w:sz w:val="21"/>
                      <w:szCs w:val="21"/>
                      <w:lang w:val="en-US" w:eastAsia="zh-CN"/>
                    </w:rPr>
                  </w:pPr>
                </w:p>
              </w:tc>
              <w:tc>
                <w:tcPr>
                  <w:tcW w:w="927" w:type="pct"/>
                  <w:noWrap w:val="0"/>
                  <w:vAlign w:val="center"/>
                </w:tcPr>
                <w:p w14:paraId="49471A6B">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SS</w:t>
                  </w:r>
                </w:p>
              </w:tc>
              <w:tc>
                <w:tcPr>
                  <w:tcW w:w="1669" w:type="pct"/>
                  <w:vMerge w:val="continue"/>
                  <w:noWrap w:val="0"/>
                  <w:vAlign w:val="center"/>
                </w:tcPr>
                <w:p w14:paraId="6C5B7E71">
                  <w:pPr>
                    <w:pStyle w:val="20"/>
                    <w:spacing w:before="0" w:after="0" w:line="300" w:lineRule="exact"/>
                    <w:ind w:right="0" w:firstLine="0" w:firstLineChars="0"/>
                    <w:jc w:val="center"/>
                    <w:rPr>
                      <w:color w:val="auto"/>
                      <w:sz w:val="21"/>
                      <w:szCs w:val="21"/>
                      <w:lang w:val="en-US" w:eastAsia="zh-CN"/>
                    </w:rPr>
                  </w:pPr>
                </w:p>
              </w:tc>
              <w:tc>
                <w:tcPr>
                  <w:tcW w:w="1264" w:type="pct"/>
                  <w:noWrap w:val="0"/>
                  <w:vAlign w:val="center"/>
                </w:tcPr>
                <w:p w14:paraId="552F1E53">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250</w:t>
                  </w:r>
                </w:p>
              </w:tc>
            </w:tr>
            <w:tr w14:paraId="2A8E5DB4">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5A7426A4">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4</w:t>
                  </w:r>
                </w:p>
              </w:tc>
              <w:tc>
                <w:tcPr>
                  <w:tcW w:w="725" w:type="pct"/>
                  <w:vMerge w:val="continue"/>
                  <w:noWrap w:val="0"/>
                  <w:vAlign w:val="center"/>
                </w:tcPr>
                <w:p w14:paraId="0470260B">
                  <w:pPr>
                    <w:pStyle w:val="20"/>
                    <w:spacing w:before="0" w:after="0" w:line="300" w:lineRule="exact"/>
                    <w:ind w:right="0" w:firstLine="0" w:firstLineChars="0"/>
                    <w:jc w:val="center"/>
                    <w:rPr>
                      <w:color w:val="auto"/>
                      <w:sz w:val="21"/>
                      <w:szCs w:val="21"/>
                      <w:lang w:val="en-US" w:eastAsia="zh-CN"/>
                    </w:rPr>
                  </w:pPr>
                </w:p>
              </w:tc>
              <w:tc>
                <w:tcPr>
                  <w:tcW w:w="927" w:type="pct"/>
                  <w:noWrap w:val="0"/>
                  <w:vAlign w:val="center"/>
                </w:tcPr>
                <w:p w14:paraId="348C63F7">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NH</w:t>
                  </w:r>
                  <w:r>
                    <w:rPr>
                      <w:color w:val="auto"/>
                      <w:sz w:val="21"/>
                      <w:szCs w:val="21"/>
                      <w:vertAlign w:val="subscript"/>
                      <w:lang w:val="en-US" w:eastAsia="zh-CN"/>
                    </w:rPr>
                    <w:t>3</w:t>
                  </w:r>
                  <w:r>
                    <w:rPr>
                      <w:color w:val="auto"/>
                      <w:sz w:val="21"/>
                      <w:szCs w:val="21"/>
                      <w:lang w:val="en-US" w:eastAsia="zh-CN"/>
                    </w:rPr>
                    <w:t>-N</w:t>
                  </w:r>
                </w:p>
              </w:tc>
              <w:tc>
                <w:tcPr>
                  <w:tcW w:w="1669" w:type="pct"/>
                  <w:vMerge w:val="continue"/>
                  <w:noWrap w:val="0"/>
                  <w:vAlign w:val="center"/>
                </w:tcPr>
                <w:p w14:paraId="653AF5B2">
                  <w:pPr>
                    <w:pStyle w:val="20"/>
                    <w:spacing w:before="0" w:after="0" w:line="300" w:lineRule="exact"/>
                    <w:ind w:right="0" w:firstLine="0" w:firstLineChars="0"/>
                    <w:jc w:val="center"/>
                    <w:rPr>
                      <w:color w:val="auto"/>
                      <w:sz w:val="21"/>
                      <w:szCs w:val="21"/>
                      <w:lang w:val="en-US" w:eastAsia="zh-CN"/>
                    </w:rPr>
                  </w:pPr>
                </w:p>
              </w:tc>
              <w:tc>
                <w:tcPr>
                  <w:tcW w:w="1264" w:type="pct"/>
                  <w:noWrap w:val="0"/>
                  <w:vAlign w:val="center"/>
                </w:tcPr>
                <w:p w14:paraId="36208DBF">
                  <w:pPr>
                    <w:spacing w:line="300" w:lineRule="exact"/>
                    <w:jc w:val="center"/>
                    <w:rPr>
                      <w:color w:val="auto"/>
                      <w:sz w:val="21"/>
                      <w:szCs w:val="21"/>
                    </w:rPr>
                  </w:pPr>
                  <w:r>
                    <w:rPr>
                      <w:rFonts w:hint="eastAsia"/>
                      <w:color w:val="auto"/>
                      <w:sz w:val="21"/>
                      <w:szCs w:val="21"/>
                    </w:rPr>
                    <w:t>35</w:t>
                  </w:r>
                </w:p>
              </w:tc>
            </w:tr>
            <w:tr w14:paraId="4C3464F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4EC9D96B">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5</w:t>
                  </w:r>
                </w:p>
              </w:tc>
              <w:tc>
                <w:tcPr>
                  <w:tcW w:w="725" w:type="pct"/>
                  <w:vMerge w:val="continue"/>
                  <w:noWrap w:val="0"/>
                  <w:vAlign w:val="center"/>
                </w:tcPr>
                <w:p w14:paraId="5227F658">
                  <w:pPr>
                    <w:pStyle w:val="20"/>
                    <w:spacing w:before="0" w:after="0" w:line="300" w:lineRule="exact"/>
                    <w:ind w:right="0" w:firstLine="0" w:firstLineChars="0"/>
                    <w:jc w:val="center"/>
                    <w:rPr>
                      <w:color w:val="auto"/>
                      <w:sz w:val="21"/>
                      <w:szCs w:val="21"/>
                      <w:lang w:val="en-US" w:eastAsia="zh-CN"/>
                    </w:rPr>
                  </w:pPr>
                </w:p>
              </w:tc>
              <w:tc>
                <w:tcPr>
                  <w:tcW w:w="927" w:type="pct"/>
                  <w:noWrap w:val="0"/>
                  <w:vAlign w:val="center"/>
                </w:tcPr>
                <w:p w14:paraId="048F2E60">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TP</w:t>
                  </w:r>
                </w:p>
              </w:tc>
              <w:tc>
                <w:tcPr>
                  <w:tcW w:w="1669" w:type="pct"/>
                  <w:vMerge w:val="continue"/>
                  <w:noWrap w:val="0"/>
                  <w:vAlign w:val="center"/>
                </w:tcPr>
                <w:p w14:paraId="087FBB49">
                  <w:pPr>
                    <w:spacing w:line="300" w:lineRule="exact"/>
                    <w:jc w:val="center"/>
                    <w:rPr>
                      <w:color w:val="auto"/>
                      <w:sz w:val="21"/>
                      <w:szCs w:val="21"/>
                    </w:rPr>
                  </w:pPr>
                </w:p>
              </w:tc>
              <w:tc>
                <w:tcPr>
                  <w:tcW w:w="1264" w:type="pct"/>
                  <w:noWrap w:val="0"/>
                  <w:vAlign w:val="center"/>
                </w:tcPr>
                <w:p w14:paraId="035473CB">
                  <w:pPr>
                    <w:spacing w:line="300" w:lineRule="exact"/>
                    <w:jc w:val="center"/>
                    <w:rPr>
                      <w:rFonts w:hint="eastAsia"/>
                      <w:color w:val="auto"/>
                      <w:sz w:val="21"/>
                      <w:szCs w:val="21"/>
                    </w:rPr>
                  </w:pPr>
                  <w:r>
                    <w:rPr>
                      <w:rFonts w:hint="eastAsia"/>
                      <w:color w:val="auto"/>
                      <w:sz w:val="21"/>
                      <w:szCs w:val="21"/>
                    </w:rPr>
                    <w:t>3</w:t>
                  </w:r>
                </w:p>
              </w:tc>
            </w:tr>
            <w:tr w14:paraId="38BC1742">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7A4A57E4">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6</w:t>
                  </w:r>
                </w:p>
              </w:tc>
              <w:tc>
                <w:tcPr>
                  <w:tcW w:w="725" w:type="pct"/>
                  <w:vMerge w:val="continue"/>
                  <w:noWrap w:val="0"/>
                  <w:vAlign w:val="center"/>
                </w:tcPr>
                <w:p w14:paraId="4BE36237">
                  <w:pPr>
                    <w:pStyle w:val="20"/>
                    <w:spacing w:before="0" w:after="0" w:line="300" w:lineRule="exact"/>
                    <w:ind w:right="0" w:firstLine="0" w:firstLineChars="0"/>
                    <w:jc w:val="center"/>
                    <w:rPr>
                      <w:color w:val="auto"/>
                      <w:sz w:val="21"/>
                      <w:szCs w:val="21"/>
                      <w:lang w:val="en-US" w:eastAsia="zh-CN"/>
                    </w:rPr>
                  </w:pPr>
                </w:p>
              </w:tc>
              <w:tc>
                <w:tcPr>
                  <w:tcW w:w="927" w:type="pct"/>
                  <w:noWrap w:val="0"/>
                  <w:vAlign w:val="center"/>
                </w:tcPr>
                <w:p w14:paraId="5E60DFF6">
                  <w:pPr>
                    <w:pStyle w:val="20"/>
                    <w:spacing w:before="0" w:after="0" w:line="300" w:lineRule="exact"/>
                    <w:ind w:right="0" w:firstLine="0" w:firstLineChars="0"/>
                    <w:jc w:val="center"/>
                    <w:rPr>
                      <w:color w:val="auto"/>
                      <w:sz w:val="21"/>
                      <w:szCs w:val="21"/>
                      <w:lang w:val="en-US" w:eastAsia="zh-CN"/>
                    </w:rPr>
                  </w:pPr>
                  <w:r>
                    <w:rPr>
                      <w:color w:val="auto"/>
                      <w:sz w:val="21"/>
                      <w:szCs w:val="21"/>
                      <w:lang w:val="en-US" w:eastAsia="zh-CN"/>
                    </w:rPr>
                    <w:t>TN</w:t>
                  </w:r>
                </w:p>
              </w:tc>
              <w:tc>
                <w:tcPr>
                  <w:tcW w:w="1669" w:type="pct"/>
                  <w:vMerge w:val="continue"/>
                  <w:noWrap w:val="0"/>
                  <w:vAlign w:val="center"/>
                </w:tcPr>
                <w:p w14:paraId="2FDFD2A7">
                  <w:pPr>
                    <w:spacing w:line="300" w:lineRule="exact"/>
                    <w:jc w:val="center"/>
                    <w:rPr>
                      <w:color w:val="auto"/>
                      <w:sz w:val="21"/>
                      <w:szCs w:val="21"/>
                    </w:rPr>
                  </w:pPr>
                </w:p>
              </w:tc>
              <w:tc>
                <w:tcPr>
                  <w:tcW w:w="1264" w:type="pct"/>
                  <w:noWrap w:val="0"/>
                  <w:vAlign w:val="center"/>
                </w:tcPr>
                <w:p w14:paraId="0CBC97B8">
                  <w:pPr>
                    <w:spacing w:line="300" w:lineRule="exact"/>
                    <w:jc w:val="center"/>
                    <w:rPr>
                      <w:color w:val="auto"/>
                      <w:sz w:val="21"/>
                      <w:szCs w:val="21"/>
                    </w:rPr>
                  </w:pPr>
                  <w:r>
                    <w:rPr>
                      <w:rFonts w:hint="eastAsia"/>
                      <w:color w:val="auto"/>
                      <w:sz w:val="21"/>
                      <w:szCs w:val="21"/>
                    </w:rPr>
                    <w:t>50</w:t>
                  </w:r>
                </w:p>
              </w:tc>
            </w:tr>
          </w:tbl>
          <w:p w14:paraId="7069179B">
            <w:pPr>
              <w:tabs>
                <w:tab w:val="left" w:pos="1684"/>
              </w:tabs>
              <w:spacing w:before="120" w:beforeLines="50" w:after="120" w:afterLines="50" w:line="360" w:lineRule="exact"/>
              <w:ind w:firstLine="241" w:firstLineChars="100"/>
              <w:rPr>
                <w:b/>
                <w:bCs/>
                <w:color w:val="auto"/>
                <w:sz w:val="24"/>
                <w:szCs w:val="24"/>
              </w:rPr>
            </w:pPr>
            <w:r>
              <w:rPr>
                <w:b/>
                <w:bCs/>
                <w:color w:val="auto"/>
                <w:sz w:val="24"/>
                <w:szCs w:val="24"/>
              </w:rPr>
              <w:t>2.</w:t>
            </w:r>
            <w:r>
              <w:rPr>
                <w:rFonts w:hint="eastAsia"/>
                <w:b/>
                <w:bCs/>
                <w:color w:val="auto"/>
                <w:sz w:val="24"/>
                <w:szCs w:val="24"/>
                <w:lang w:val="en-US" w:eastAsia="zh-CN"/>
              </w:rPr>
              <w:t>3</w:t>
            </w:r>
            <w:r>
              <w:rPr>
                <w:b/>
                <w:bCs/>
                <w:color w:val="auto"/>
                <w:sz w:val="24"/>
                <w:szCs w:val="24"/>
              </w:rPr>
              <w:t>废水监测计划</w:t>
            </w:r>
          </w:p>
          <w:p w14:paraId="275057C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监测点位：污水接管口。</w:t>
            </w:r>
          </w:p>
          <w:p w14:paraId="2751E4D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pacing w:val="-6"/>
                <w:sz w:val="24"/>
                <w:szCs w:val="24"/>
              </w:rPr>
            </w:pPr>
            <w:r>
              <w:rPr>
                <w:color w:val="auto"/>
                <w:sz w:val="24"/>
                <w:szCs w:val="24"/>
              </w:rPr>
              <w:t>监测频次：</w:t>
            </w:r>
            <w:r>
              <w:rPr>
                <w:color w:val="auto"/>
                <w:spacing w:val="-6"/>
                <w:sz w:val="24"/>
                <w:szCs w:val="24"/>
              </w:rPr>
              <w:t>按《排污单位自行监测技术指南 总则》（HJ819-2017）要求每年监测一次。</w:t>
            </w:r>
          </w:p>
          <w:p w14:paraId="196DFF0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监测因子：pH、</w:t>
            </w:r>
            <w:r>
              <w:rPr>
                <w:rFonts w:hint="eastAsia"/>
                <w:color w:val="auto"/>
                <w:sz w:val="24"/>
                <w:szCs w:val="24"/>
                <w:lang w:val="en-US" w:eastAsia="zh-CN"/>
              </w:rPr>
              <w:t>SS、</w:t>
            </w:r>
            <w:r>
              <w:rPr>
                <w:color w:val="auto"/>
                <w:sz w:val="24"/>
                <w:szCs w:val="24"/>
              </w:rPr>
              <w:t>COD、NH</w:t>
            </w:r>
            <w:r>
              <w:rPr>
                <w:color w:val="auto"/>
                <w:sz w:val="24"/>
                <w:szCs w:val="24"/>
                <w:vertAlign w:val="subscript"/>
              </w:rPr>
              <w:t>3</w:t>
            </w:r>
            <w:r>
              <w:rPr>
                <w:color w:val="auto"/>
                <w:sz w:val="24"/>
                <w:szCs w:val="24"/>
              </w:rPr>
              <w:t>-N、TP、TN。</w:t>
            </w:r>
          </w:p>
          <w:p w14:paraId="3105BC6C">
            <w:pPr>
              <w:keepNext w:val="0"/>
              <w:keepLines w:val="0"/>
              <w:pageBreakBefore w:val="0"/>
              <w:widowControl w:val="0"/>
              <w:tabs>
                <w:tab w:val="left" w:pos="2160"/>
              </w:tabs>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废水监测位置、监测因子、频率等详见表4-</w:t>
            </w:r>
            <w:r>
              <w:rPr>
                <w:rFonts w:hint="eastAsia"/>
                <w:color w:val="auto"/>
                <w:sz w:val="24"/>
                <w:szCs w:val="24"/>
                <w:lang w:val="en-US" w:eastAsia="zh-CN"/>
              </w:rPr>
              <w:t>14</w:t>
            </w:r>
            <w:r>
              <w:rPr>
                <w:color w:val="auto"/>
                <w:sz w:val="24"/>
                <w:szCs w:val="24"/>
              </w:rPr>
              <w:t>。</w:t>
            </w:r>
          </w:p>
          <w:p w14:paraId="310BCD6D">
            <w:pPr>
              <w:pStyle w:val="56"/>
              <w:spacing w:before="0" w:beforeLines="0" w:line="360" w:lineRule="exact"/>
              <w:ind w:firstLine="0" w:firstLineChars="0"/>
              <w:jc w:val="center"/>
              <w:rPr>
                <w:b/>
                <w:color w:val="auto"/>
                <w:sz w:val="21"/>
                <w:szCs w:val="21"/>
                <w:lang w:val="en-US" w:eastAsia="zh-CN"/>
              </w:rPr>
            </w:pPr>
            <w:r>
              <w:rPr>
                <w:b/>
                <w:color w:val="auto"/>
                <w:sz w:val="21"/>
                <w:szCs w:val="21"/>
                <w:lang w:val="en-US" w:eastAsia="zh-CN"/>
              </w:rPr>
              <w:t>表4-</w:t>
            </w:r>
            <w:r>
              <w:rPr>
                <w:rFonts w:hint="eastAsia"/>
                <w:b/>
                <w:color w:val="auto"/>
                <w:sz w:val="21"/>
                <w:szCs w:val="21"/>
                <w:lang w:val="en-US" w:eastAsia="zh-CN"/>
              </w:rPr>
              <w:t>14</w:t>
            </w:r>
            <w:r>
              <w:rPr>
                <w:b/>
                <w:color w:val="auto"/>
                <w:sz w:val="21"/>
                <w:szCs w:val="21"/>
                <w:lang w:val="en-US" w:eastAsia="zh-CN"/>
              </w:rPr>
              <w:t xml:space="preserve"> 废水监测因子及频次表</w:t>
            </w:r>
          </w:p>
          <w:tbl>
            <w:tblPr>
              <w:tblStyle w:val="22"/>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455"/>
              <w:gridCol w:w="3140"/>
              <w:gridCol w:w="3702"/>
            </w:tblGrid>
            <w:tr w14:paraId="092C489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76" w:type="pct"/>
                  <w:tcBorders>
                    <w:top w:val="single" w:color="auto" w:sz="12" w:space="0"/>
                  </w:tcBorders>
                  <w:noWrap w:val="0"/>
                  <w:vAlign w:val="center"/>
                </w:tcPr>
                <w:p w14:paraId="23E120C7">
                  <w:pPr>
                    <w:snapToGrid w:val="0"/>
                    <w:spacing w:line="320" w:lineRule="exact"/>
                    <w:jc w:val="center"/>
                    <w:rPr>
                      <w:b/>
                      <w:color w:val="auto"/>
                      <w:sz w:val="21"/>
                      <w:szCs w:val="21"/>
                    </w:rPr>
                  </w:pPr>
                  <w:r>
                    <w:rPr>
                      <w:b/>
                      <w:color w:val="auto"/>
                      <w:sz w:val="21"/>
                      <w:szCs w:val="21"/>
                    </w:rPr>
                    <w:t>监测点位</w:t>
                  </w:r>
                </w:p>
              </w:tc>
              <w:tc>
                <w:tcPr>
                  <w:tcW w:w="1892" w:type="pct"/>
                  <w:tcBorders>
                    <w:top w:val="single" w:color="auto" w:sz="12" w:space="0"/>
                  </w:tcBorders>
                  <w:noWrap w:val="0"/>
                  <w:vAlign w:val="center"/>
                </w:tcPr>
                <w:p w14:paraId="6A023A7A">
                  <w:pPr>
                    <w:snapToGrid w:val="0"/>
                    <w:spacing w:line="320" w:lineRule="exact"/>
                    <w:jc w:val="center"/>
                    <w:rPr>
                      <w:b/>
                      <w:color w:val="auto"/>
                      <w:sz w:val="21"/>
                      <w:szCs w:val="21"/>
                    </w:rPr>
                  </w:pPr>
                  <w:r>
                    <w:rPr>
                      <w:b/>
                      <w:color w:val="auto"/>
                      <w:sz w:val="21"/>
                      <w:szCs w:val="21"/>
                    </w:rPr>
                    <w:t>监测因子</w:t>
                  </w:r>
                </w:p>
              </w:tc>
              <w:tc>
                <w:tcPr>
                  <w:tcW w:w="2231" w:type="pct"/>
                  <w:tcBorders>
                    <w:top w:val="single" w:color="auto" w:sz="12" w:space="0"/>
                  </w:tcBorders>
                  <w:noWrap w:val="0"/>
                  <w:vAlign w:val="center"/>
                </w:tcPr>
                <w:p w14:paraId="5C31F045">
                  <w:pPr>
                    <w:snapToGrid w:val="0"/>
                    <w:spacing w:line="320" w:lineRule="exact"/>
                    <w:jc w:val="center"/>
                    <w:rPr>
                      <w:b/>
                      <w:color w:val="auto"/>
                      <w:sz w:val="21"/>
                      <w:szCs w:val="21"/>
                    </w:rPr>
                  </w:pPr>
                  <w:r>
                    <w:rPr>
                      <w:b/>
                      <w:color w:val="auto"/>
                      <w:sz w:val="21"/>
                      <w:szCs w:val="21"/>
                    </w:rPr>
                    <w:t>监测频次</w:t>
                  </w:r>
                </w:p>
              </w:tc>
            </w:tr>
            <w:tr w14:paraId="6646D2C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76" w:type="pct"/>
                  <w:noWrap w:val="0"/>
                  <w:vAlign w:val="center"/>
                </w:tcPr>
                <w:p w14:paraId="0C406F74">
                  <w:pPr>
                    <w:snapToGrid w:val="0"/>
                    <w:spacing w:line="320" w:lineRule="exact"/>
                    <w:jc w:val="center"/>
                    <w:rPr>
                      <w:color w:val="auto"/>
                      <w:sz w:val="21"/>
                      <w:szCs w:val="21"/>
                    </w:rPr>
                  </w:pPr>
                  <w:r>
                    <w:rPr>
                      <w:color w:val="auto"/>
                      <w:sz w:val="21"/>
                      <w:szCs w:val="21"/>
                    </w:rPr>
                    <w:t>污水排放口</w:t>
                  </w:r>
                </w:p>
              </w:tc>
              <w:tc>
                <w:tcPr>
                  <w:tcW w:w="1892" w:type="pct"/>
                  <w:noWrap w:val="0"/>
                  <w:vAlign w:val="center"/>
                </w:tcPr>
                <w:p w14:paraId="40269AD1">
                  <w:pPr>
                    <w:snapToGrid w:val="0"/>
                    <w:spacing w:line="320" w:lineRule="exact"/>
                    <w:jc w:val="center"/>
                    <w:rPr>
                      <w:color w:val="auto"/>
                      <w:sz w:val="21"/>
                      <w:szCs w:val="21"/>
                    </w:rPr>
                  </w:pPr>
                  <w:r>
                    <w:rPr>
                      <w:color w:val="auto"/>
                      <w:sz w:val="21"/>
                      <w:szCs w:val="21"/>
                    </w:rPr>
                    <w:t>pH、COD、</w:t>
                  </w:r>
                  <w:r>
                    <w:rPr>
                      <w:rFonts w:hint="eastAsia"/>
                      <w:color w:val="auto"/>
                      <w:sz w:val="21"/>
                      <w:szCs w:val="21"/>
                      <w:lang w:val="en-US" w:eastAsia="zh-CN"/>
                    </w:rPr>
                    <w:t>SS、</w:t>
                  </w:r>
                  <w:r>
                    <w:rPr>
                      <w:color w:val="auto"/>
                      <w:sz w:val="21"/>
                      <w:szCs w:val="21"/>
                    </w:rPr>
                    <w:t>NH</w:t>
                  </w:r>
                  <w:r>
                    <w:rPr>
                      <w:color w:val="auto"/>
                      <w:sz w:val="21"/>
                      <w:szCs w:val="21"/>
                      <w:vertAlign w:val="subscript"/>
                    </w:rPr>
                    <w:t>3</w:t>
                  </w:r>
                  <w:r>
                    <w:rPr>
                      <w:color w:val="auto"/>
                      <w:sz w:val="21"/>
                      <w:szCs w:val="21"/>
                    </w:rPr>
                    <w:t>-N、TP、TN</w:t>
                  </w:r>
                </w:p>
              </w:tc>
              <w:tc>
                <w:tcPr>
                  <w:tcW w:w="2231" w:type="pct"/>
                  <w:noWrap w:val="0"/>
                  <w:vAlign w:val="center"/>
                </w:tcPr>
                <w:p w14:paraId="1C6E2FC2">
                  <w:pPr>
                    <w:snapToGrid w:val="0"/>
                    <w:spacing w:line="320" w:lineRule="exact"/>
                    <w:jc w:val="center"/>
                    <w:rPr>
                      <w:color w:val="auto"/>
                      <w:sz w:val="21"/>
                      <w:szCs w:val="21"/>
                    </w:rPr>
                  </w:pPr>
                  <w:r>
                    <w:rPr>
                      <w:color w:val="auto"/>
                      <w:sz w:val="21"/>
                      <w:szCs w:val="21"/>
                    </w:rPr>
                    <w:t>按《排污单位自行监测技术指南 总则》（HJ819-2017）要求</w:t>
                  </w:r>
                  <w:r>
                    <w:rPr>
                      <w:rFonts w:hint="eastAsia"/>
                      <w:color w:val="auto"/>
                      <w:sz w:val="21"/>
                      <w:szCs w:val="21"/>
                      <w:lang w:val="en-US" w:eastAsia="zh-CN"/>
                    </w:rPr>
                    <w:t>每年</w:t>
                  </w:r>
                  <w:r>
                    <w:rPr>
                      <w:rFonts w:hint="eastAsia"/>
                      <w:color w:val="auto"/>
                      <w:sz w:val="21"/>
                      <w:szCs w:val="21"/>
                    </w:rPr>
                    <w:t>度</w:t>
                  </w:r>
                  <w:r>
                    <w:rPr>
                      <w:color w:val="auto"/>
                      <w:sz w:val="21"/>
                      <w:szCs w:val="21"/>
                    </w:rPr>
                    <w:t>监测一次</w:t>
                  </w:r>
                </w:p>
              </w:tc>
            </w:tr>
          </w:tbl>
          <w:p w14:paraId="4C76ED4C">
            <w:pPr>
              <w:spacing w:line="360" w:lineRule="exact"/>
              <w:jc w:val="center"/>
              <w:rPr>
                <w:rFonts w:hint="eastAsia"/>
                <w:b/>
                <w:bCs/>
                <w:color w:val="auto"/>
                <w:sz w:val="24"/>
                <w:szCs w:val="24"/>
              </w:rPr>
            </w:pPr>
          </w:p>
          <w:p w14:paraId="4649AF26">
            <w:pPr>
              <w:spacing w:line="360" w:lineRule="exact"/>
              <w:jc w:val="center"/>
              <w:rPr>
                <w:rFonts w:hint="eastAsia"/>
                <w:b/>
                <w:bCs/>
                <w:color w:val="auto"/>
                <w:sz w:val="24"/>
                <w:szCs w:val="24"/>
              </w:rPr>
            </w:pPr>
          </w:p>
          <w:p w14:paraId="065322D0">
            <w:pPr>
              <w:spacing w:line="360" w:lineRule="exact"/>
              <w:jc w:val="center"/>
              <w:rPr>
                <w:rFonts w:hint="eastAsia"/>
                <w:b/>
                <w:bCs/>
                <w:color w:val="auto"/>
                <w:sz w:val="24"/>
                <w:szCs w:val="24"/>
              </w:rPr>
            </w:pPr>
          </w:p>
          <w:p w14:paraId="337FB49F">
            <w:pPr>
              <w:spacing w:line="360" w:lineRule="exact"/>
              <w:jc w:val="center"/>
              <w:rPr>
                <w:rFonts w:hint="eastAsia"/>
                <w:b/>
                <w:bCs/>
                <w:color w:val="auto"/>
                <w:sz w:val="24"/>
                <w:szCs w:val="24"/>
              </w:rPr>
            </w:pPr>
          </w:p>
          <w:p w14:paraId="1D4C3E38">
            <w:pPr>
              <w:spacing w:line="360" w:lineRule="exact"/>
              <w:jc w:val="center"/>
              <w:rPr>
                <w:rFonts w:hint="eastAsia"/>
                <w:b/>
                <w:bCs/>
                <w:color w:val="auto"/>
                <w:sz w:val="24"/>
                <w:szCs w:val="24"/>
              </w:rPr>
            </w:pPr>
          </w:p>
          <w:p w14:paraId="454559FD">
            <w:pPr>
              <w:pStyle w:val="7"/>
              <w:spacing w:before="0" w:after="0" w:line="360" w:lineRule="exact"/>
              <w:ind w:right="0" w:firstLine="480" w:firstLineChars="200"/>
              <w:rPr>
                <w:color w:val="auto"/>
                <w:sz w:val="24"/>
                <w:szCs w:val="24"/>
                <w:lang w:val="en-US" w:eastAsia="zh-CN"/>
              </w:rPr>
            </w:pPr>
          </w:p>
        </w:tc>
      </w:tr>
    </w:tbl>
    <w:p w14:paraId="109DAEAB">
      <w:pPr>
        <w:pStyle w:val="44"/>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8545"/>
      </w:tblGrid>
      <w:tr w14:paraId="32E9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6" w:type="dxa"/>
            <w:noWrap w:val="0"/>
            <w:vAlign w:val="center"/>
          </w:tcPr>
          <w:p w14:paraId="5952B491">
            <w:pPr>
              <w:adjustRightInd w:val="0"/>
              <w:snapToGrid w:val="0"/>
              <w:jc w:val="center"/>
              <w:rPr>
                <w:bCs/>
                <w:color w:val="auto"/>
                <w:sz w:val="24"/>
                <w:szCs w:val="24"/>
              </w:rPr>
            </w:pPr>
            <w:r>
              <w:rPr>
                <w:bCs/>
                <w:color w:val="auto"/>
                <w:sz w:val="24"/>
                <w:szCs w:val="24"/>
              </w:rPr>
              <w:t>运营</w:t>
            </w:r>
          </w:p>
          <w:p w14:paraId="0174B4C5">
            <w:pPr>
              <w:adjustRightInd w:val="0"/>
              <w:snapToGrid w:val="0"/>
              <w:jc w:val="center"/>
              <w:rPr>
                <w:bCs/>
                <w:color w:val="auto"/>
                <w:sz w:val="24"/>
                <w:szCs w:val="24"/>
              </w:rPr>
            </w:pPr>
            <w:r>
              <w:rPr>
                <w:bCs/>
                <w:color w:val="auto"/>
                <w:sz w:val="24"/>
                <w:szCs w:val="24"/>
              </w:rPr>
              <w:t>期环</w:t>
            </w:r>
          </w:p>
          <w:p w14:paraId="04FA96CE">
            <w:pPr>
              <w:adjustRightInd w:val="0"/>
              <w:snapToGrid w:val="0"/>
              <w:jc w:val="center"/>
              <w:rPr>
                <w:bCs/>
                <w:color w:val="auto"/>
                <w:sz w:val="24"/>
                <w:szCs w:val="24"/>
              </w:rPr>
            </w:pPr>
            <w:r>
              <w:rPr>
                <w:bCs/>
                <w:color w:val="auto"/>
                <w:sz w:val="24"/>
                <w:szCs w:val="24"/>
              </w:rPr>
              <w:t>境影</w:t>
            </w:r>
          </w:p>
          <w:p w14:paraId="6B76E957">
            <w:pPr>
              <w:adjustRightInd w:val="0"/>
              <w:snapToGrid w:val="0"/>
              <w:jc w:val="center"/>
              <w:rPr>
                <w:bCs/>
                <w:color w:val="auto"/>
                <w:sz w:val="24"/>
                <w:szCs w:val="24"/>
              </w:rPr>
            </w:pPr>
            <w:r>
              <w:rPr>
                <w:bCs/>
                <w:color w:val="auto"/>
                <w:sz w:val="24"/>
                <w:szCs w:val="24"/>
              </w:rPr>
              <w:t>响和</w:t>
            </w:r>
          </w:p>
          <w:p w14:paraId="485E5CF5">
            <w:pPr>
              <w:adjustRightInd w:val="0"/>
              <w:snapToGrid w:val="0"/>
              <w:jc w:val="center"/>
              <w:rPr>
                <w:color w:val="auto"/>
                <w:sz w:val="24"/>
                <w:szCs w:val="24"/>
              </w:rPr>
            </w:pPr>
            <w:r>
              <w:rPr>
                <w:bCs/>
                <w:color w:val="auto"/>
                <w:sz w:val="24"/>
                <w:szCs w:val="24"/>
              </w:rPr>
              <w:t>保护措施</w:t>
            </w:r>
          </w:p>
        </w:tc>
        <w:tc>
          <w:tcPr>
            <w:tcW w:w="8545" w:type="dxa"/>
            <w:noWrap w:val="0"/>
            <w:vAlign w:val="top"/>
          </w:tcPr>
          <w:p w14:paraId="753F9820">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r>
              <w:rPr>
                <w:b/>
                <w:bCs/>
                <w:color w:val="auto"/>
                <w:sz w:val="24"/>
                <w:szCs w:val="24"/>
              </w:rPr>
              <w:t>2.</w:t>
            </w:r>
            <w:r>
              <w:rPr>
                <w:rFonts w:hint="eastAsia"/>
                <w:b/>
                <w:bCs/>
                <w:color w:val="auto"/>
                <w:sz w:val="24"/>
                <w:szCs w:val="24"/>
                <w:lang w:val="en-US" w:eastAsia="zh-CN"/>
              </w:rPr>
              <w:t>4</w:t>
            </w:r>
            <w:r>
              <w:rPr>
                <w:b/>
                <w:bCs/>
                <w:color w:val="auto"/>
                <w:sz w:val="24"/>
                <w:szCs w:val="24"/>
              </w:rPr>
              <w:t>接管可行性分析</w:t>
            </w:r>
          </w:p>
          <w:p w14:paraId="146798D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①</w:t>
            </w:r>
            <w:r>
              <w:rPr>
                <w:rFonts w:hint="eastAsia"/>
                <w:color w:val="auto"/>
                <w:kern w:val="0"/>
                <w:sz w:val="24"/>
                <w:szCs w:val="24"/>
              </w:rPr>
              <w:t>常州金坛区第二污水处理有限公司</w:t>
            </w:r>
            <w:r>
              <w:rPr>
                <w:color w:val="auto"/>
                <w:sz w:val="24"/>
                <w:szCs w:val="24"/>
              </w:rPr>
              <w:t>概况</w:t>
            </w:r>
          </w:p>
          <w:p w14:paraId="3E97F194">
            <w:pPr>
              <w:pStyle w:val="61"/>
              <w:keepNext w:val="0"/>
              <w:keepLines w:val="0"/>
              <w:pageBreakBefore w:val="0"/>
              <w:widowControl w:val="0"/>
              <w:kinsoku/>
              <w:wordWrap/>
              <w:overflowPunct/>
              <w:topLinePunct w:val="0"/>
              <w:autoSpaceDE/>
              <w:autoSpaceDN/>
              <w:bidi w:val="0"/>
              <w:adjustRightInd/>
              <w:snapToGrid/>
              <w:spacing w:line="480" w:lineRule="exact"/>
              <w:ind w:firstLine="420"/>
              <w:textAlignment w:val="auto"/>
              <w:rPr>
                <w:color w:val="auto"/>
                <w:sz w:val="24"/>
                <w:szCs w:val="24"/>
              </w:rPr>
            </w:pPr>
            <w:r>
              <w:rPr>
                <w:color w:val="auto"/>
                <w:sz w:val="24"/>
                <w:szCs w:val="24"/>
              </w:rPr>
              <w:t>常州金坛区第二污水处理服务有限公司（原金坛区第二污水处理厂）于2002年开始筹建，总设计处理能力为40000t/d</w:t>
            </w:r>
            <w:r>
              <w:rPr>
                <w:rFonts w:hint="eastAsia"/>
                <w:color w:val="auto"/>
                <w:sz w:val="24"/>
                <w:szCs w:val="24"/>
              </w:rPr>
              <w:t>，</w:t>
            </w:r>
            <w:r>
              <w:rPr>
                <w:color w:val="auto"/>
                <w:sz w:val="24"/>
                <w:szCs w:val="24"/>
              </w:rPr>
              <w:t>分二期建成</w:t>
            </w:r>
            <w:r>
              <w:rPr>
                <w:rFonts w:hint="eastAsia"/>
                <w:color w:val="auto"/>
                <w:sz w:val="24"/>
                <w:szCs w:val="24"/>
              </w:rPr>
              <w:t>。</w:t>
            </w:r>
            <w:r>
              <w:rPr>
                <w:color w:val="auto"/>
                <w:sz w:val="24"/>
                <w:szCs w:val="24"/>
              </w:rPr>
              <w:t>2012年开始扩建，目前已建成60000t/d处理能力</w:t>
            </w:r>
            <w:r>
              <w:rPr>
                <w:rFonts w:hint="eastAsia"/>
                <w:color w:val="auto"/>
                <w:sz w:val="24"/>
                <w:szCs w:val="24"/>
              </w:rPr>
              <w:t>，目前</w:t>
            </w:r>
            <w:r>
              <w:rPr>
                <w:color w:val="auto"/>
                <w:sz w:val="24"/>
                <w:szCs w:val="24"/>
              </w:rPr>
              <w:t>已</w:t>
            </w:r>
            <w:r>
              <w:rPr>
                <w:rFonts w:hint="eastAsia"/>
                <w:color w:val="auto"/>
                <w:sz w:val="24"/>
                <w:szCs w:val="24"/>
              </w:rPr>
              <w:t>通过</w:t>
            </w:r>
            <w:r>
              <w:rPr>
                <w:color w:val="auto"/>
                <w:sz w:val="24"/>
                <w:szCs w:val="24"/>
              </w:rPr>
              <w:t>验收，尾水达到《城镇污水处理厂污染物排放标准》（GB18918-2002）中一级A标准及《太湖流域城镇污水处理厂及重点行业主要水污染排放限值》（DB32/1072-2018）后排入尧塘河。</w:t>
            </w:r>
          </w:p>
          <w:p w14:paraId="07D22F43">
            <w:pPr>
              <w:pStyle w:val="61"/>
              <w:keepNext w:val="0"/>
              <w:keepLines w:val="0"/>
              <w:pageBreakBefore w:val="0"/>
              <w:widowControl w:val="0"/>
              <w:kinsoku/>
              <w:wordWrap/>
              <w:overflowPunct/>
              <w:topLinePunct w:val="0"/>
              <w:autoSpaceDE/>
              <w:autoSpaceDN/>
              <w:bidi w:val="0"/>
              <w:adjustRightInd/>
              <w:snapToGrid/>
              <w:spacing w:line="480" w:lineRule="exact"/>
              <w:ind w:firstLine="420"/>
              <w:textAlignment w:val="auto"/>
              <w:rPr>
                <w:color w:val="auto"/>
                <w:sz w:val="24"/>
                <w:szCs w:val="24"/>
              </w:rPr>
            </w:pPr>
            <w:r>
              <w:rPr>
                <w:color w:val="auto"/>
                <w:sz w:val="24"/>
                <w:szCs w:val="24"/>
              </w:rPr>
              <w:t>②</w:t>
            </w:r>
            <w:r>
              <w:rPr>
                <w:rFonts w:hint="eastAsia"/>
                <w:color w:val="auto"/>
                <w:kern w:val="0"/>
                <w:sz w:val="24"/>
                <w:szCs w:val="24"/>
              </w:rPr>
              <w:t>常州金坛区第二污水处理有限公司服务范围</w:t>
            </w:r>
          </w:p>
          <w:p w14:paraId="65CE20D8">
            <w:pPr>
              <w:pStyle w:val="61"/>
              <w:keepNext w:val="0"/>
              <w:keepLines w:val="0"/>
              <w:pageBreakBefore w:val="0"/>
              <w:widowControl w:val="0"/>
              <w:kinsoku/>
              <w:wordWrap/>
              <w:overflowPunct/>
              <w:topLinePunct w:val="0"/>
              <w:autoSpaceDE/>
              <w:autoSpaceDN/>
              <w:bidi w:val="0"/>
              <w:adjustRightInd/>
              <w:snapToGrid/>
              <w:spacing w:line="480" w:lineRule="exact"/>
              <w:ind w:firstLine="420"/>
              <w:textAlignment w:val="auto"/>
              <w:rPr>
                <w:color w:val="auto"/>
                <w:sz w:val="24"/>
                <w:szCs w:val="24"/>
              </w:rPr>
            </w:pPr>
            <w:r>
              <w:rPr>
                <w:color w:val="auto"/>
                <w:sz w:val="24"/>
                <w:szCs w:val="24"/>
              </w:rPr>
              <w:t>常州金坛区第二污水处理有限公司主要收集服务区域内的工业废水和生活污水、尧塘镇工业园区企业、开发区河头部分企业工业废水及尧塘、汤庄、水北集镇镇区居民生活污水。本项目</w:t>
            </w:r>
            <w:r>
              <w:rPr>
                <w:rFonts w:hint="eastAsia"/>
                <w:color w:val="auto"/>
                <w:sz w:val="24"/>
                <w:szCs w:val="24"/>
              </w:rPr>
              <w:t>位于</w:t>
            </w:r>
            <w:r>
              <w:rPr>
                <w:color w:val="auto"/>
                <w:sz w:val="24"/>
                <w:szCs w:val="24"/>
              </w:rPr>
              <w:t>常州市金坛区</w:t>
            </w:r>
            <w:r>
              <w:rPr>
                <w:rFonts w:hint="eastAsia"/>
                <w:color w:val="auto"/>
                <w:sz w:val="24"/>
                <w:szCs w:val="24"/>
                <w:lang w:eastAsia="zh-CN"/>
              </w:rPr>
              <w:t>西城路118号</w:t>
            </w:r>
            <w:r>
              <w:rPr>
                <w:rFonts w:hint="eastAsia"/>
                <w:color w:val="auto"/>
                <w:sz w:val="24"/>
                <w:szCs w:val="24"/>
              </w:rPr>
              <w:t>，</w:t>
            </w:r>
            <w:r>
              <w:rPr>
                <w:color w:val="auto"/>
                <w:sz w:val="24"/>
                <w:szCs w:val="24"/>
              </w:rPr>
              <w:t>属于该污水处理厂的服务范围内。</w:t>
            </w:r>
          </w:p>
          <w:p w14:paraId="26204C4F">
            <w:pPr>
              <w:pStyle w:val="61"/>
              <w:keepNext w:val="0"/>
              <w:keepLines w:val="0"/>
              <w:pageBreakBefore w:val="0"/>
              <w:widowControl w:val="0"/>
              <w:kinsoku/>
              <w:wordWrap/>
              <w:overflowPunct/>
              <w:topLinePunct w:val="0"/>
              <w:autoSpaceDE/>
              <w:autoSpaceDN/>
              <w:bidi w:val="0"/>
              <w:adjustRightInd/>
              <w:snapToGrid/>
              <w:spacing w:line="480" w:lineRule="exact"/>
              <w:ind w:firstLine="420"/>
              <w:textAlignment w:val="auto"/>
              <w:rPr>
                <w:color w:val="auto"/>
                <w:kern w:val="0"/>
                <w:sz w:val="24"/>
                <w:szCs w:val="24"/>
              </w:rPr>
            </w:pPr>
            <w:r>
              <w:rPr>
                <w:color w:val="auto"/>
                <w:kern w:val="0"/>
                <w:sz w:val="24"/>
                <w:szCs w:val="24"/>
              </w:rPr>
              <w:t>③</w:t>
            </w:r>
            <w:r>
              <w:rPr>
                <w:rFonts w:hint="eastAsia"/>
                <w:color w:val="auto"/>
                <w:kern w:val="0"/>
                <w:sz w:val="24"/>
                <w:szCs w:val="24"/>
              </w:rPr>
              <w:t>污水处理工艺的可行性</w:t>
            </w:r>
          </w:p>
          <w:p w14:paraId="4F00EEB1">
            <w:pPr>
              <w:pStyle w:val="61"/>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auto"/>
                <w:sz w:val="24"/>
                <w:szCs w:val="24"/>
              </w:rPr>
            </w:pPr>
            <w:r>
              <w:rPr>
                <w:rFonts w:hint="eastAsia"/>
                <w:color w:val="auto"/>
                <w:kern w:val="0"/>
                <w:sz w:val="24"/>
                <w:szCs w:val="24"/>
              </w:rPr>
              <w:t>常州金坛区第二污水处理有限公司</w:t>
            </w:r>
            <w:r>
              <w:rPr>
                <w:color w:val="auto"/>
                <w:sz w:val="24"/>
                <w:szCs w:val="24"/>
              </w:rPr>
              <w:t>采用A</w:t>
            </w:r>
            <w:r>
              <w:rPr>
                <w:color w:val="auto"/>
                <w:sz w:val="24"/>
                <w:szCs w:val="24"/>
                <w:vertAlign w:val="superscript"/>
              </w:rPr>
              <w:t>2</w:t>
            </w:r>
            <w:r>
              <w:rPr>
                <w:rFonts w:hint="eastAsia"/>
                <w:color w:val="auto"/>
                <w:sz w:val="24"/>
                <w:szCs w:val="24"/>
              </w:rPr>
              <w:t>/</w:t>
            </w:r>
            <w:r>
              <w:rPr>
                <w:color w:val="auto"/>
                <w:sz w:val="24"/>
                <w:szCs w:val="24"/>
              </w:rPr>
              <w:t>O工艺</w:t>
            </w:r>
            <w:r>
              <w:rPr>
                <w:rFonts w:hint="eastAsia"/>
                <w:color w:val="auto"/>
                <w:sz w:val="24"/>
                <w:szCs w:val="24"/>
              </w:rPr>
              <w:t>，</w:t>
            </w:r>
            <w:r>
              <w:rPr>
                <w:color w:val="auto"/>
                <w:sz w:val="24"/>
                <w:szCs w:val="24"/>
              </w:rPr>
              <w:t>主导工艺采用A</w:t>
            </w:r>
            <w:r>
              <w:rPr>
                <w:color w:val="auto"/>
                <w:sz w:val="24"/>
                <w:szCs w:val="24"/>
                <w:vertAlign w:val="superscript"/>
              </w:rPr>
              <w:t>2</w:t>
            </w:r>
            <w:r>
              <w:rPr>
                <w:rFonts w:hint="eastAsia"/>
                <w:color w:val="auto"/>
                <w:sz w:val="24"/>
                <w:szCs w:val="24"/>
              </w:rPr>
              <w:t>/</w:t>
            </w:r>
            <w:r>
              <w:rPr>
                <w:color w:val="auto"/>
                <w:sz w:val="24"/>
                <w:szCs w:val="24"/>
              </w:rPr>
              <w:t>O生化池，生化池分三段：厌氧段、缺氧段及好氧段，三段在池型上均采用氧化沟的形式，每一段都设置有推进器，而好氧段则采用微孔曝气的曝气形式，即采用的工艺是将普通的A</w:t>
            </w:r>
            <w:r>
              <w:rPr>
                <w:color w:val="auto"/>
                <w:sz w:val="24"/>
                <w:szCs w:val="24"/>
                <w:vertAlign w:val="superscript"/>
              </w:rPr>
              <w:t>2</w:t>
            </w:r>
            <w:r>
              <w:rPr>
                <w:rFonts w:hint="eastAsia"/>
                <w:color w:val="auto"/>
                <w:sz w:val="24"/>
                <w:szCs w:val="24"/>
              </w:rPr>
              <w:t>/</w:t>
            </w:r>
            <w:r>
              <w:rPr>
                <w:color w:val="auto"/>
                <w:sz w:val="24"/>
                <w:szCs w:val="24"/>
              </w:rPr>
              <w:t>O法和氧化沟两种处理工艺充分结合，取长补短，让污水处理工艺能更好的</w:t>
            </w:r>
            <w:r>
              <w:rPr>
                <w:rFonts w:hint="eastAsia"/>
                <w:color w:val="auto"/>
                <w:sz w:val="24"/>
                <w:szCs w:val="24"/>
                <w:lang w:val="en-US" w:eastAsia="zh-CN"/>
              </w:rPr>
              <w:t>适应</w:t>
            </w:r>
            <w:r>
              <w:rPr>
                <w:color w:val="auto"/>
                <w:sz w:val="24"/>
                <w:szCs w:val="24"/>
              </w:rPr>
              <w:t>水质的变化、运行简单且稳定，出水效果好，从而达到满足脱氮除磷的要求。</w:t>
            </w:r>
          </w:p>
          <w:p w14:paraId="29110D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rFonts w:hint="eastAsia"/>
                <w:color w:val="auto"/>
                <w:kern w:val="0"/>
                <w:sz w:val="24"/>
                <w:szCs w:val="24"/>
              </w:rPr>
              <w:t>常州金坛区第二污水处理有限公司废水处理</w:t>
            </w:r>
            <w:r>
              <w:rPr>
                <w:rFonts w:hint="eastAsia"/>
                <w:color w:val="auto"/>
                <w:sz w:val="24"/>
                <w:szCs w:val="24"/>
              </w:rPr>
              <w:t>工艺流程见图4-</w:t>
            </w:r>
            <w:r>
              <w:rPr>
                <w:rFonts w:hint="eastAsia"/>
                <w:color w:val="auto"/>
                <w:sz w:val="24"/>
                <w:szCs w:val="24"/>
                <w:lang w:val="en-US" w:eastAsia="zh-CN"/>
              </w:rPr>
              <w:t>2</w:t>
            </w:r>
            <w:r>
              <w:rPr>
                <w:rFonts w:hint="eastAsia"/>
                <w:color w:val="auto"/>
                <w:sz w:val="24"/>
                <w:szCs w:val="24"/>
              </w:rPr>
              <w:t>。</w:t>
            </w:r>
          </w:p>
          <w:p w14:paraId="4C34801D">
            <w:pPr>
              <w:pStyle w:val="61"/>
              <w:spacing w:line="240" w:lineRule="auto"/>
              <w:ind w:firstLine="0" w:firstLineChars="0"/>
              <w:jc w:val="center"/>
              <w:rPr>
                <w:rFonts w:hint="eastAsia"/>
                <w:color w:val="auto"/>
                <w:sz w:val="24"/>
                <w:szCs w:val="24"/>
              </w:rPr>
            </w:pPr>
            <w:r>
              <w:rPr>
                <w:rFonts w:hint="eastAsia"/>
                <w:color w:val="auto"/>
                <w:sz w:val="24"/>
                <w:szCs w:val="24"/>
              </w:rPr>
              <w:drawing>
                <wp:inline distT="0" distB="0" distL="114300" distR="114300">
                  <wp:extent cx="4841875" cy="3154680"/>
                  <wp:effectExtent l="0" t="0" r="4445" b="0"/>
                  <wp:docPr id="27" name="图片 135" descr="SKMBT_4232408211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5" descr="SKMBT_42324082117370"/>
                          <pic:cNvPicPr>
                            <a:picLocks noChangeAspect="1"/>
                          </pic:cNvPicPr>
                        </pic:nvPicPr>
                        <pic:blipFill>
                          <a:blip r:embed="rId19"/>
                          <a:stretch>
                            <a:fillRect/>
                          </a:stretch>
                        </pic:blipFill>
                        <pic:spPr>
                          <a:xfrm>
                            <a:off x="0" y="0"/>
                            <a:ext cx="4841875" cy="3154680"/>
                          </a:xfrm>
                          <a:prstGeom prst="rect">
                            <a:avLst/>
                          </a:prstGeom>
                          <a:noFill/>
                          <a:ln>
                            <a:noFill/>
                          </a:ln>
                        </pic:spPr>
                      </pic:pic>
                    </a:graphicData>
                  </a:graphic>
                </wp:inline>
              </w:drawing>
            </w:r>
          </w:p>
          <w:p w14:paraId="4D925D8C">
            <w:pPr>
              <w:spacing w:line="360" w:lineRule="exact"/>
              <w:jc w:val="center"/>
              <w:rPr>
                <w:rFonts w:hint="eastAsia"/>
                <w:b/>
                <w:bCs/>
                <w:color w:val="auto"/>
                <w:sz w:val="21"/>
                <w:szCs w:val="21"/>
              </w:rPr>
            </w:pPr>
            <w:r>
              <w:rPr>
                <w:rFonts w:hint="eastAsia"/>
                <w:b/>
                <w:bCs/>
                <w:color w:val="auto"/>
                <w:sz w:val="21"/>
                <w:szCs w:val="21"/>
              </w:rPr>
              <w:t>图4-</w:t>
            </w:r>
            <w:r>
              <w:rPr>
                <w:rFonts w:hint="eastAsia"/>
                <w:b/>
                <w:bCs/>
                <w:color w:val="auto"/>
                <w:sz w:val="21"/>
                <w:szCs w:val="21"/>
                <w:lang w:val="en-US" w:eastAsia="zh-CN"/>
              </w:rPr>
              <w:t>2</w:t>
            </w:r>
            <w:r>
              <w:rPr>
                <w:rFonts w:hint="eastAsia"/>
                <w:b/>
                <w:bCs/>
                <w:color w:val="auto"/>
                <w:sz w:val="21"/>
                <w:szCs w:val="21"/>
              </w:rPr>
              <w:t xml:space="preserve">  </w:t>
            </w:r>
            <w:r>
              <w:rPr>
                <w:rFonts w:hint="eastAsia"/>
                <w:b/>
                <w:bCs/>
                <w:color w:val="auto"/>
                <w:kern w:val="0"/>
                <w:sz w:val="21"/>
                <w:szCs w:val="21"/>
              </w:rPr>
              <w:t>常州金坛区第二污水处理有限公司废水处理</w:t>
            </w:r>
            <w:r>
              <w:rPr>
                <w:rFonts w:hint="eastAsia"/>
                <w:b/>
                <w:bCs/>
                <w:color w:val="auto"/>
                <w:sz w:val="21"/>
                <w:szCs w:val="21"/>
              </w:rPr>
              <w:t>工艺流程图</w:t>
            </w:r>
          </w:p>
          <w:p w14:paraId="138A706B">
            <w:pPr>
              <w:pStyle w:val="61"/>
              <w:keepNext w:val="0"/>
              <w:keepLines w:val="0"/>
              <w:pageBreakBefore w:val="0"/>
              <w:kinsoku/>
              <w:wordWrap/>
              <w:overflowPunct/>
              <w:topLinePunct w:val="0"/>
              <w:autoSpaceDE/>
              <w:autoSpaceDN/>
              <w:bidi w:val="0"/>
              <w:adjustRightInd/>
              <w:snapToGrid/>
              <w:spacing w:line="480" w:lineRule="exact"/>
              <w:ind w:firstLine="420"/>
              <w:textAlignment w:val="auto"/>
              <w:rPr>
                <w:rFonts w:hint="eastAsia"/>
                <w:color w:val="auto"/>
                <w:kern w:val="0"/>
                <w:sz w:val="24"/>
                <w:szCs w:val="24"/>
              </w:rPr>
            </w:pPr>
            <w:r>
              <w:rPr>
                <w:color w:val="auto"/>
                <w:kern w:val="0"/>
                <w:sz w:val="24"/>
                <w:szCs w:val="24"/>
              </w:rPr>
              <w:t>④</w:t>
            </w:r>
            <w:r>
              <w:rPr>
                <w:rFonts w:hint="eastAsia"/>
                <w:color w:val="auto"/>
                <w:kern w:val="0"/>
                <w:sz w:val="24"/>
                <w:szCs w:val="24"/>
              </w:rPr>
              <w:t>污水接管可行性</w:t>
            </w:r>
          </w:p>
          <w:p w14:paraId="11F6A77E">
            <w:pPr>
              <w:pStyle w:val="20"/>
              <w:keepNext w:val="0"/>
              <w:keepLines w:val="0"/>
              <w:pageBreakBefore w:val="0"/>
              <w:kinsoku/>
              <w:wordWrap/>
              <w:overflowPunct/>
              <w:topLinePunct w:val="0"/>
              <w:autoSpaceDE/>
              <w:autoSpaceDN/>
              <w:bidi w:val="0"/>
              <w:adjustRightInd/>
              <w:snapToGrid/>
              <w:spacing w:before="0" w:after="0" w:afterLines="0" w:line="480" w:lineRule="exact"/>
              <w:ind w:firstLine="482" w:firstLineChars="200"/>
              <w:textAlignment w:val="auto"/>
              <w:rPr>
                <w:color w:val="auto"/>
                <w:sz w:val="24"/>
                <w:szCs w:val="24"/>
                <w:lang w:val="en-US" w:eastAsia="zh-CN"/>
              </w:rPr>
            </w:pPr>
            <w:r>
              <w:rPr>
                <w:b/>
                <w:bCs/>
                <w:color w:val="auto"/>
                <w:kern w:val="2"/>
                <w:sz w:val="24"/>
                <w:szCs w:val="24"/>
                <w:lang w:val="en-US" w:eastAsia="zh-CN"/>
              </w:rPr>
              <w:t>水量的可行性分析：</w:t>
            </w:r>
            <w:r>
              <w:rPr>
                <w:color w:val="auto"/>
                <w:sz w:val="24"/>
                <w:szCs w:val="24"/>
                <w:lang w:val="en-US" w:eastAsia="zh-CN"/>
              </w:rPr>
              <w:t>本项目</w:t>
            </w:r>
            <w:r>
              <w:rPr>
                <w:rFonts w:hint="eastAsia"/>
                <w:color w:val="auto"/>
                <w:sz w:val="24"/>
                <w:szCs w:val="24"/>
                <w:lang w:val="en-US" w:eastAsia="zh-CN"/>
              </w:rPr>
              <w:t>生活水</w:t>
            </w:r>
            <w:r>
              <w:rPr>
                <w:color w:val="auto"/>
                <w:sz w:val="24"/>
                <w:szCs w:val="24"/>
                <w:lang w:val="en-US" w:eastAsia="zh-CN"/>
              </w:rPr>
              <w:t>排水量约为</w:t>
            </w:r>
            <w:r>
              <w:rPr>
                <w:rFonts w:hint="eastAsia"/>
                <w:color w:val="auto"/>
                <w:sz w:val="24"/>
                <w:szCs w:val="24"/>
                <w:lang w:val="en-US" w:eastAsia="zh-CN"/>
              </w:rPr>
              <w:t>240</w:t>
            </w:r>
            <w:r>
              <w:rPr>
                <w:color w:val="auto"/>
                <w:sz w:val="24"/>
                <w:szCs w:val="24"/>
                <w:lang w:val="en-US" w:eastAsia="zh-CN"/>
              </w:rPr>
              <w:t>m</w:t>
            </w:r>
            <w:r>
              <w:rPr>
                <w:color w:val="auto"/>
                <w:sz w:val="24"/>
                <w:szCs w:val="24"/>
                <w:vertAlign w:val="superscript"/>
                <w:lang w:val="en-US" w:eastAsia="zh-CN"/>
              </w:rPr>
              <w:t>3</w:t>
            </w:r>
            <w:r>
              <w:rPr>
                <w:color w:val="auto"/>
                <w:sz w:val="24"/>
                <w:szCs w:val="24"/>
                <w:lang w:val="en-US" w:eastAsia="zh-CN"/>
              </w:rPr>
              <w:t>/a（</w:t>
            </w:r>
            <w:r>
              <w:rPr>
                <w:rFonts w:hint="eastAsia"/>
                <w:color w:val="auto"/>
                <w:sz w:val="24"/>
                <w:szCs w:val="24"/>
                <w:lang w:val="en-US" w:eastAsia="zh-CN"/>
              </w:rPr>
              <w:t>0.8</w:t>
            </w:r>
            <w:r>
              <w:rPr>
                <w:color w:val="auto"/>
                <w:sz w:val="24"/>
                <w:szCs w:val="24"/>
                <w:lang w:val="en-US" w:eastAsia="zh-CN"/>
              </w:rPr>
              <w:t>m</w:t>
            </w:r>
            <w:r>
              <w:rPr>
                <w:color w:val="auto"/>
                <w:sz w:val="24"/>
                <w:szCs w:val="24"/>
                <w:vertAlign w:val="superscript"/>
                <w:lang w:val="en-US" w:eastAsia="zh-CN"/>
              </w:rPr>
              <w:t>3</w:t>
            </w:r>
            <w:r>
              <w:rPr>
                <w:color w:val="auto"/>
                <w:sz w:val="24"/>
                <w:szCs w:val="24"/>
                <w:lang w:val="en-US" w:eastAsia="zh-CN"/>
              </w:rPr>
              <w:t>/d），占</w:t>
            </w:r>
            <w:r>
              <w:rPr>
                <w:rFonts w:hint="eastAsia"/>
                <w:color w:val="auto"/>
                <w:sz w:val="24"/>
                <w:szCs w:val="24"/>
                <w:lang w:val="en-US" w:eastAsia="zh-CN"/>
              </w:rPr>
              <w:t>常州金坛区第二污水处理有限公司</w:t>
            </w:r>
            <w:r>
              <w:rPr>
                <w:color w:val="auto"/>
                <w:sz w:val="24"/>
                <w:szCs w:val="24"/>
                <w:lang w:val="en-US" w:eastAsia="zh-CN"/>
              </w:rPr>
              <w:t>处理规模的0.</w:t>
            </w:r>
            <w:r>
              <w:rPr>
                <w:rFonts w:hint="eastAsia"/>
                <w:color w:val="auto"/>
                <w:sz w:val="24"/>
                <w:szCs w:val="24"/>
                <w:lang w:val="en-US" w:eastAsia="zh-CN"/>
              </w:rPr>
              <w:t>00133</w:t>
            </w:r>
            <w:r>
              <w:rPr>
                <w:color w:val="auto"/>
                <w:sz w:val="24"/>
                <w:szCs w:val="24"/>
                <w:lang w:val="en-US" w:eastAsia="zh-CN"/>
              </w:rPr>
              <w:t>%（处理规模为</w:t>
            </w:r>
            <w:r>
              <w:rPr>
                <w:rFonts w:hint="eastAsia"/>
                <w:color w:val="auto"/>
                <w:sz w:val="24"/>
                <w:szCs w:val="24"/>
                <w:lang w:val="en-US" w:eastAsia="zh-CN"/>
              </w:rPr>
              <w:t>6</w:t>
            </w:r>
            <w:r>
              <w:rPr>
                <w:color w:val="auto"/>
                <w:sz w:val="24"/>
                <w:szCs w:val="24"/>
                <w:lang w:val="en-US" w:eastAsia="zh-CN"/>
              </w:rPr>
              <w:t>万m</w:t>
            </w:r>
            <w:r>
              <w:rPr>
                <w:color w:val="auto"/>
                <w:sz w:val="24"/>
                <w:szCs w:val="24"/>
                <w:vertAlign w:val="superscript"/>
                <w:lang w:val="en-US" w:eastAsia="zh-CN"/>
              </w:rPr>
              <w:t>3</w:t>
            </w:r>
            <w:r>
              <w:rPr>
                <w:color w:val="auto"/>
                <w:sz w:val="24"/>
                <w:szCs w:val="24"/>
                <w:lang w:val="en-US" w:eastAsia="zh-CN"/>
              </w:rPr>
              <w:t>/d）；并根据调查，现该污水处理厂已签约的水量为</w:t>
            </w:r>
            <w:r>
              <w:rPr>
                <w:rFonts w:hint="eastAsia"/>
                <w:color w:val="auto"/>
                <w:sz w:val="24"/>
                <w:szCs w:val="24"/>
                <w:lang w:val="en-US" w:eastAsia="zh-CN"/>
              </w:rPr>
              <w:t>4</w:t>
            </w:r>
            <w:r>
              <w:rPr>
                <w:color w:val="auto"/>
                <w:sz w:val="24"/>
                <w:szCs w:val="24"/>
                <w:lang w:val="en-US" w:eastAsia="zh-CN"/>
              </w:rPr>
              <w:t>.0万m</w:t>
            </w:r>
            <w:r>
              <w:rPr>
                <w:color w:val="auto"/>
                <w:sz w:val="24"/>
                <w:szCs w:val="24"/>
                <w:vertAlign w:val="superscript"/>
                <w:lang w:val="en-US" w:eastAsia="zh-CN"/>
              </w:rPr>
              <w:t>3</w:t>
            </w:r>
            <w:r>
              <w:rPr>
                <w:color w:val="auto"/>
                <w:sz w:val="24"/>
                <w:szCs w:val="24"/>
                <w:lang w:val="en-US" w:eastAsia="zh-CN"/>
              </w:rPr>
              <w:t>/d，其剩余总量约2.0万m</w:t>
            </w:r>
            <w:r>
              <w:rPr>
                <w:color w:val="auto"/>
                <w:sz w:val="24"/>
                <w:szCs w:val="24"/>
                <w:vertAlign w:val="superscript"/>
                <w:lang w:val="en-US" w:eastAsia="zh-CN"/>
              </w:rPr>
              <w:t>3</w:t>
            </w:r>
            <w:r>
              <w:rPr>
                <w:color w:val="auto"/>
                <w:sz w:val="24"/>
                <w:szCs w:val="24"/>
                <w:lang w:val="en-US" w:eastAsia="zh-CN"/>
              </w:rPr>
              <w:t>/d，本项目</w:t>
            </w:r>
            <w:r>
              <w:rPr>
                <w:rFonts w:hint="eastAsia"/>
                <w:color w:val="auto"/>
                <w:sz w:val="24"/>
                <w:szCs w:val="24"/>
                <w:lang w:val="en-US" w:eastAsia="zh-CN"/>
              </w:rPr>
              <w:t>建成后全厂</w:t>
            </w:r>
            <w:r>
              <w:rPr>
                <w:color w:val="auto"/>
                <w:sz w:val="24"/>
                <w:szCs w:val="24"/>
                <w:lang w:val="en-US" w:eastAsia="zh-CN"/>
              </w:rPr>
              <w:t>废水</w:t>
            </w:r>
            <w:r>
              <w:rPr>
                <w:rFonts w:hint="eastAsia"/>
                <w:color w:val="auto"/>
                <w:sz w:val="24"/>
                <w:szCs w:val="24"/>
                <w:lang w:val="en-US" w:eastAsia="zh-CN"/>
              </w:rPr>
              <w:t>排放量</w:t>
            </w:r>
            <w:r>
              <w:rPr>
                <w:color w:val="auto"/>
                <w:sz w:val="24"/>
                <w:szCs w:val="24"/>
                <w:lang w:val="en-US" w:eastAsia="zh-CN"/>
              </w:rPr>
              <w:t>占其剩余总量</w:t>
            </w:r>
            <w:r>
              <w:rPr>
                <w:rFonts w:hint="eastAsia"/>
                <w:color w:val="auto"/>
                <w:sz w:val="24"/>
                <w:szCs w:val="24"/>
                <w:lang w:val="en-US" w:eastAsia="zh-CN"/>
              </w:rPr>
              <w:t>为</w:t>
            </w:r>
            <w:r>
              <w:rPr>
                <w:color w:val="auto"/>
                <w:sz w:val="24"/>
                <w:szCs w:val="24"/>
                <w:lang w:val="en-US" w:eastAsia="zh-CN"/>
              </w:rPr>
              <w:t>0.</w:t>
            </w:r>
            <w:r>
              <w:rPr>
                <w:rFonts w:hint="eastAsia"/>
                <w:color w:val="auto"/>
                <w:sz w:val="24"/>
                <w:szCs w:val="24"/>
                <w:lang w:val="en-US" w:eastAsia="zh-CN"/>
              </w:rPr>
              <w:t>00133</w:t>
            </w:r>
            <w:r>
              <w:rPr>
                <w:color w:val="auto"/>
                <w:sz w:val="24"/>
                <w:szCs w:val="24"/>
                <w:lang w:val="en-US" w:eastAsia="zh-CN"/>
              </w:rPr>
              <w:t>%</w:t>
            </w:r>
            <w:r>
              <w:rPr>
                <w:rFonts w:hint="eastAsia"/>
                <w:color w:val="auto"/>
                <w:sz w:val="24"/>
                <w:szCs w:val="24"/>
                <w:lang w:val="en-US" w:eastAsia="zh-CN"/>
              </w:rPr>
              <w:t>，</w:t>
            </w:r>
            <w:r>
              <w:rPr>
                <w:color w:val="auto"/>
                <w:sz w:val="24"/>
                <w:szCs w:val="24"/>
                <w:lang w:val="en-US" w:eastAsia="zh-CN"/>
              </w:rPr>
              <w:t>从废水量来看，</w:t>
            </w:r>
            <w:r>
              <w:rPr>
                <w:rFonts w:hint="eastAsia"/>
                <w:color w:val="auto"/>
                <w:sz w:val="24"/>
                <w:szCs w:val="24"/>
                <w:lang w:val="en-US" w:eastAsia="zh-CN"/>
              </w:rPr>
              <w:t>常州金坛区第二污水处理有限公司</w:t>
            </w:r>
            <w:r>
              <w:rPr>
                <w:color w:val="auto"/>
                <w:sz w:val="24"/>
                <w:szCs w:val="24"/>
                <w:lang w:val="en-US" w:eastAsia="zh-CN"/>
              </w:rPr>
              <w:t>完全有能力接收本项目废水。</w:t>
            </w:r>
          </w:p>
          <w:p w14:paraId="0528BCFC">
            <w:pPr>
              <w:pStyle w:val="61"/>
              <w:keepNext w:val="0"/>
              <w:keepLines w:val="0"/>
              <w:pageBreakBefore w:val="0"/>
              <w:kinsoku/>
              <w:wordWrap/>
              <w:overflowPunct/>
              <w:topLinePunct w:val="0"/>
              <w:autoSpaceDE/>
              <w:autoSpaceDN/>
              <w:bidi w:val="0"/>
              <w:adjustRightInd/>
              <w:snapToGrid/>
              <w:spacing w:line="480" w:lineRule="exact"/>
              <w:ind w:firstLine="422"/>
              <w:textAlignment w:val="auto"/>
              <w:rPr>
                <w:color w:val="auto"/>
                <w:sz w:val="24"/>
                <w:szCs w:val="24"/>
              </w:rPr>
            </w:pPr>
            <w:r>
              <w:rPr>
                <w:b/>
                <w:bCs/>
                <w:color w:val="auto"/>
                <w:sz w:val="24"/>
                <w:szCs w:val="24"/>
              </w:rPr>
              <w:t>水质的可行性分析：</w:t>
            </w:r>
            <w:r>
              <w:rPr>
                <w:color w:val="auto"/>
                <w:sz w:val="24"/>
                <w:szCs w:val="24"/>
              </w:rPr>
              <w:t>本项目废水</w:t>
            </w:r>
            <w:r>
              <w:rPr>
                <w:rFonts w:hint="eastAsia"/>
                <w:color w:val="auto"/>
                <w:sz w:val="24"/>
                <w:szCs w:val="24"/>
              </w:rPr>
              <w:t>经废水处理设施处理后</w:t>
            </w:r>
            <w:r>
              <w:rPr>
                <w:color w:val="auto"/>
                <w:sz w:val="24"/>
                <w:szCs w:val="24"/>
              </w:rPr>
              <w:t>，</w:t>
            </w:r>
            <w:r>
              <w:rPr>
                <w:rFonts w:hint="eastAsia"/>
                <w:color w:val="auto"/>
                <w:sz w:val="24"/>
                <w:szCs w:val="24"/>
              </w:rPr>
              <w:t>各污染物均</w:t>
            </w:r>
            <w:r>
              <w:rPr>
                <w:color w:val="auto"/>
                <w:sz w:val="24"/>
                <w:szCs w:val="24"/>
              </w:rPr>
              <w:t>可满足</w:t>
            </w:r>
            <w:r>
              <w:rPr>
                <w:rFonts w:hint="eastAsia"/>
                <w:color w:val="auto"/>
                <w:sz w:val="24"/>
                <w:szCs w:val="24"/>
              </w:rPr>
              <w:t>常州金坛区第二污水处理有限公司及《污水排入城镇下水道水质标准》（GB/T31962-2015）</w:t>
            </w:r>
            <w:r>
              <w:rPr>
                <w:color w:val="auto"/>
                <w:sz w:val="24"/>
                <w:szCs w:val="24"/>
              </w:rPr>
              <w:t>的接管要求，接管后不会对污水处理厂的处理工艺产生冲击，也不会对污水厂的正常运营产生冲击负荷，不影响其出水水质稳定达标排放</w:t>
            </w:r>
            <w:r>
              <w:rPr>
                <w:rFonts w:hint="eastAsia"/>
                <w:color w:val="auto"/>
                <w:sz w:val="24"/>
                <w:szCs w:val="24"/>
              </w:rPr>
              <w:t>，</w:t>
            </w:r>
            <w:r>
              <w:rPr>
                <w:color w:val="auto"/>
                <w:sz w:val="24"/>
                <w:szCs w:val="24"/>
              </w:rPr>
              <w:t>从水质上来说，本项目废水接管可行。</w:t>
            </w:r>
          </w:p>
          <w:p w14:paraId="179D356B">
            <w:pPr>
              <w:pStyle w:val="61"/>
              <w:keepNext w:val="0"/>
              <w:keepLines w:val="0"/>
              <w:pageBreakBefore w:val="0"/>
              <w:kinsoku/>
              <w:wordWrap/>
              <w:overflowPunct/>
              <w:topLinePunct w:val="0"/>
              <w:autoSpaceDE/>
              <w:autoSpaceDN/>
              <w:bidi w:val="0"/>
              <w:adjustRightInd/>
              <w:snapToGrid/>
              <w:spacing w:line="480" w:lineRule="exact"/>
              <w:ind w:firstLine="422"/>
              <w:textAlignment w:val="auto"/>
              <w:rPr>
                <w:color w:val="auto"/>
                <w:kern w:val="0"/>
                <w:sz w:val="24"/>
                <w:szCs w:val="24"/>
              </w:rPr>
            </w:pPr>
            <w:r>
              <w:rPr>
                <w:b/>
                <w:bCs/>
                <w:color w:val="auto"/>
                <w:sz w:val="24"/>
                <w:szCs w:val="24"/>
              </w:rPr>
              <w:t>管网和污水处理厂建设进度：</w:t>
            </w:r>
            <w:r>
              <w:rPr>
                <w:color w:val="auto"/>
                <w:sz w:val="24"/>
                <w:szCs w:val="24"/>
              </w:rPr>
              <w:t>本项目位于</w:t>
            </w:r>
            <w:r>
              <w:rPr>
                <w:rFonts w:hint="eastAsia"/>
                <w:color w:val="auto"/>
                <w:sz w:val="24"/>
                <w:szCs w:val="24"/>
              </w:rPr>
              <w:t>常州金坛区第二污水处理有限公司</w:t>
            </w:r>
            <w:r>
              <w:rPr>
                <w:color w:val="auto"/>
                <w:sz w:val="24"/>
                <w:szCs w:val="24"/>
              </w:rPr>
              <w:t>的服务范围内，且项目所在地的污水管网已铺设到位。</w:t>
            </w:r>
          </w:p>
          <w:p w14:paraId="5CEBAF7B">
            <w:pPr>
              <w:pStyle w:val="61"/>
              <w:keepNext w:val="0"/>
              <w:keepLines w:val="0"/>
              <w:pageBreakBefore w:val="0"/>
              <w:kinsoku/>
              <w:wordWrap/>
              <w:overflowPunct/>
              <w:topLinePunct w:val="0"/>
              <w:autoSpaceDE/>
              <w:autoSpaceDN/>
              <w:bidi w:val="0"/>
              <w:adjustRightInd/>
              <w:snapToGrid/>
              <w:spacing w:line="480" w:lineRule="exact"/>
              <w:ind w:firstLine="420"/>
              <w:textAlignment w:val="auto"/>
              <w:rPr>
                <w:rFonts w:hint="default"/>
                <w:color w:val="000000" w:themeColor="text1"/>
                <w:kern w:val="0"/>
                <w:sz w:val="24"/>
                <w:szCs w:val="24"/>
                <w:lang w:val="en-US" w:eastAsia="zh-CN"/>
                <w14:textFill>
                  <w14:solidFill>
                    <w14:schemeClr w14:val="tx1"/>
                  </w14:solidFill>
                </w14:textFill>
              </w:rPr>
            </w:pPr>
            <w:r>
              <w:rPr>
                <w:color w:val="auto"/>
                <w:kern w:val="0"/>
                <w:sz w:val="24"/>
                <w:szCs w:val="24"/>
              </w:rPr>
              <w:t>综上所述，从水质水量、接管标准及建设进度等方面综合考虑，本项目废水接管</w:t>
            </w:r>
            <w:r>
              <w:rPr>
                <w:rFonts w:hint="eastAsia"/>
                <w:color w:val="auto"/>
                <w:kern w:val="0"/>
                <w:sz w:val="24"/>
                <w:szCs w:val="24"/>
                <w:lang w:val="en-US" w:eastAsia="zh-CN"/>
              </w:rPr>
              <w:t>至</w:t>
            </w:r>
            <w:r>
              <w:rPr>
                <w:rFonts w:hint="eastAsia"/>
                <w:color w:val="auto"/>
                <w:kern w:val="0"/>
                <w:sz w:val="24"/>
                <w:szCs w:val="24"/>
              </w:rPr>
              <w:t>常州金坛区第二污水处理有限公司</w:t>
            </w:r>
            <w:r>
              <w:rPr>
                <w:color w:val="auto"/>
                <w:kern w:val="0"/>
                <w:sz w:val="24"/>
                <w:szCs w:val="24"/>
              </w:rPr>
              <w:t>处理可行。</w:t>
            </w:r>
          </w:p>
          <w:p w14:paraId="53CF1C05">
            <w:pPr>
              <w:keepNext w:val="0"/>
              <w:keepLines w:val="0"/>
              <w:pageBreakBefore w:val="0"/>
              <w:kinsoku/>
              <w:wordWrap/>
              <w:overflowPunct/>
              <w:topLinePunct w:val="0"/>
              <w:autoSpaceDE/>
              <w:autoSpaceDN/>
              <w:bidi w:val="0"/>
              <w:adjustRightInd/>
              <w:spacing w:line="480" w:lineRule="exact"/>
              <w:ind w:right="0"/>
              <w:textAlignment w:val="auto"/>
              <w:rPr>
                <w:b/>
                <w:bCs/>
                <w:color w:val="auto"/>
                <w:spacing w:val="-4"/>
                <w:sz w:val="24"/>
                <w:szCs w:val="24"/>
              </w:rPr>
            </w:pPr>
            <w:r>
              <w:rPr>
                <w:b/>
                <w:bCs/>
                <w:color w:val="auto"/>
                <w:spacing w:val="-4"/>
                <w:sz w:val="24"/>
                <w:szCs w:val="24"/>
              </w:rPr>
              <w:t>3、噪声</w:t>
            </w:r>
          </w:p>
          <w:p w14:paraId="7CEAD57A">
            <w:pPr>
              <w:keepNext w:val="0"/>
              <w:keepLines w:val="0"/>
              <w:pageBreakBefore w:val="0"/>
              <w:tabs>
                <w:tab w:val="left" w:pos="1684"/>
              </w:tabs>
              <w:kinsoku/>
              <w:wordWrap/>
              <w:overflowPunct/>
              <w:topLinePunct w:val="0"/>
              <w:autoSpaceDE/>
              <w:autoSpaceDN/>
              <w:bidi w:val="0"/>
              <w:adjustRightInd/>
              <w:spacing w:line="480" w:lineRule="exact"/>
              <w:ind w:right="0"/>
              <w:textAlignment w:val="auto"/>
              <w:rPr>
                <w:b/>
                <w:bCs/>
                <w:color w:val="auto"/>
                <w:sz w:val="24"/>
                <w:szCs w:val="24"/>
              </w:rPr>
            </w:pPr>
            <w:r>
              <w:rPr>
                <w:b/>
                <w:bCs/>
                <w:color w:val="auto"/>
                <w:sz w:val="24"/>
                <w:szCs w:val="24"/>
              </w:rPr>
              <w:t>3.1噪声源强分析</w:t>
            </w:r>
          </w:p>
          <w:p w14:paraId="604B25FC">
            <w:pPr>
              <w:keepNext w:val="0"/>
              <w:keepLines w:val="0"/>
              <w:pageBreakBefore w:val="0"/>
              <w:kinsoku/>
              <w:wordWrap/>
              <w:overflowPunct/>
              <w:topLinePunct w:val="0"/>
              <w:autoSpaceDE/>
              <w:autoSpaceDN/>
              <w:bidi w:val="0"/>
              <w:adjustRightInd/>
              <w:spacing w:line="480" w:lineRule="exact"/>
              <w:ind w:right="0" w:firstLine="480" w:firstLineChars="200"/>
              <w:textAlignment w:val="auto"/>
              <w:rPr>
                <w:rFonts w:hint="eastAsia"/>
                <w:color w:val="auto"/>
                <w:sz w:val="24"/>
                <w:szCs w:val="24"/>
              </w:rPr>
            </w:pPr>
            <w:r>
              <w:rPr>
                <w:bCs/>
                <w:color w:val="auto"/>
                <w:sz w:val="24"/>
                <w:szCs w:val="24"/>
              </w:rPr>
              <w:t>本项目</w:t>
            </w:r>
            <w:r>
              <w:rPr>
                <w:rFonts w:hint="eastAsia"/>
                <w:bCs/>
                <w:color w:val="auto"/>
                <w:sz w:val="24"/>
                <w:szCs w:val="24"/>
              </w:rPr>
              <w:t>主要噪声设备为</w:t>
            </w:r>
            <w:r>
              <w:rPr>
                <w:rFonts w:hint="eastAsia"/>
                <w:bCs/>
                <w:color w:val="auto"/>
                <w:sz w:val="24"/>
                <w:szCs w:val="24"/>
                <w:lang w:val="en-US" w:eastAsia="zh-CN"/>
              </w:rPr>
              <w:t>鼓风干燥箱</w:t>
            </w:r>
            <w:r>
              <w:rPr>
                <w:rFonts w:hint="eastAsia"/>
                <w:bCs/>
                <w:color w:val="auto"/>
                <w:sz w:val="24"/>
                <w:szCs w:val="24"/>
              </w:rPr>
              <w:t>、</w:t>
            </w:r>
            <w:r>
              <w:rPr>
                <w:rFonts w:hint="eastAsia"/>
                <w:bCs/>
                <w:color w:val="auto"/>
                <w:sz w:val="24"/>
                <w:szCs w:val="24"/>
                <w:lang w:val="en-US" w:eastAsia="zh-CN"/>
              </w:rPr>
              <w:t>超声波清洗机、台式离心机</w:t>
            </w:r>
            <w:r>
              <w:rPr>
                <w:bCs/>
                <w:color w:val="auto"/>
                <w:sz w:val="24"/>
                <w:szCs w:val="24"/>
              </w:rPr>
              <w:t>。</w:t>
            </w:r>
            <w:r>
              <w:rPr>
                <w:rFonts w:hint="eastAsia"/>
                <w:color w:val="auto"/>
                <w:sz w:val="24"/>
                <w:szCs w:val="24"/>
              </w:rPr>
              <w:t>本项目噪声源强调查清单（室外声源）</w:t>
            </w:r>
            <w:r>
              <w:rPr>
                <w:color w:val="auto"/>
                <w:sz w:val="24"/>
                <w:szCs w:val="24"/>
              </w:rPr>
              <w:t>见表4-</w:t>
            </w:r>
            <w:r>
              <w:rPr>
                <w:rFonts w:hint="eastAsia"/>
                <w:color w:val="auto"/>
                <w:sz w:val="24"/>
                <w:szCs w:val="24"/>
                <w:lang w:val="en-US" w:eastAsia="zh-CN"/>
              </w:rPr>
              <w:t>15</w:t>
            </w:r>
            <w:r>
              <w:rPr>
                <w:rFonts w:hint="eastAsia"/>
                <w:color w:val="auto"/>
                <w:sz w:val="24"/>
                <w:szCs w:val="24"/>
              </w:rPr>
              <w:t>。</w:t>
            </w:r>
          </w:p>
          <w:p w14:paraId="34D2D993">
            <w:pPr>
              <w:pStyle w:val="7"/>
              <w:keepNext w:val="0"/>
              <w:keepLines w:val="0"/>
              <w:pageBreakBefore w:val="0"/>
              <w:kinsoku/>
              <w:wordWrap/>
              <w:overflowPunct/>
              <w:topLinePunct w:val="0"/>
              <w:autoSpaceDE/>
              <w:autoSpaceDN/>
              <w:bidi w:val="0"/>
              <w:adjustRightInd/>
              <w:spacing w:before="0" w:after="0" w:line="480" w:lineRule="exact"/>
              <w:ind w:right="0"/>
              <w:textAlignment w:val="auto"/>
              <w:rPr>
                <w:rFonts w:hint="eastAsia"/>
                <w:color w:val="auto"/>
                <w:sz w:val="24"/>
                <w:szCs w:val="24"/>
              </w:rPr>
            </w:pPr>
          </w:p>
          <w:p w14:paraId="7EF5295F">
            <w:pPr>
              <w:pStyle w:val="11"/>
              <w:widowControl w:val="0"/>
              <w:numPr>
                <w:ilvl w:val="0"/>
                <w:numId w:val="0"/>
              </w:numPr>
              <w:jc w:val="both"/>
              <w:rPr>
                <w:rFonts w:hint="eastAsia"/>
                <w:color w:val="auto"/>
                <w:sz w:val="24"/>
                <w:szCs w:val="24"/>
              </w:rPr>
            </w:pPr>
          </w:p>
          <w:p w14:paraId="28CBAD3F">
            <w:pPr>
              <w:pStyle w:val="11"/>
              <w:widowControl w:val="0"/>
              <w:numPr>
                <w:ilvl w:val="0"/>
                <w:numId w:val="0"/>
              </w:numPr>
              <w:jc w:val="both"/>
              <w:rPr>
                <w:rFonts w:hint="eastAsia"/>
                <w:color w:val="auto"/>
                <w:sz w:val="24"/>
                <w:szCs w:val="24"/>
              </w:rPr>
            </w:pPr>
          </w:p>
          <w:p w14:paraId="51FF1A52">
            <w:pPr>
              <w:pStyle w:val="11"/>
              <w:widowControl w:val="0"/>
              <w:numPr>
                <w:ilvl w:val="0"/>
                <w:numId w:val="0"/>
              </w:numPr>
              <w:jc w:val="both"/>
              <w:rPr>
                <w:rFonts w:hint="eastAsia"/>
                <w:color w:val="auto"/>
                <w:sz w:val="24"/>
                <w:szCs w:val="24"/>
              </w:rPr>
            </w:pPr>
          </w:p>
          <w:p w14:paraId="4D1298D0">
            <w:pPr>
              <w:pStyle w:val="11"/>
              <w:widowControl w:val="0"/>
              <w:numPr>
                <w:ilvl w:val="0"/>
                <w:numId w:val="0"/>
              </w:numPr>
              <w:jc w:val="both"/>
              <w:rPr>
                <w:rFonts w:hint="eastAsia"/>
                <w:color w:val="auto"/>
                <w:sz w:val="24"/>
                <w:szCs w:val="24"/>
              </w:rPr>
            </w:pPr>
          </w:p>
          <w:p w14:paraId="584FD4F6">
            <w:pPr>
              <w:pStyle w:val="11"/>
              <w:widowControl w:val="0"/>
              <w:numPr>
                <w:ilvl w:val="0"/>
                <w:numId w:val="0"/>
              </w:numPr>
              <w:jc w:val="both"/>
              <w:rPr>
                <w:rFonts w:hint="eastAsia"/>
                <w:color w:val="auto"/>
                <w:sz w:val="24"/>
                <w:szCs w:val="24"/>
              </w:rPr>
            </w:pPr>
          </w:p>
          <w:p w14:paraId="030C3057">
            <w:pPr>
              <w:pStyle w:val="11"/>
              <w:widowControl w:val="0"/>
              <w:numPr>
                <w:ilvl w:val="0"/>
                <w:numId w:val="0"/>
              </w:numPr>
              <w:jc w:val="both"/>
              <w:rPr>
                <w:rFonts w:hint="eastAsia"/>
                <w:color w:val="auto"/>
                <w:sz w:val="24"/>
                <w:szCs w:val="24"/>
              </w:rPr>
            </w:pPr>
          </w:p>
          <w:p w14:paraId="5389702F">
            <w:pPr>
              <w:pStyle w:val="11"/>
              <w:widowControl w:val="0"/>
              <w:numPr>
                <w:ilvl w:val="0"/>
                <w:numId w:val="0"/>
              </w:numPr>
              <w:jc w:val="both"/>
              <w:rPr>
                <w:rFonts w:hint="eastAsia"/>
                <w:color w:val="auto"/>
                <w:sz w:val="24"/>
                <w:szCs w:val="24"/>
              </w:rPr>
            </w:pPr>
          </w:p>
          <w:p w14:paraId="20510BBA">
            <w:pPr>
              <w:pStyle w:val="11"/>
              <w:widowControl w:val="0"/>
              <w:numPr>
                <w:ilvl w:val="0"/>
                <w:numId w:val="0"/>
              </w:numPr>
              <w:jc w:val="both"/>
              <w:rPr>
                <w:rFonts w:hint="eastAsia"/>
                <w:color w:val="auto"/>
                <w:sz w:val="24"/>
                <w:szCs w:val="24"/>
              </w:rPr>
            </w:pPr>
          </w:p>
          <w:p w14:paraId="5ED24503">
            <w:pPr>
              <w:pStyle w:val="11"/>
              <w:widowControl w:val="0"/>
              <w:numPr>
                <w:ilvl w:val="0"/>
                <w:numId w:val="0"/>
              </w:numPr>
              <w:jc w:val="both"/>
              <w:rPr>
                <w:rFonts w:hint="eastAsia"/>
                <w:color w:val="auto"/>
                <w:sz w:val="24"/>
                <w:szCs w:val="24"/>
              </w:rPr>
            </w:pPr>
          </w:p>
          <w:p w14:paraId="343C61A1">
            <w:pPr>
              <w:pStyle w:val="11"/>
              <w:widowControl w:val="0"/>
              <w:numPr>
                <w:ilvl w:val="0"/>
                <w:numId w:val="0"/>
              </w:numPr>
              <w:jc w:val="both"/>
              <w:rPr>
                <w:rFonts w:hint="eastAsia"/>
                <w:color w:val="auto"/>
                <w:sz w:val="24"/>
                <w:szCs w:val="24"/>
              </w:rPr>
            </w:pPr>
          </w:p>
          <w:p w14:paraId="7EF2426D">
            <w:pPr>
              <w:pStyle w:val="11"/>
              <w:widowControl w:val="0"/>
              <w:numPr>
                <w:ilvl w:val="0"/>
                <w:numId w:val="0"/>
              </w:numPr>
              <w:jc w:val="both"/>
              <w:rPr>
                <w:rFonts w:hint="eastAsia"/>
                <w:color w:val="auto"/>
                <w:sz w:val="24"/>
                <w:szCs w:val="24"/>
              </w:rPr>
            </w:pPr>
          </w:p>
          <w:p w14:paraId="7937F3D2">
            <w:pPr>
              <w:pStyle w:val="11"/>
              <w:widowControl w:val="0"/>
              <w:numPr>
                <w:ilvl w:val="0"/>
                <w:numId w:val="0"/>
              </w:numPr>
              <w:jc w:val="both"/>
              <w:rPr>
                <w:rFonts w:hint="eastAsia"/>
                <w:color w:val="auto"/>
                <w:sz w:val="24"/>
                <w:szCs w:val="24"/>
              </w:rPr>
            </w:pPr>
          </w:p>
          <w:p w14:paraId="17408548">
            <w:pPr>
              <w:pStyle w:val="11"/>
              <w:widowControl w:val="0"/>
              <w:numPr>
                <w:ilvl w:val="0"/>
                <w:numId w:val="0"/>
              </w:numPr>
              <w:jc w:val="both"/>
              <w:rPr>
                <w:rFonts w:hint="eastAsia"/>
                <w:color w:val="auto"/>
                <w:sz w:val="24"/>
                <w:szCs w:val="24"/>
              </w:rPr>
            </w:pPr>
          </w:p>
          <w:p w14:paraId="13B79CA7">
            <w:pPr>
              <w:pStyle w:val="11"/>
              <w:widowControl w:val="0"/>
              <w:numPr>
                <w:ilvl w:val="0"/>
                <w:numId w:val="0"/>
              </w:numPr>
              <w:jc w:val="both"/>
              <w:rPr>
                <w:rFonts w:hint="eastAsia"/>
                <w:color w:val="auto"/>
                <w:sz w:val="24"/>
                <w:szCs w:val="24"/>
              </w:rPr>
            </w:pPr>
          </w:p>
          <w:p w14:paraId="7D42CCCE">
            <w:pPr>
              <w:pStyle w:val="11"/>
              <w:widowControl w:val="0"/>
              <w:numPr>
                <w:ilvl w:val="0"/>
                <w:numId w:val="0"/>
              </w:numPr>
              <w:jc w:val="both"/>
              <w:rPr>
                <w:rFonts w:hint="eastAsia"/>
                <w:color w:val="auto"/>
                <w:sz w:val="24"/>
                <w:szCs w:val="24"/>
              </w:rPr>
            </w:pPr>
          </w:p>
          <w:p w14:paraId="33EBD71D">
            <w:pPr>
              <w:pStyle w:val="11"/>
              <w:widowControl w:val="0"/>
              <w:numPr>
                <w:ilvl w:val="0"/>
                <w:numId w:val="0"/>
              </w:numPr>
              <w:jc w:val="both"/>
              <w:rPr>
                <w:rFonts w:hint="eastAsia"/>
                <w:color w:val="auto"/>
                <w:sz w:val="24"/>
                <w:szCs w:val="24"/>
              </w:rPr>
            </w:pPr>
          </w:p>
          <w:p w14:paraId="5E3E61D1">
            <w:pPr>
              <w:pStyle w:val="11"/>
              <w:widowControl w:val="0"/>
              <w:numPr>
                <w:ilvl w:val="0"/>
                <w:numId w:val="0"/>
              </w:numPr>
              <w:jc w:val="both"/>
              <w:rPr>
                <w:rFonts w:hint="eastAsia"/>
                <w:color w:val="auto"/>
                <w:sz w:val="24"/>
                <w:szCs w:val="24"/>
              </w:rPr>
            </w:pPr>
          </w:p>
          <w:p w14:paraId="5395AEDE">
            <w:pPr>
              <w:pStyle w:val="11"/>
              <w:widowControl w:val="0"/>
              <w:numPr>
                <w:ilvl w:val="0"/>
                <w:numId w:val="0"/>
              </w:numPr>
              <w:jc w:val="both"/>
              <w:rPr>
                <w:rFonts w:hint="eastAsia"/>
                <w:color w:val="auto"/>
                <w:sz w:val="24"/>
                <w:szCs w:val="24"/>
              </w:rPr>
            </w:pPr>
          </w:p>
          <w:p w14:paraId="2257FE00">
            <w:pPr>
              <w:pStyle w:val="11"/>
              <w:widowControl w:val="0"/>
              <w:numPr>
                <w:ilvl w:val="0"/>
                <w:numId w:val="0"/>
              </w:numPr>
              <w:jc w:val="both"/>
              <w:rPr>
                <w:rFonts w:hint="eastAsia"/>
                <w:color w:val="auto"/>
                <w:sz w:val="24"/>
                <w:szCs w:val="24"/>
              </w:rPr>
            </w:pPr>
          </w:p>
          <w:p w14:paraId="01F53832">
            <w:pPr>
              <w:pStyle w:val="11"/>
              <w:widowControl w:val="0"/>
              <w:numPr>
                <w:ilvl w:val="0"/>
                <w:numId w:val="0"/>
              </w:numPr>
              <w:jc w:val="both"/>
              <w:rPr>
                <w:rFonts w:hint="eastAsia"/>
                <w:color w:val="auto"/>
                <w:sz w:val="24"/>
                <w:szCs w:val="24"/>
              </w:rPr>
            </w:pPr>
          </w:p>
        </w:tc>
      </w:tr>
    </w:tbl>
    <w:p w14:paraId="13A69AE8">
      <w:pPr>
        <w:pStyle w:val="44"/>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2575"/>
      </w:tblGrid>
      <w:tr w14:paraId="617F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44A256D5">
            <w:pPr>
              <w:adjustRightInd w:val="0"/>
              <w:snapToGrid w:val="0"/>
              <w:jc w:val="center"/>
              <w:rPr>
                <w:bCs/>
                <w:color w:val="auto"/>
                <w:szCs w:val="21"/>
              </w:rPr>
            </w:pPr>
            <w:r>
              <w:rPr>
                <w:bCs/>
                <w:color w:val="auto"/>
                <w:szCs w:val="21"/>
              </w:rPr>
              <w:t>运营</w:t>
            </w:r>
          </w:p>
          <w:p w14:paraId="1871DEE5">
            <w:pPr>
              <w:adjustRightInd w:val="0"/>
              <w:snapToGrid w:val="0"/>
              <w:jc w:val="center"/>
              <w:rPr>
                <w:bCs/>
                <w:color w:val="auto"/>
                <w:szCs w:val="21"/>
              </w:rPr>
            </w:pPr>
            <w:r>
              <w:rPr>
                <w:bCs/>
                <w:color w:val="auto"/>
                <w:szCs w:val="21"/>
              </w:rPr>
              <w:t>期环</w:t>
            </w:r>
          </w:p>
          <w:p w14:paraId="6F9BE79B">
            <w:pPr>
              <w:adjustRightInd w:val="0"/>
              <w:snapToGrid w:val="0"/>
              <w:jc w:val="center"/>
              <w:rPr>
                <w:bCs/>
                <w:color w:val="auto"/>
                <w:szCs w:val="21"/>
              </w:rPr>
            </w:pPr>
            <w:r>
              <w:rPr>
                <w:bCs/>
                <w:color w:val="auto"/>
                <w:szCs w:val="21"/>
              </w:rPr>
              <w:t>境影</w:t>
            </w:r>
          </w:p>
          <w:p w14:paraId="6EDF8AFE">
            <w:pPr>
              <w:adjustRightInd w:val="0"/>
              <w:snapToGrid w:val="0"/>
              <w:jc w:val="center"/>
              <w:rPr>
                <w:bCs/>
                <w:color w:val="auto"/>
                <w:szCs w:val="21"/>
              </w:rPr>
            </w:pPr>
            <w:r>
              <w:rPr>
                <w:bCs/>
                <w:color w:val="auto"/>
                <w:szCs w:val="21"/>
              </w:rPr>
              <w:t>响和</w:t>
            </w:r>
          </w:p>
          <w:p w14:paraId="4DF6EF44">
            <w:pPr>
              <w:adjustRightInd w:val="0"/>
              <w:snapToGrid w:val="0"/>
              <w:jc w:val="center"/>
              <w:rPr>
                <w:color w:val="auto"/>
              </w:rPr>
            </w:pPr>
            <w:r>
              <w:rPr>
                <w:bCs/>
                <w:color w:val="auto"/>
                <w:szCs w:val="21"/>
              </w:rPr>
              <w:t>保护措施</w:t>
            </w:r>
          </w:p>
        </w:tc>
        <w:tc>
          <w:tcPr>
            <w:tcW w:w="12575" w:type="dxa"/>
            <w:noWrap w:val="0"/>
            <w:vAlign w:val="top"/>
          </w:tcPr>
          <w:p w14:paraId="62B386EE">
            <w:pPr>
              <w:spacing w:line="360" w:lineRule="exact"/>
              <w:jc w:val="center"/>
              <w:rPr>
                <w:rFonts w:hint="eastAsia"/>
                <w:b/>
                <w:color w:val="auto"/>
                <w:szCs w:val="21"/>
              </w:rPr>
            </w:pPr>
            <w:r>
              <w:rPr>
                <w:rFonts w:hint="eastAsia"/>
                <w:b/>
                <w:color w:val="auto"/>
                <w:szCs w:val="21"/>
              </w:rPr>
              <w:t>表4-</w:t>
            </w:r>
            <w:r>
              <w:rPr>
                <w:rFonts w:hint="eastAsia"/>
                <w:b/>
                <w:color w:val="auto"/>
                <w:szCs w:val="21"/>
                <w:lang w:val="en-US" w:eastAsia="zh-CN"/>
              </w:rPr>
              <w:t>15</w:t>
            </w:r>
            <w:r>
              <w:rPr>
                <w:b/>
                <w:color w:val="auto"/>
                <w:szCs w:val="21"/>
              </w:rPr>
              <w:t xml:space="preserve"> </w:t>
            </w:r>
            <w:r>
              <w:rPr>
                <w:rFonts w:hint="eastAsia"/>
                <w:b/>
                <w:color w:val="auto"/>
                <w:szCs w:val="21"/>
              </w:rPr>
              <w:t>本项目噪声源强调查清单（室内声源）</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0"/>
              <w:gridCol w:w="821"/>
              <w:gridCol w:w="1090"/>
              <w:gridCol w:w="628"/>
              <w:gridCol w:w="984"/>
              <w:gridCol w:w="846"/>
              <w:gridCol w:w="776"/>
              <w:gridCol w:w="544"/>
              <w:gridCol w:w="544"/>
              <w:gridCol w:w="482"/>
              <w:gridCol w:w="460"/>
              <w:gridCol w:w="642"/>
              <w:gridCol w:w="830"/>
              <w:gridCol w:w="716"/>
              <w:gridCol w:w="909"/>
              <w:gridCol w:w="840"/>
              <w:gridCol w:w="785"/>
            </w:tblGrid>
            <w:tr w14:paraId="2AD432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182" w:type="pct"/>
                  <w:vMerge w:val="restart"/>
                  <w:noWrap w:val="0"/>
                  <w:vAlign w:val="center"/>
                </w:tcPr>
                <w:p w14:paraId="780AD75C">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序号</w:t>
                  </w:r>
                </w:p>
              </w:tc>
              <w:tc>
                <w:tcPr>
                  <w:tcW w:w="332" w:type="pct"/>
                  <w:vMerge w:val="restart"/>
                  <w:noWrap w:val="0"/>
                  <w:vAlign w:val="center"/>
                </w:tcPr>
                <w:p w14:paraId="1E388AB8">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建筑物名称</w:t>
                  </w:r>
                </w:p>
              </w:tc>
              <w:tc>
                <w:tcPr>
                  <w:tcW w:w="441" w:type="pct"/>
                  <w:vMerge w:val="restart"/>
                  <w:tcBorders>
                    <w:right w:val="single" w:color="auto" w:sz="4" w:space="0"/>
                  </w:tcBorders>
                  <w:noWrap w:val="0"/>
                  <w:vAlign w:val="center"/>
                </w:tcPr>
                <w:p w14:paraId="54142D44">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声源名称</w:t>
                  </w:r>
                </w:p>
              </w:tc>
              <w:tc>
                <w:tcPr>
                  <w:tcW w:w="254" w:type="pct"/>
                  <w:vMerge w:val="restart"/>
                  <w:tcBorders>
                    <w:left w:val="single" w:color="auto" w:sz="4" w:space="0"/>
                  </w:tcBorders>
                  <w:noWrap w:val="0"/>
                  <w:vAlign w:val="center"/>
                </w:tcPr>
                <w:p w14:paraId="1F8361AB">
                  <w:pPr>
                    <w:pStyle w:val="11"/>
                    <w:numPr>
                      <w:ilvl w:val="0"/>
                      <w:numId w:val="0"/>
                    </w:numPr>
                    <w:spacing w:line="290" w:lineRule="exact"/>
                    <w:jc w:val="center"/>
                    <w:rPr>
                      <w:rFonts w:hint="eastAsia"/>
                      <w:b/>
                      <w:bCs/>
                      <w:color w:val="FF0000"/>
                      <w:sz w:val="21"/>
                      <w:szCs w:val="21"/>
                    </w:rPr>
                  </w:pPr>
                  <w:r>
                    <w:rPr>
                      <w:rFonts w:hint="eastAsia"/>
                      <w:b/>
                      <w:bCs/>
                      <w:color w:val="000000" w:themeColor="text1"/>
                      <w:sz w:val="21"/>
                      <w:szCs w:val="21"/>
                      <w14:textFill>
                        <w14:solidFill>
                          <w14:schemeClr w14:val="tx1"/>
                        </w14:solidFill>
                      </w14:textFill>
                    </w:rPr>
                    <w:t>数量</w:t>
                  </w:r>
                </w:p>
              </w:tc>
              <w:tc>
                <w:tcPr>
                  <w:tcW w:w="398" w:type="pct"/>
                  <w:vMerge w:val="restart"/>
                  <w:noWrap w:val="0"/>
                  <w:vAlign w:val="center"/>
                </w:tcPr>
                <w:p w14:paraId="5D9A0A2D">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型号</w:t>
                  </w:r>
                </w:p>
              </w:tc>
              <w:tc>
                <w:tcPr>
                  <w:tcW w:w="342" w:type="pct"/>
                  <w:vMerge w:val="restart"/>
                  <w:noWrap w:val="0"/>
                  <w:vAlign w:val="center"/>
                </w:tcPr>
                <w:p w14:paraId="5B73DF65">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功率级/dB（A）</w:t>
                  </w:r>
                </w:p>
              </w:tc>
              <w:tc>
                <w:tcPr>
                  <w:tcW w:w="314" w:type="pct"/>
                  <w:vMerge w:val="restart"/>
                  <w:noWrap w:val="0"/>
                  <w:vAlign w:val="center"/>
                </w:tcPr>
                <w:p w14:paraId="1384D881">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声源控制措施</w:t>
                  </w:r>
                </w:p>
              </w:tc>
              <w:tc>
                <w:tcPr>
                  <w:tcW w:w="635" w:type="pct"/>
                  <w:gridSpan w:val="3"/>
                  <w:noWrap w:val="0"/>
                  <w:vAlign w:val="center"/>
                </w:tcPr>
                <w:p w14:paraId="2162C1B6">
                  <w:pPr>
                    <w:pStyle w:val="11"/>
                    <w:numPr>
                      <w:ilvl w:val="0"/>
                      <w:numId w:val="0"/>
                    </w:numPr>
                    <w:spacing w:line="290" w:lineRule="exact"/>
                    <w:jc w:val="center"/>
                    <w:rPr>
                      <w:b/>
                      <w:bCs/>
                      <w:color w:val="FF0000"/>
                      <w:sz w:val="21"/>
                      <w:szCs w:val="21"/>
                    </w:rPr>
                  </w:pPr>
                  <w:r>
                    <w:rPr>
                      <w:rFonts w:hint="eastAsia"/>
                      <w:b/>
                      <w:bCs/>
                      <w:color w:val="000000" w:themeColor="text1"/>
                      <w:spacing w:val="-11"/>
                      <w:sz w:val="21"/>
                      <w:szCs w:val="21"/>
                      <w14:textFill>
                        <w14:solidFill>
                          <w14:schemeClr w14:val="tx1"/>
                        </w14:solidFill>
                      </w14:textFill>
                    </w:rPr>
                    <w:t>空间相对位置</w:t>
                  </w:r>
                  <w:r>
                    <w:rPr>
                      <w:b/>
                      <w:bCs/>
                      <w:color w:val="000000" w:themeColor="text1"/>
                      <w:spacing w:val="-11"/>
                      <w:sz w:val="21"/>
                      <w:szCs w:val="21"/>
                      <w14:textFill>
                        <w14:solidFill>
                          <w14:schemeClr w14:val="tx1"/>
                        </w14:solidFill>
                      </w14:textFill>
                    </w:rPr>
                    <w:t>/m</w:t>
                  </w:r>
                </w:p>
              </w:tc>
              <w:tc>
                <w:tcPr>
                  <w:tcW w:w="446" w:type="pct"/>
                  <w:gridSpan w:val="2"/>
                  <w:vMerge w:val="restart"/>
                  <w:noWrap w:val="0"/>
                  <w:vAlign w:val="center"/>
                </w:tcPr>
                <w:p w14:paraId="288AE617">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距室内边界距离</w:t>
                  </w:r>
                  <w:r>
                    <w:rPr>
                      <w:b/>
                      <w:bCs/>
                      <w:color w:val="000000" w:themeColor="text1"/>
                      <w:sz w:val="21"/>
                      <w:szCs w:val="21"/>
                      <w14:textFill>
                        <w14:solidFill>
                          <w14:schemeClr w14:val="tx1"/>
                        </w14:solidFill>
                      </w14:textFill>
                    </w:rPr>
                    <w:t>/m</w:t>
                  </w:r>
                </w:p>
              </w:tc>
              <w:tc>
                <w:tcPr>
                  <w:tcW w:w="336" w:type="pct"/>
                  <w:vMerge w:val="restart"/>
                  <w:noWrap w:val="0"/>
                  <w:vAlign w:val="center"/>
                </w:tcPr>
                <w:p w14:paraId="0B7DABF2">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室内边界声级</w:t>
                  </w:r>
                  <w:r>
                    <w:rPr>
                      <w:b/>
                      <w:bCs/>
                      <w:color w:val="000000" w:themeColor="text1"/>
                      <w:sz w:val="21"/>
                      <w:szCs w:val="21"/>
                      <w14:textFill>
                        <w14:solidFill>
                          <w14:schemeClr w14:val="tx1"/>
                        </w14:solidFill>
                      </w14:textFill>
                    </w:rPr>
                    <w:t>/dB</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A</w:t>
                  </w:r>
                  <w:r>
                    <w:rPr>
                      <w:rFonts w:hint="eastAsia"/>
                      <w:b/>
                      <w:bCs/>
                      <w:color w:val="000000" w:themeColor="text1"/>
                      <w:sz w:val="21"/>
                      <w:szCs w:val="21"/>
                      <w14:textFill>
                        <w14:solidFill>
                          <w14:schemeClr w14:val="tx1"/>
                        </w14:solidFill>
                      </w14:textFill>
                    </w:rPr>
                    <w:t>）</w:t>
                  </w:r>
                </w:p>
              </w:tc>
              <w:tc>
                <w:tcPr>
                  <w:tcW w:w="289" w:type="pct"/>
                  <w:vMerge w:val="restart"/>
                  <w:noWrap w:val="0"/>
                  <w:vAlign w:val="center"/>
                </w:tcPr>
                <w:p w14:paraId="7A23098C">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运行时段</w:t>
                  </w:r>
                </w:p>
              </w:tc>
              <w:tc>
                <w:tcPr>
                  <w:tcW w:w="368" w:type="pct"/>
                  <w:vMerge w:val="restart"/>
                  <w:noWrap w:val="0"/>
                  <w:vAlign w:val="center"/>
                </w:tcPr>
                <w:p w14:paraId="159041F4">
                  <w:pPr>
                    <w:pStyle w:val="11"/>
                    <w:numPr>
                      <w:ilvl w:val="0"/>
                      <w:numId w:val="0"/>
                    </w:numPr>
                    <w:spacing w:line="290" w:lineRule="exact"/>
                    <w:jc w:val="center"/>
                    <w:rPr>
                      <w:b/>
                      <w:bCs/>
                      <w:color w:val="FF0000"/>
                      <w:sz w:val="21"/>
                      <w:szCs w:val="21"/>
                    </w:rPr>
                  </w:pPr>
                  <w:r>
                    <w:rPr>
                      <w:rFonts w:hint="eastAsia"/>
                      <w:b/>
                      <w:bCs/>
                      <w:color w:val="000000" w:themeColor="text1"/>
                      <w:spacing w:val="-11"/>
                      <w:sz w:val="21"/>
                      <w:szCs w:val="21"/>
                      <w14:textFill>
                        <w14:solidFill>
                          <w14:schemeClr w14:val="tx1"/>
                        </w14:solidFill>
                      </w14:textFill>
                    </w:rPr>
                    <w:t>建筑物插入损失</w:t>
                  </w:r>
                  <w:r>
                    <w:rPr>
                      <w:b/>
                      <w:bCs/>
                      <w:color w:val="000000" w:themeColor="text1"/>
                      <w:spacing w:val="-11"/>
                      <w:sz w:val="21"/>
                      <w:szCs w:val="21"/>
                      <w14:textFill>
                        <w14:solidFill>
                          <w14:schemeClr w14:val="tx1"/>
                        </w14:solidFill>
                      </w14:textFill>
                    </w:rPr>
                    <w:t>/dB</w:t>
                  </w:r>
                  <w:r>
                    <w:rPr>
                      <w:rFonts w:hint="eastAsia"/>
                      <w:b/>
                      <w:bCs/>
                      <w:color w:val="000000" w:themeColor="text1"/>
                      <w:spacing w:val="-11"/>
                      <w:sz w:val="21"/>
                      <w:szCs w:val="21"/>
                      <w14:textFill>
                        <w14:solidFill>
                          <w14:schemeClr w14:val="tx1"/>
                        </w14:solidFill>
                      </w14:textFill>
                    </w:rPr>
                    <w:t>（</w:t>
                  </w:r>
                  <w:r>
                    <w:rPr>
                      <w:b/>
                      <w:bCs/>
                      <w:color w:val="000000" w:themeColor="text1"/>
                      <w:spacing w:val="-11"/>
                      <w:sz w:val="21"/>
                      <w:szCs w:val="21"/>
                      <w14:textFill>
                        <w14:solidFill>
                          <w14:schemeClr w14:val="tx1"/>
                        </w14:solidFill>
                      </w14:textFill>
                    </w:rPr>
                    <w:t>A</w:t>
                  </w:r>
                  <w:r>
                    <w:rPr>
                      <w:rFonts w:hint="eastAsia"/>
                      <w:b/>
                      <w:bCs/>
                      <w:color w:val="000000" w:themeColor="text1"/>
                      <w:spacing w:val="-11"/>
                      <w:sz w:val="21"/>
                      <w:szCs w:val="21"/>
                      <w14:textFill>
                        <w14:solidFill>
                          <w14:schemeClr w14:val="tx1"/>
                        </w14:solidFill>
                      </w14:textFill>
                    </w:rPr>
                    <w:t>）</w:t>
                  </w:r>
                </w:p>
              </w:tc>
              <w:tc>
                <w:tcPr>
                  <w:tcW w:w="658" w:type="pct"/>
                  <w:gridSpan w:val="2"/>
                  <w:noWrap w:val="0"/>
                  <w:vAlign w:val="center"/>
                </w:tcPr>
                <w:p w14:paraId="7EB8B6E7">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建筑物外噪声</w:t>
                  </w:r>
                </w:p>
              </w:tc>
            </w:tr>
            <w:tr w14:paraId="5DFDA7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1" w:hRule="atLeast"/>
              </w:trPr>
              <w:tc>
                <w:tcPr>
                  <w:tcW w:w="182" w:type="pct"/>
                  <w:vMerge w:val="continue"/>
                  <w:noWrap w:val="0"/>
                  <w:vAlign w:val="center"/>
                </w:tcPr>
                <w:p w14:paraId="0BF02436">
                  <w:pPr>
                    <w:widowControl/>
                    <w:spacing w:line="290" w:lineRule="exact"/>
                    <w:jc w:val="left"/>
                    <w:rPr>
                      <w:b/>
                      <w:bCs/>
                      <w:color w:val="FF0000"/>
                      <w:sz w:val="21"/>
                      <w:szCs w:val="21"/>
                    </w:rPr>
                  </w:pPr>
                </w:p>
              </w:tc>
              <w:tc>
                <w:tcPr>
                  <w:tcW w:w="332" w:type="pct"/>
                  <w:vMerge w:val="continue"/>
                  <w:noWrap w:val="0"/>
                  <w:vAlign w:val="center"/>
                </w:tcPr>
                <w:p w14:paraId="7D13A521">
                  <w:pPr>
                    <w:widowControl/>
                    <w:spacing w:line="290" w:lineRule="exact"/>
                    <w:jc w:val="left"/>
                    <w:rPr>
                      <w:b/>
                      <w:bCs/>
                      <w:color w:val="FF0000"/>
                      <w:sz w:val="21"/>
                      <w:szCs w:val="21"/>
                    </w:rPr>
                  </w:pPr>
                </w:p>
              </w:tc>
              <w:tc>
                <w:tcPr>
                  <w:tcW w:w="441" w:type="pct"/>
                  <w:vMerge w:val="continue"/>
                  <w:tcBorders>
                    <w:right w:val="single" w:color="auto" w:sz="4" w:space="0"/>
                  </w:tcBorders>
                  <w:noWrap w:val="0"/>
                  <w:vAlign w:val="center"/>
                </w:tcPr>
                <w:p w14:paraId="40A29F65">
                  <w:pPr>
                    <w:widowControl/>
                    <w:spacing w:line="290" w:lineRule="exact"/>
                    <w:jc w:val="left"/>
                    <w:rPr>
                      <w:b/>
                      <w:bCs/>
                      <w:color w:val="FF0000"/>
                      <w:sz w:val="21"/>
                      <w:szCs w:val="21"/>
                    </w:rPr>
                  </w:pPr>
                </w:p>
              </w:tc>
              <w:tc>
                <w:tcPr>
                  <w:tcW w:w="254" w:type="pct"/>
                  <w:vMerge w:val="continue"/>
                  <w:tcBorders>
                    <w:left w:val="single" w:color="auto" w:sz="4" w:space="0"/>
                  </w:tcBorders>
                  <w:noWrap w:val="0"/>
                  <w:vAlign w:val="center"/>
                </w:tcPr>
                <w:p w14:paraId="48F16411">
                  <w:pPr>
                    <w:widowControl/>
                    <w:spacing w:line="290" w:lineRule="exact"/>
                    <w:jc w:val="left"/>
                    <w:rPr>
                      <w:b/>
                      <w:bCs/>
                      <w:color w:val="FF0000"/>
                      <w:sz w:val="21"/>
                      <w:szCs w:val="21"/>
                    </w:rPr>
                  </w:pPr>
                </w:p>
              </w:tc>
              <w:tc>
                <w:tcPr>
                  <w:tcW w:w="398" w:type="pct"/>
                  <w:vMerge w:val="continue"/>
                  <w:noWrap w:val="0"/>
                  <w:vAlign w:val="center"/>
                </w:tcPr>
                <w:p w14:paraId="28EE8610">
                  <w:pPr>
                    <w:widowControl/>
                    <w:spacing w:line="290" w:lineRule="exact"/>
                    <w:jc w:val="left"/>
                    <w:rPr>
                      <w:b/>
                      <w:bCs/>
                      <w:color w:val="FF0000"/>
                      <w:sz w:val="21"/>
                      <w:szCs w:val="21"/>
                    </w:rPr>
                  </w:pPr>
                </w:p>
              </w:tc>
              <w:tc>
                <w:tcPr>
                  <w:tcW w:w="342" w:type="pct"/>
                  <w:vMerge w:val="continue"/>
                  <w:noWrap w:val="0"/>
                  <w:vAlign w:val="center"/>
                </w:tcPr>
                <w:p w14:paraId="7DF625E3">
                  <w:pPr>
                    <w:pStyle w:val="11"/>
                    <w:numPr>
                      <w:ilvl w:val="0"/>
                      <w:numId w:val="0"/>
                    </w:numPr>
                    <w:spacing w:line="290" w:lineRule="exact"/>
                    <w:jc w:val="center"/>
                    <w:rPr>
                      <w:b/>
                      <w:bCs/>
                      <w:color w:val="FF0000"/>
                      <w:sz w:val="21"/>
                      <w:szCs w:val="21"/>
                    </w:rPr>
                  </w:pPr>
                </w:p>
              </w:tc>
              <w:tc>
                <w:tcPr>
                  <w:tcW w:w="314" w:type="pct"/>
                  <w:vMerge w:val="continue"/>
                  <w:noWrap w:val="0"/>
                  <w:vAlign w:val="center"/>
                </w:tcPr>
                <w:p w14:paraId="3482502A">
                  <w:pPr>
                    <w:widowControl/>
                    <w:spacing w:line="290" w:lineRule="exact"/>
                    <w:jc w:val="left"/>
                    <w:rPr>
                      <w:b/>
                      <w:bCs/>
                      <w:color w:val="FF0000"/>
                      <w:sz w:val="21"/>
                      <w:szCs w:val="21"/>
                    </w:rPr>
                  </w:pPr>
                </w:p>
              </w:tc>
              <w:tc>
                <w:tcPr>
                  <w:tcW w:w="220" w:type="pct"/>
                  <w:noWrap w:val="0"/>
                  <w:vAlign w:val="center"/>
                </w:tcPr>
                <w:p w14:paraId="21DC7E49">
                  <w:pPr>
                    <w:pStyle w:val="11"/>
                    <w:numPr>
                      <w:ilvl w:val="0"/>
                      <w:numId w:val="0"/>
                    </w:numPr>
                    <w:spacing w:line="290" w:lineRule="exact"/>
                    <w:jc w:val="center"/>
                    <w:rPr>
                      <w:b/>
                      <w:bCs/>
                      <w:color w:val="FF0000"/>
                      <w:sz w:val="21"/>
                      <w:szCs w:val="21"/>
                    </w:rPr>
                  </w:pPr>
                  <w:r>
                    <w:rPr>
                      <w:b/>
                      <w:bCs/>
                      <w:color w:val="000000" w:themeColor="text1"/>
                      <w:sz w:val="21"/>
                      <w:szCs w:val="21"/>
                      <w14:textFill>
                        <w14:solidFill>
                          <w14:schemeClr w14:val="tx1"/>
                        </w14:solidFill>
                      </w14:textFill>
                    </w:rPr>
                    <w:t>X</w:t>
                  </w:r>
                </w:p>
              </w:tc>
              <w:tc>
                <w:tcPr>
                  <w:tcW w:w="220" w:type="pct"/>
                  <w:noWrap w:val="0"/>
                  <w:vAlign w:val="center"/>
                </w:tcPr>
                <w:p w14:paraId="65FD5269">
                  <w:pPr>
                    <w:pStyle w:val="11"/>
                    <w:numPr>
                      <w:ilvl w:val="0"/>
                      <w:numId w:val="0"/>
                    </w:numPr>
                    <w:spacing w:line="290" w:lineRule="exact"/>
                    <w:jc w:val="center"/>
                    <w:rPr>
                      <w:b/>
                      <w:bCs/>
                      <w:color w:val="FF0000"/>
                      <w:sz w:val="21"/>
                      <w:szCs w:val="21"/>
                    </w:rPr>
                  </w:pPr>
                  <w:r>
                    <w:rPr>
                      <w:b/>
                      <w:bCs/>
                      <w:color w:val="000000" w:themeColor="text1"/>
                      <w:sz w:val="21"/>
                      <w:szCs w:val="21"/>
                      <w14:textFill>
                        <w14:solidFill>
                          <w14:schemeClr w14:val="tx1"/>
                        </w14:solidFill>
                      </w14:textFill>
                    </w:rPr>
                    <w:t>Y</w:t>
                  </w:r>
                </w:p>
              </w:tc>
              <w:tc>
                <w:tcPr>
                  <w:tcW w:w="195" w:type="pct"/>
                  <w:noWrap w:val="0"/>
                  <w:vAlign w:val="center"/>
                </w:tcPr>
                <w:p w14:paraId="7FB33071">
                  <w:pPr>
                    <w:pStyle w:val="11"/>
                    <w:numPr>
                      <w:ilvl w:val="0"/>
                      <w:numId w:val="0"/>
                    </w:numPr>
                    <w:spacing w:line="290" w:lineRule="exact"/>
                    <w:jc w:val="center"/>
                    <w:rPr>
                      <w:b/>
                      <w:bCs/>
                      <w:color w:val="FF0000"/>
                      <w:sz w:val="21"/>
                      <w:szCs w:val="21"/>
                    </w:rPr>
                  </w:pPr>
                  <w:r>
                    <w:rPr>
                      <w:b/>
                      <w:bCs/>
                      <w:color w:val="000000" w:themeColor="text1"/>
                      <w:sz w:val="21"/>
                      <w:szCs w:val="21"/>
                      <w14:textFill>
                        <w14:solidFill>
                          <w14:schemeClr w14:val="tx1"/>
                        </w14:solidFill>
                      </w14:textFill>
                    </w:rPr>
                    <w:t>Z</w:t>
                  </w:r>
                </w:p>
              </w:tc>
              <w:tc>
                <w:tcPr>
                  <w:tcW w:w="446" w:type="pct"/>
                  <w:gridSpan w:val="2"/>
                  <w:vMerge w:val="continue"/>
                  <w:noWrap w:val="0"/>
                  <w:vAlign w:val="center"/>
                </w:tcPr>
                <w:p w14:paraId="5FE98C45">
                  <w:pPr>
                    <w:widowControl/>
                    <w:spacing w:line="290" w:lineRule="exact"/>
                    <w:jc w:val="left"/>
                    <w:rPr>
                      <w:b/>
                      <w:bCs/>
                      <w:color w:val="FF0000"/>
                      <w:sz w:val="21"/>
                      <w:szCs w:val="21"/>
                    </w:rPr>
                  </w:pPr>
                </w:p>
              </w:tc>
              <w:tc>
                <w:tcPr>
                  <w:tcW w:w="336" w:type="pct"/>
                  <w:vMerge w:val="continue"/>
                  <w:noWrap w:val="0"/>
                  <w:vAlign w:val="center"/>
                </w:tcPr>
                <w:p w14:paraId="3C971F4C">
                  <w:pPr>
                    <w:widowControl/>
                    <w:spacing w:line="290" w:lineRule="exact"/>
                    <w:jc w:val="left"/>
                    <w:rPr>
                      <w:b/>
                      <w:bCs/>
                      <w:color w:val="FF0000"/>
                      <w:sz w:val="21"/>
                      <w:szCs w:val="21"/>
                    </w:rPr>
                  </w:pPr>
                </w:p>
              </w:tc>
              <w:tc>
                <w:tcPr>
                  <w:tcW w:w="289" w:type="pct"/>
                  <w:vMerge w:val="continue"/>
                  <w:noWrap w:val="0"/>
                  <w:vAlign w:val="center"/>
                </w:tcPr>
                <w:p w14:paraId="6108C65D">
                  <w:pPr>
                    <w:widowControl/>
                    <w:spacing w:line="290" w:lineRule="exact"/>
                    <w:jc w:val="left"/>
                    <w:rPr>
                      <w:b/>
                      <w:bCs/>
                      <w:color w:val="FF0000"/>
                      <w:sz w:val="21"/>
                      <w:szCs w:val="21"/>
                    </w:rPr>
                  </w:pPr>
                </w:p>
              </w:tc>
              <w:tc>
                <w:tcPr>
                  <w:tcW w:w="368" w:type="pct"/>
                  <w:vMerge w:val="continue"/>
                  <w:noWrap w:val="0"/>
                  <w:vAlign w:val="center"/>
                </w:tcPr>
                <w:p w14:paraId="58B060C2">
                  <w:pPr>
                    <w:widowControl/>
                    <w:spacing w:line="290" w:lineRule="exact"/>
                    <w:jc w:val="left"/>
                    <w:rPr>
                      <w:b/>
                      <w:bCs/>
                      <w:color w:val="FF0000"/>
                      <w:sz w:val="21"/>
                      <w:szCs w:val="21"/>
                    </w:rPr>
                  </w:pPr>
                </w:p>
              </w:tc>
              <w:tc>
                <w:tcPr>
                  <w:tcW w:w="340" w:type="pct"/>
                  <w:noWrap w:val="0"/>
                  <w:vAlign w:val="center"/>
                </w:tcPr>
                <w:p w14:paraId="2C9260C3">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声压级</w:t>
                  </w:r>
                  <w:r>
                    <w:rPr>
                      <w:b/>
                      <w:bCs/>
                      <w:color w:val="000000" w:themeColor="text1"/>
                      <w:sz w:val="21"/>
                      <w:szCs w:val="21"/>
                      <w14:textFill>
                        <w14:solidFill>
                          <w14:schemeClr w14:val="tx1"/>
                        </w14:solidFill>
                      </w14:textFill>
                    </w:rPr>
                    <w:t>/dB</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A</w:t>
                  </w:r>
                  <w:r>
                    <w:rPr>
                      <w:rFonts w:hint="eastAsia"/>
                      <w:b/>
                      <w:bCs/>
                      <w:color w:val="000000" w:themeColor="text1"/>
                      <w:sz w:val="21"/>
                      <w:szCs w:val="21"/>
                      <w14:textFill>
                        <w14:solidFill>
                          <w14:schemeClr w14:val="tx1"/>
                        </w14:solidFill>
                      </w14:textFill>
                    </w:rPr>
                    <w:t>）</w:t>
                  </w:r>
                </w:p>
              </w:tc>
              <w:tc>
                <w:tcPr>
                  <w:tcW w:w="317" w:type="pct"/>
                  <w:noWrap w:val="0"/>
                  <w:vAlign w:val="center"/>
                </w:tcPr>
                <w:p w14:paraId="2E1DBD1F">
                  <w:pPr>
                    <w:pStyle w:val="11"/>
                    <w:numPr>
                      <w:ilvl w:val="0"/>
                      <w:numId w:val="0"/>
                    </w:numPr>
                    <w:spacing w:line="290" w:lineRule="exact"/>
                    <w:jc w:val="center"/>
                    <w:rPr>
                      <w:b/>
                      <w:bCs/>
                      <w:color w:val="FF0000"/>
                      <w:sz w:val="21"/>
                      <w:szCs w:val="21"/>
                    </w:rPr>
                  </w:pPr>
                  <w:r>
                    <w:rPr>
                      <w:rFonts w:hint="eastAsia"/>
                      <w:b/>
                      <w:bCs/>
                      <w:color w:val="000000" w:themeColor="text1"/>
                      <w:sz w:val="21"/>
                      <w:szCs w:val="21"/>
                      <w14:textFill>
                        <w14:solidFill>
                          <w14:schemeClr w14:val="tx1"/>
                        </w14:solidFill>
                      </w14:textFill>
                    </w:rPr>
                    <w:t>建筑物外距离</w:t>
                  </w:r>
                </w:p>
              </w:tc>
            </w:tr>
            <w:tr w14:paraId="52C48A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restart"/>
                  <w:noWrap w:val="0"/>
                  <w:vAlign w:val="center"/>
                </w:tcPr>
                <w:p w14:paraId="4B0C569E">
                  <w:pPr>
                    <w:pStyle w:val="11"/>
                    <w:numPr>
                      <w:ilvl w:val="0"/>
                      <w:numId w:val="0"/>
                    </w:numPr>
                    <w:spacing w:line="290" w:lineRule="exact"/>
                    <w:jc w:val="center"/>
                    <w:rPr>
                      <w:rFonts w:hint="eastAsia"/>
                      <w:color w:val="FF0000"/>
                      <w:sz w:val="21"/>
                      <w:szCs w:val="21"/>
                    </w:rPr>
                  </w:pPr>
                  <w:r>
                    <w:rPr>
                      <w:color w:val="000000" w:themeColor="text1"/>
                      <w:sz w:val="21"/>
                      <w:szCs w:val="21"/>
                      <w14:textFill>
                        <w14:solidFill>
                          <w14:schemeClr w14:val="tx1"/>
                        </w14:solidFill>
                      </w14:textFill>
                    </w:rPr>
                    <w:t>1</w:t>
                  </w:r>
                </w:p>
              </w:tc>
              <w:tc>
                <w:tcPr>
                  <w:tcW w:w="332" w:type="pct"/>
                  <w:vMerge w:val="restart"/>
                  <w:noWrap w:val="0"/>
                  <w:vAlign w:val="center"/>
                </w:tcPr>
                <w:p w14:paraId="06081069">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生产车间</w:t>
                  </w:r>
                </w:p>
              </w:tc>
              <w:tc>
                <w:tcPr>
                  <w:tcW w:w="441" w:type="pct"/>
                  <w:vMerge w:val="restart"/>
                  <w:tcBorders>
                    <w:right w:val="single" w:color="auto" w:sz="4" w:space="0"/>
                  </w:tcBorders>
                  <w:noWrap w:val="0"/>
                  <w:vAlign w:val="center"/>
                </w:tcPr>
                <w:p w14:paraId="55AF99A4">
                  <w:pPr>
                    <w:pStyle w:val="11"/>
                    <w:numPr>
                      <w:ilvl w:val="0"/>
                      <w:numId w:val="0"/>
                    </w:numPr>
                    <w:spacing w:line="290" w:lineRule="exact"/>
                    <w:jc w:val="center"/>
                    <w:rPr>
                      <w:rFonts w:hint="eastAsia" w:ascii="Times New Roman" w:hAnsi="Times New Roman" w:cs="Times New Roman"/>
                      <w:color w:val="FF0000"/>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鼓风干燥箱</w:t>
                  </w:r>
                </w:p>
              </w:tc>
              <w:tc>
                <w:tcPr>
                  <w:tcW w:w="254" w:type="pct"/>
                  <w:vMerge w:val="restart"/>
                  <w:tcBorders>
                    <w:left w:val="single" w:color="auto" w:sz="4" w:space="0"/>
                  </w:tcBorders>
                  <w:noWrap w:val="0"/>
                  <w:vAlign w:val="center"/>
                </w:tcPr>
                <w:p w14:paraId="2B29CF06">
                  <w:pPr>
                    <w:spacing w:line="290" w:lineRule="exact"/>
                    <w:jc w:val="center"/>
                    <w:rPr>
                      <w:bCs/>
                      <w:color w:val="FF0000"/>
                      <w:sz w:val="21"/>
                      <w:szCs w:val="21"/>
                    </w:rPr>
                  </w:pPr>
                  <w:r>
                    <w:rPr>
                      <w:rFonts w:hint="eastAsia"/>
                      <w:bCs/>
                      <w:color w:val="000000" w:themeColor="text1"/>
                      <w:sz w:val="21"/>
                      <w:szCs w:val="21"/>
                      <w14:textFill>
                        <w14:solidFill>
                          <w14:schemeClr w14:val="tx1"/>
                        </w14:solidFill>
                      </w14:textFill>
                    </w:rPr>
                    <w:t>1</w:t>
                  </w:r>
                </w:p>
              </w:tc>
              <w:tc>
                <w:tcPr>
                  <w:tcW w:w="398" w:type="pct"/>
                  <w:vMerge w:val="restart"/>
                  <w:noWrap w:val="0"/>
                  <w:vAlign w:val="center"/>
                </w:tcPr>
                <w:p w14:paraId="67C7192F">
                  <w:pPr>
                    <w:pStyle w:val="11"/>
                    <w:numPr>
                      <w:ilvl w:val="0"/>
                      <w:numId w:val="0"/>
                    </w:numPr>
                    <w:spacing w:line="290" w:lineRule="exact"/>
                    <w:jc w:val="center"/>
                    <w:rPr>
                      <w:color w:val="FF0000"/>
                      <w:sz w:val="21"/>
                      <w:szCs w:val="21"/>
                    </w:rPr>
                  </w:pPr>
                  <w:r>
                    <w:rPr>
                      <w:rFonts w:hint="eastAsia"/>
                      <w:color w:val="000000" w:themeColor="text1"/>
                      <w:sz w:val="21"/>
                      <w:szCs w:val="21"/>
                      <w14:textFill>
                        <w14:solidFill>
                          <w14:schemeClr w14:val="tx1"/>
                        </w14:solidFill>
                      </w14:textFill>
                    </w:rPr>
                    <w:t>/</w:t>
                  </w:r>
                </w:p>
              </w:tc>
              <w:tc>
                <w:tcPr>
                  <w:tcW w:w="342" w:type="pct"/>
                  <w:vMerge w:val="restart"/>
                  <w:noWrap w:val="0"/>
                  <w:vAlign w:val="center"/>
                </w:tcPr>
                <w:p w14:paraId="6969F9D5">
                  <w:pPr>
                    <w:pStyle w:val="11"/>
                    <w:numPr>
                      <w:ilvl w:val="0"/>
                      <w:numId w:val="0"/>
                    </w:numPr>
                    <w:spacing w:line="290" w:lineRule="exact"/>
                    <w:jc w:val="center"/>
                    <w:rPr>
                      <w:rFonts w:hint="default"/>
                      <w:color w:val="FF0000"/>
                      <w:sz w:val="21"/>
                      <w:szCs w:val="21"/>
                      <w:lang w:val="en-US"/>
                    </w:rPr>
                  </w:pPr>
                  <w:r>
                    <w:rPr>
                      <w:rFonts w:hint="eastAsia"/>
                      <w:color w:val="000000" w:themeColor="text1"/>
                      <w:sz w:val="21"/>
                      <w:szCs w:val="21"/>
                      <w:lang w:val="en-US" w:eastAsia="zh-CN"/>
                      <w14:textFill>
                        <w14:solidFill>
                          <w14:schemeClr w14:val="tx1"/>
                        </w14:solidFill>
                      </w14:textFill>
                    </w:rPr>
                    <w:t>80</w:t>
                  </w:r>
                </w:p>
              </w:tc>
              <w:tc>
                <w:tcPr>
                  <w:tcW w:w="314" w:type="pct"/>
                  <w:vMerge w:val="restart"/>
                  <w:noWrap w:val="0"/>
                  <w:vAlign w:val="center"/>
                </w:tcPr>
                <w:p w14:paraId="5623A868">
                  <w:pPr>
                    <w:pStyle w:val="11"/>
                    <w:numPr>
                      <w:ilvl w:val="0"/>
                      <w:numId w:val="0"/>
                    </w:numPr>
                    <w:spacing w:line="29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隔声</w:t>
                  </w:r>
                </w:p>
                <w:p w14:paraId="4A2FD386">
                  <w:pPr>
                    <w:pStyle w:val="11"/>
                    <w:numPr>
                      <w:ilvl w:val="0"/>
                      <w:numId w:val="0"/>
                    </w:numPr>
                    <w:spacing w:line="290" w:lineRule="exact"/>
                    <w:jc w:val="center"/>
                    <w:rPr>
                      <w:color w:val="FF0000"/>
                      <w:sz w:val="21"/>
                      <w:szCs w:val="21"/>
                    </w:rPr>
                  </w:pPr>
                  <w:r>
                    <w:rPr>
                      <w:rFonts w:hint="eastAsia"/>
                      <w:color w:val="000000" w:themeColor="text1"/>
                      <w:sz w:val="21"/>
                      <w:szCs w:val="21"/>
                      <w14:textFill>
                        <w14:solidFill>
                          <w14:schemeClr w14:val="tx1"/>
                        </w14:solidFill>
                      </w14:textFill>
                    </w:rPr>
                    <w:t>减震</w:t>
                  </w:r>
                </w:p>
              </w:tc>
              <w:tc>
                <w:tcPr>
                  <w:tcW w:w="220" w:type="pct"/>
                  <w:vMerge w:val="restart"/>
                  <w:noWrap w:val="0"/>
                  <w:vAlign w:val="center"/>
                </w:tcPr>
                <w:p w14:paraId="5AA186C1">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3</w:t>
                  </w:r>
                </w:p>
              </w:tc>
              <w:tc>
                <w:tcPr>
                  <w:tcW w:w="220" w:type="pct"/>
                  <w:vMerge w:val="restart"/>
                  <w:noWrap w:val="0"/>
                  <w:vAlign w:val="center"/>
                </w:tcPr>
                <w:p w14:paraId="181BDF6D">
                  <w:pPr>
                    <w:pStyle w:val="11"/>
                    <w:numPr>
                      <w:ilvl w:val="0"/>
                      <w:numId w:val="0"/>
                    </w:numPr>
                    <w:spacing w:line="290" w:lineRule="exact"/>
                    <w:jc w:val="center"/>
                    <w:rPr>
                      <w:rFonts w:hint="eastAsia" w:eastAsia="宋体"/>
                      <w:color w:val="FF0000"/>
                      <w:spacing w:val="-11"/>
                      <w:sz w:val="21"/>
                      <w:szCs w:val="21"/>
                      <w:lang w:eastAsia="zh-CN"/>
                    </w:rPr>
                  </w:pPr>
                  <w:r>
                    <w:rPr>
                      <w:rFonts w:hint="eastAsia"/>
                      <w:color w:val="000000" w:themeColor="text1"/>
                      <w:spacing w:val="-11"/>
                      <w:sz w:val="21"/>
                      <w:szCs w:val="21"/>
                      <w:lang w:val="en-US" w:eastAsia="zh-CN"/>
                      <w14:textFill>
                        <w14:solidFill>
                          <w14:schemeClr w14:val="tx1"/>
                        </w14:solidFill>
                      </w14:textFill>
                    </w:rPr>
                    <w:t>2</w:t>
                  </w:r>
                </w:p>
              </w:tc>
              <w:tc>
                <w:tcPr>
                  <w:tcW w:w="195" w:type="pct"/>
                  <w:vMerge w:val="restart"/>
                  <w:noWrap w:val="0"/>
                  <w:vAlign w:val="center"/>
                </w:tcPr>
                <w:p w14:paraId="030E76A2">
                  <w:pPr>
                    <w:pStyle w:val="11"/>
                    <w:numPr>
                      <w:ilvl w:val="0"/>
                      <w:numId w:val="0"/>
                    </w:numPr>
                    <w:spacing w:line="290" w:lineRule="exact"/>
                    <w:jc w:val="center"/>
                    <w:rPr>
                      <w:color w:val="FF0000"/>
                      <w:spacing w:val="-11"/>
                      <w:sz w:val="21"/>
                      <w:szCs w:val="21"/>
                    </w:rPr>
                  </w:pPr>
                  <w:r>
                    <w:rPr>
                      <w:rFonts w:hint="eastAsia"/>
                      <w:color w:val="000000" w:themeColor="text1"/>
                      <w:spacing w:val="-11"/>
                      <w:sz w:val="21"/>
                      <w:szCs w:val="21"/>
                      <w:lang w:val="en-US" w:eastAsia="zh-CN"/>
                      <w14:textFill>
                        <w14:solidFill>
                          <w14:schemeClr w14:val="tx1"/>
                        </w14:solidFill>
                      </w14:textFill>
                    </w:rPr>
                    <w:t>3</w:t>
                  </w:r>
                </w:p>
              </w:tc>
              <w:tc>
                <w:tcPr>
                  <w:tcW w:w="186" w:type="pct"/>
                  <w:noWrap w:val="0"/>
                  <w:vAlign w:val="center"/>
                </w:tcPr>
                <w:p w14:paraId="4D6C3064">
                  <w:pPr>
                    <w:pStyle w:val="11"/>
                    <w:numPr>
                      <w:ilvl w:val="0"/>
                      <w:numId w:val="0"/>
                    </w:num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东</w:t>
                  </w:r>
                </w:p>
              </w:tc>
              <w:tc>
                <w:tcPr>
                  <w:tcW w:w="259" w:type="pct"/>
                  <w:noWrap w:val="0"/>
                  <w:vAlign w:val="center"/>
                </w:tcPr>
                <w:p w14:paraId="40B58589">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5</w:t>
                  </w:r>
                </w:p>
              </w:tc>
              <w:tc>
                <w:tcPr>
                  <w:tcW w:w="336" w:type="pct"/>
                  <w:noWrap w:val="0"/>
                  <w:vAlign w:val="center"/>
                </w:tcPr>
                <w:p w14:paraId="2231B7F9">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66.3</w:t>
                  </w:r>
                </w:p>
              </w:tc>
              <w:tc>
                <w:tcPr>
                  <w:tcW w:w="289" w:type="pct"/>
                  <w:vMerge w:val="restart"/>
                  <w:noWrap w:val="0"/>
                  <w:vAlign w:val="center"/>
                </w:tcPr>
                <w:p w14:paraId="4D0A5DB6">
                  <w:pPr>
                    <w:pStyle w:val="11"/>
                    <w:numPr>
                      <w:ilvl w:val="0"/>
                      <w:numId w:val="0"/>
                    </w:numPr>
                    <w:spacing w:line="290" w:lineRule="exact"/>
                    <w:jc w:val="center"/>
                    <w:rPr>
                      <w:color w:val="FF0000"/>
                      <w:sz w:val="21"/>
                      <w:szCs w:val="21"/>
                    </w:rPr>
                  </w:pPr>
                  <w:r>
                    <w:rPr>
                      <w:rFonts w:hint="eastAsia"/>
                      <w:color w:val="000000" w:themeColor="text1"/>
                      <w:sz w:val="21"/>
                      <w:szCs w:val="21"/>
                      <w14:textFill>
                        <w14:solidFill>
                          <w14:schemeClr w14:val="tx1"/>
                        </w14:solidFill>
                      </w14:textFill>
                    </w:rPr>
                    <w:t>昼</w:t>
                  </w:r>
                </w:p>
              </w:tc>
              <w:tc>
                <w:tcPr>
                  <w:tcW w:w="368" w:type="pct"/>
                  <w:vMerge w:val="restart"/>
                  <w:noWrap w:val="0"/>
                  <w:vAlign w:val="center"/>
                </w:tcPr>
                <w:p w14:paraId="0D71101B">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20</w:t>
                  </w:r>
                </w:p>
              </w:tc>
              <w:tc>
                <w:tcPr>
                  <w:tcW w:w="340" w:type="pct"/>
                  <w:noWrap w:val="0"/>
                  <w:vAlign w:val="center"/>
                </w:tcPr>
                <w:p w14:paraId="5D341D51">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46.3</w:t>
                  </w:r>
                </w:p>
              </w:tc>
              <w:tc>
                <w:tcPr>
                  <w:tcW w:w="317" w:type="pct"/>
                  <w:vMerge w:val="restart"/>
                  <w:noWrap w:val="0"/>
                  <w:vAlign w:val="center"/>
                </w:tcPr>
                <w:p w14:paraId="23C269CB">
                  <w:pPr>
                    <w:pStyle w:val="11"/>
                    <w:numPr>
                      <w:ilvl w:val="0"/>
                      <w:numId w:val="0"/>
                    </w:numPr>
                    <w:spacing w:line="290" w:lineRule="exact"/>
                    <w:jc w:val="center"/>
                    <w:rPr>
                      <w:color w:val="FF0000"/>
                      <w:sz w:val="21"/>
                      <w:szCs w:val="21"/>
                    </w:rPr>
                  </w:pPr>
                  <w:r>
                    <w:rPr>
                      <w:rFonts w:hint="eastAsia"/>
                      <w:color w:val="000000" w:themeColor="text1"/>
                      <w:sz w:val="21"/>
                      <w:szCs w:val="21"/>
                      <w14:textFill>
                        <w14:solidFill>
                          <w14:schemeClr w14:val="tx1"/>
                        </w14:solidFill>
                      </w14:textFill>
                    </w:rPr>
                    <w:t>10</w:t>
                  </w:r>
                </w:p>
              </w:tc>
            </w:tr>
            <w:tr w14:paraId="6FE7AF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6D3B6659">
                  <w:pPr>
                    <w:pStyle w:val="11"/>
                    <w:numPr>
                      <w:ilvl w:val="0"/>
                      <w:numId w:val="0"/>
                    </w:numPr>
                    <w:spacing w:line="290" w:lineRule="exact"/>
                    <w:jc w:val="center"/>
                    <w:rPr>
                      <w:color w:val="FF0000"/>
                      <w:sz w:val="21"/>
                      <w:szCs w:val="21"/>
                    </w:rPr>
                  </w:pPr>
                </w:p>
              </w:tc>
              <w:tc>
                <w:tcPr>
                  <w:tcW w:w="332" w:type="pct"/>
                  <w:vMerge w:val="continue"/>
                  <w:noWrap w:val="0"/>
                  <w:vAlign w:val="center"/>
                </w:tcPr>
                <w:p w14:paraId="0471C759">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463F3B9B">
                  <w:pPr>
                    <w:pStyle w:val="11"/>
                    <w:numPr>
                      <w:ilvl w:val="0"/>
                      <w:numId w:val="0"/>
                    </w:numPr>
                    <w:spacing w:line="290" w:lineRule="exact"/>
                    <w:jc w:val="center"/>
                    <w:rPr>
                      <w:rFonts w:hint="eastAsia" w:ascii="Times New Roman" w:hAnsi="Times New Roman" w:cs="Times New Roman"/>
                      <w:color w:val="FF0000"/>
                      <w:sz w:val="21"/>
                      <w:szCs w:val="21"/>
                      <w:lang w:val="en-US" w:eastAsia="zh-CN"/>
                    </w:rPr>
                  </w:pPr>
                </w:p>
              </w:tc>
              <w:tc>
                <w:tcPr>
                  <w:tcW w:w="254" w:type="pct"/>
                  <w:vMerge w:val="continue"/>
                  <w:tcBorders>
                    <w:left w:val="single" w:color="auto" w:sz="4" w:space="0"/>
                  </w:tcBorders>
                  <w:noWrap w:val="0"/>
                  <w:vAlign w:val="center"/>
                </w:tcPr>
                <w:p w14:paraId="434B50B0">
                  <w:pPr>
                    <w:spacing w:line="290" w:lineRule="exact"/>
                    <w:jc w:val="center"/>
                    <w:rPr>
                      <w:rFonts w:hint="eastAsia"/>
                      <w:bCs/>
                      <w:color w:val="FF0000"/>
                      <w:sz w:val="21"/>
                      <w:szCs w:val="21"/>
                    </w:rPr>
                  </w:pPr>
                </w:p>
              </w:tc>
              <w:tc>
                <w:tcPr>
                  <w:tcW w:w="398" w:type="pct"/>
                  <w:vMerge w:val="continue"/>
                  <w:noWrap w:val="0"/>
                  <w:vAlign w:val="center"/>
                </w:tcPr>
                <w:p w14:paraId="24D4C3C4">
                  <w:pPr>
                    <w:pStyle w:val="11"/>
                    <w:numPr>
                      <w:ilvl w:val="0"/>
                      <w:numId w:val="0"/>
                    </w:numPr>
                    <w:spacing w:line="290" w:lineRule="exact"/>
                    <w:jc w:val="center"/>
                    <w:rPr>
                      <w:rFonts w:hint="eastAsia"/>
                      <w:color w:val="FF0000"/>
                      <w:sz w:val="21"/>
                      <w:szCs w:val="21"/>
                    </w:rPr>
                  </w:pPr>
                </w:p>
              </w:tc>
              <w:tc>
                <w:tcPr>
                  <w:tcW w:w="342" w:type="pct"/>
                  <w:vMerge w:val="continue"/>
                  <w:noWrap w:val="0"/>
                  <w:vAlign w:val="center"/>
                </w:tcPr>
                <w:p w14:paraId="63061218">
                  <w:pPr>
                    <w:pStyle w:val="11"/>
                    <w:numPr>
                      <w:ilvl w:val="0"/>
                      <w:numId w:val="0"/>
                    </w:numPr>
                    <w:spacing w:line="290" w:lineRule="exact"/>
                    <w:jc w:val="center"/>
                    <w:rPr>
                      <w:rFonts w:hint="eastAsia"/>
                      <w:color w:val="FF0000"/>
                      <w:sz w:val="21"/>
                      <w:szCs w:val="21"/>
                    </w:rPr>
                  </w:pPr>
                </w:p>
              </w:tc>
              <w:tc>
                <w:tcPr>
                  <w:tcW w:w="314" w:type="pct"/>
                  <w:vMerge w:val="continue"/>
                  <w:noWrap w:val="0"/>
                  <w:vAlign w:val="center"/>
                </w:tcPr>
                <w:p w14:paraId="739D0AF5">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0ACAC483">
                  <w:pPr>
                    <w:pStyle w:val="11"/>
                    <w:numPr>
                      <w:ilvl w:val="0"/>
                      <w:numId w:val="0"/>
                    </w:numPr>
                    <w:spacing w:line="290" w:lineRule="exact"/>
                    <w:jc w:val="center"/>
                    <w:rPr>
                      <w:color w:val="FF0000"/>
                      <w:spacing w:val="-11"/>
                      <w:sz w:val="21"/>
                      <w:szCs w:val="21"/>
                    </w:rPr>
                  </w:pPr>
                </w:p>
              </w:tc>
              <w:tc>
                <w:tcPr>
                  <w:tcW w:w="220" w:type="pct"/>
                  <w:vMerge w:val="continue"/>
                  <w:noWrap w:val="0"/>
                  <w:vAlign w:val="center"/>
                </w:tcPr>
                <w:p w14:paraId="57D1776F">
                  <w:pPr>
                    <w:pStyle w:val="11"/>
                    <w:numPr>
                      <w:ilvl w:val="0"/>
                      <w:numId w:val="0"/>
                    </w:numPr>
                    <w:spacing w:line="290" w:lineRule="exact"/>
                    <w:jc w:val="center"/>
                    <w:rPr>
                      <w:color w:val="FF0000"/>
                      <w:spacing w:val="-11"/>
                      <w:sz w:val="21"/>
                      <w:szCs w:val="21"/>
                    </w:rPr>
                  </w:pPr>
                </w:p>
              </w:tc>
              <w:tc>
                <w:tcPr>
                  <w:tcW w:w="195" w:type="pct"/>
                  <w:vMerge w:val="continue"/>
                  <w:noWrap w:val="0"/>
                  <w:vAlign w:val="center"/>
                </w:tcPr>
                <w:p w14:paraId="78FBA3B2">
                  <w:pPr>
                    <w:pStyle w:val="11"/>
                    <w:numPr>
                      <w:ilvl w:val="0"/>
                      <w:numId w:val="0"/>
                    </w:numPr>
                    <w:spacing w:line="290" w:lineRule="exact"/>
                    <w:jc w:val="center"/>
                    <w:rPr>
                      <w:rFonts w:hint="eastAsia"/>
                      <w:color w:val="FF0000"/>
                      <w:spacing w:val="-11"/>
                      <w:sz w:val="21"/>
                      <w:szCs w:val="21"/>
                    </w:rPr>
                  </w:pPr>
                </w:p>
              </w:tc>
              <w:tc>
                <w:tcPr>
                  <w:tcW w:w="186" w:type="pct"/>
                  <w:noWrap w:val="0"/>
                  <w:vAlign w:val="center"/>
                </w:tcPr>
                <w:p w14:paraId="2E32C99E">
                  <w:pPr>
                    <w:pStyle w:val="11"/>
                    <w:numPr>
                      <w:ilvl w:val="0"/>
                      <w:numId w:val="0"/>
                    </w:num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南</w:t>
                  </w:r>
                </w:p>
              </w:tc>
              <w:tc>
                <w:tcPr>
                  <w:tcW w:w="259" w:type="pct"/>
                  <w:noWrap w:val="0"/>
                  <w:vAlign w:val="center"/>
                </w:tcPr>
                <w:p w14:paraId="2648B340">
                  <w:pPr>
                    <w:pStyle w:val="11"/>
                    <w:numPr>
                      <w:ilvl w:val="0"/>
                      <w:numId w:val="0"/>
                    </w:numPr>
                    <w:spacing w:line="290" w:lineRule="exact"/>
                    <w:jc w:val="center"/>
                    <w:rPr>
                      <w:rFonts w:hint="eastAsia" w:eastAsia="宋体"/>
                      <w:color w:val="FF0000"/>
                      <w:sz w:val="21"/>
                      <w:szCs w:val="21"/>
                      <w:lang w:eastAsia="zh-CN"/>
                    </w:rPr>
                  </w:pPr>
                  <w:r>
                    <w:rPr>
                      <w:rFonts w:hint="eastAsia"/>
                      <w:color w:val="000000" w:themeColor="text1"/>
                      <w:sz w:val="21"/>
                      <w:szCs w:val="21"/>
                      <w:lang w:val="en-US" w:eastAsia="zh-CN"/>
                      <w14:textFill>
                        <w14:solidFill>
                          <w14:schemeClr w14:val="tx1"/>
                        </w14:solidFill>
                      </w14:textFill>
                    </w:rPr>
                    <w:t>2</w:t>
                  </w:r>
                </w:p>
              </w:tc>
              <w:tc>
                <w:tcPr>
                  <w:tcW w:w="336" w:type="pct"/>
                  <w:noWrap w:val="0"/>
                  <w:vAlign w:val="center"/>
                </w:tcPr>
                <w:p w14:paraId="1B7456E8">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74.3</w:t>
                  </w:r>
                </w:p>
              </w:tc>
              <w:tc>
                <w:tcPr>
                  <w:tcW w:w="289" w:type="pct"/>
                  <w:vMerge w:val="continue"/>
                  <w:noWrap w:val="0"/>
                  <w:vAlign w:val="center"/>
                </w:tcPr>
                <w:p w14:paraId="22083DEE">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72944301">
                  <w:pPr>
                    <w:pStyle w:val="11"/>
                    <w:numPr>
                      <w:ilvl w:val="0"/>
                      <w:numId w:val="0"/>
                    </w:numPr>
                    <w:spacing w:line="290" w:lineRule="exact"/>
                    <w:jc w:val="center"/>
                    <w:rPr>
                      <w:rFonts w:hint="eastAsia"/>
                      <w:color w:val="FF0000"/>
                      <w:sz w:val="21"/>
                      <w:szCs w:val="21"/>
                    </w:rPr>
                  </w:pPr>
                </w:p>
              </w:tc>
              <w:tc>
                <w:tcPr>
                  <w:tcW w:w="340" w:type="pct"/>
                  <w:noWrap w:val="0"/>
                  <w:vAlign w:val="center"/>
                </w:tcPr>
                <w:p w14:paraId="449A1F4A">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54.3</w:t>
                  </w:r>
                </w:p>
              </w:tc>
              <w:tc>
                <w:tcPr>
                  <w:tcW w:w="317" w:type="pct"/>
                  <w:vMerge w:val="continue"/>
                  <w:noWrap w:val="0"/>
                  <w:vAlign w:val="center"/>
                </w:tcPr>
                <w:p w14:paraId="570108A9">
                  <w:pPr>
                    <w:pStyle w:val="11"/>
                    <w:numPr>
                      <w:ilvl w:val="0"/>
                      <w:numId w:val="0"/>
                    </w:numPr>
                    <w:spacing w:line="290" w:lineRule="exact"/>
                    <w:jc w:val="center"/>
                    <w:rPr>
                      <w:color w:val="FF0000"/>
                      <w:sz w:val="21"/>
                      <w:szCs w:val="21"/>
                    </w:rPr>
                  </w:pPr>
                </w:p>
              </w:tc>
            </w:tr>
            <w:tr w14:paraId="68B112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52897C05">
                  <w:pPr>
                    <w:pStyle w:val="11"/>
                    <w:numPr>
                      <w:ilvl w:val="0"/>
                      <w:numId w:val="0"/>
                    </w:numPr>
                    <w:spacing w:line="290" w:lineRule="exact"/>
                    <w:jc w:val="center"/>
                    <w:rPr>
                      <w:rFonts w:hint="eastAsia"/>
                      <w:color w:val="FF0000"/>
                      <w:sz w:val="21"/>
                      <w:szCs w:val="21"/>
                    </w:rPr>
                  </w:pPr>
                </w:p>
              </w:tc>
              <w:tc>
                <w:tcPr>
                  <w:tcW w:w="332" w:type="pct"/>
                  <w:vMerge w:val="continue"/>
                  <w:noWrap w:val="0"/>
                  <w:vAlign w:val="center"/>
                </w:tcPr>
                <w:p w14:paraId="2FBA5F85">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5B67C2FF">
                  <w:pPr>
                    <w:pStyle w:val="11"/>
                    <w:numPr>
                      <w:ilvl w:val="0"/>
                      <w:numId w:val="0"/>
                    </w:numPr>
                    <w:spacing w:line="290" w:lineRule="exact"/>
                    <w:jc w:val="center"/>
                    <w:rPr>
                      <w:rFonts w:hint="eastAsia" w:ascii="Times New Roman" w:hAnsi="Times New Roman" w:cs="Times New Roman"/>
                      <w:color w:val="FF0000"/>
                      <w:sz w:val="21"/>
                      <w:szCs w:val="21"/>
                      <w:lang w:val="en-US" w:eastAsia="zh-CN"/>
                    </w:rPr>
                  </w:pPr>
                </w:p>
              </w:tc>
              <w:tc>
                <w:tcPr>
                  <w:tcW w:w="254" w:type="pct"/>
                  <w:vMerge w:val="continue"/>
                  <w:tcBorders>
                    <w:left w:val="single" w:color="auto" w:sz="4" w:space="0"/>
                  </w:tcBorders>
                  <w:noWrap w:val="0"/>
                  <w:vAlign w:val="center"/>
                </w:tcPr>
                <w:p w14:paraId="45E73F4C">
                  <w:pPr>
                    <w:spacing w:line="290" w:lineRule="exact"/>
                    <w:jc w:val="center"/>
                    <w:rPr>
                      <w:rFonts w:hint="eastAsia"/>
                      <w:bCs/>
                      <w:color w:val="FF0000"/>
                      <w:sz w:val="21"/>
                      <w:szCs w:val="21"/>
                    </w:rPr>
                  </w:pPr>
                </w:p>
              </w:tc>
              <w:tc>
                <w:tcPr>
                  <w:tcW w:w="398" w:type="pct"/>
                  <w:vMerge w:val="continue"/>
                  <w:noWrap w:val="0"/>
                  <w:vAlign w:val="center"/>
                </w:tcPr>
                <w:p w14:paraId="0CAA8088">
                  <w:pPr>
                    <w:pStyle w:val="11"/>
                    <w:numPr>
                      <w:ilvl w:val="0"/>
                      <w:numId w:val="0"/>
                    </w:numPr>
                    <w:spacing w:line="290" w:lineRule="exact"/>
                    <w:jc w:val="center"/>
                    <w:rPr>
                      <w:rFonts w:hint="eastAsia"/>
                      <w:color w:val="FF0000"/>
                      <w:sz w:val="21"/>
                      <w:szCs w:val="21"/>
                    </w:rPr>
                  </w:pPr>
                </w:p>
              </w:tc>
              <w:tc>
                <w:tcPr>
                  <w:tcW w:w="342" w:type="pct"/>
                  <w:vMerge w:val="continue"/>
                  <w:noWrap w:val="0"/>
                  <w:vAlign w:val="center"/>
                </w:tcPr>
                <w:p w14:paraId="5BCAD674">
                  <w:pPr>
                    <w:pStyle w:val="11"/>
                    <w:numPr>
                      <w:ilvl w:val="0"/>
                      <w:numId w:val="0"/>
                    </w:numPr>
                    <w:spacing w:line="290" w:lineRule="exact"/>
                    <w:jc w:val="center"/>
                    <w:rPr>
                      <w:rFonts w:hint="eastAsia"/>
                      <w:color w:val="FF0000"/>
                      <w:sz w:val="21"/>
                      <w:szCs w:val="21"/>
                    </w:rPr>
                  </w:pPr>
                </w:p>
              </w:tc>
              <w:tc>
                <w:tcPr>
                  <w:tcW w:w="314" w:type="pct"/>
                  <w:vMerge w:val="continue"/>
                  <w:noWrap w:val="0"/>
                  <w:vAlign w:val="center"/>
                </w:tcPr>
                <w:p w14:paraId="67315407">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4977FC36">
                  <w:pPr>
                    <w:pStyle w:val="11"/>
                    <w:numPr>
                      <w:ilvl w:val="0"/>
                      <w:numId w:val="0"/>
                    </w:numPr>
                    <w:spacing w:line="290" w:lineRule="exact"/>
                    <w:jc w:val="center"/>
                    <w:rPr>
                      <w:color w:val="FF0000"/>
                      <w:spacing w:val="-11"/>
                      <w:sz w:val="21"/>
                      <w:szCs w:val="21"/>
                    </w:rPr>
                  </w:pPr>
                </w:p>
              </w:tc>
              <w:tc>
                <w:tcPr>
                  <w:tcW w:w="220" w:type="pct"/>
                  <w:vMerge w:val="continue"/>
                  <w:noWrap w:val="0"/>
                  <w:vAlign w:val="center"/>
                </w:tcPr>
                <w:p w14:paraId="13055EDA">
                  <w:pPr>
                    <w:pStyle w:val="11"/>
                    <w:numPr>
                      <w:ilvl w:val="0"/>
                      <w:numId w:val="0"/>
                    </w:numPr>
                    <w:spacing w:line="290" w:lineRule="exact"/>
                    <w:jc w:val="center"/>
                    <w:rPr>
                      <w:color w:val="FF0000"/>
                      <w:spacing w:val="-11"/>
                      <w:sz w:val="21"/>
                      <w:szCs w:val="21"/>
                    </w:rPr>
                  </w:pPr>
                </w:p>
              </w:tc>
              <w:tc>
                <w:tcPr>
                  <w:tcW w:w="195" w:type="pct"/>
                  <w:vMerge w:val="continue"/>
                  <w:noWrap w:val="0"/>
                  <w:vAlign w:val="center"/>
                </w:tcPr>
                <w:p w14:paraId="6C8757AD">
                  <w:pPr>
                    <w:pStyle w:val="11"/>
                    <w:numPr>
                      <w:ilvl w:val="0"/>
                      <w:numId w:val="0"/>
                    </w:numPr>
                    <w:spacing w:line="290" w:lineRule="exact"/>
                    <w:jc w:val="center"/>
                    <w:rPr>
                      <w:rFonts w:hint="eastAsia"/>
                      <w:color w:val="FF0000"/>
                      <w:spacing w:val="-11"/>
                      <w:sz w:val="21"/>
                      <w:szCs w:val="21"/>
                    </w:rPr>
                  </w:pPr>
                </w:p>
              </w:tc>
              <w:tc>
                <w:tcPr>
                  <w:tcW w:w="186" w:type="pct"/>
                  <w:noWrap w:val="0"/>
                  <w:vAlign w:val="center"/>
                </w:tcPr>
                <w:p w14:paraId="6F9CAE6A">
                  <w:pPr>
                    <w:pStyle w:val="11"/>
                    <w:numPr>
                      <w:ilvl w:val="0"/>
                      <w:numId w:val="0"/>
                    </w:num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西</w:t>
                  </w:r>
                </w:p>
              </w:tc>
              <w:tc>
                <w:tcPr>
                  <w:tcW w:w="259" w:type="pct"/>
                  <w:noWrap w:val="0"/>
                  <w:vAlign w:val="center"/>
                </w:tcPr>
                <w:p w14:paraId="36C7450A">
                  <w:pPr>
                    <w:pStyle w:val="11"/>
                    <w:numPr>
                      <w:ilvl w:val="0"/>
                      <w:numId w:val="0"/>
                    </w:numPr>
                    <w:spacing w:line="290" w:lineRule="exact"/>
                    <w:jc w:val="center"/>
                    <w:rPr>
                      <w:rFonts w:hint="eastAsia" w:eastAsia="宋体"/>
                      <w:color w:val="FF0000"/>
                      <w:sz w:val="21"/>
                      <w:szCs w:val="21"/>
                      <w:lang w:eastAsia="zh-CN"/>
                    </w:rPr>
                  </w:pPr>
                  <w:r>
                    <w:rPr>
                      <w:rFonts w:hint="eastAsia"/>
                      <w:color w:val="000000" w:themeColor="text1"/>
                      <w:sz w:val="21"/>
                      <w:szCs w:val="21"/>
                      <w:lang w:val="en-US" w:eastAsia="zh-CN"/>
                      <w14:textFill>
                        <w14:solidFill>
                          <w14:schemeClr w14:val="tx1"/>
                        </w14:solidFill>
                      </w14:textFill>
                    </w:rPr>
                    <w:t>3</w:t>
                  </w:r>
                </w:p>
              </w:tc>
              <w:tc>
                <w:tcPr>
                  <w:tcW w:w="336" w:type="pct"/>
                  <w:noWrap w:val="0"/>
                  <w:vAlign w:val="center"/>
                </w:tcPr>
                <w:p w14:paraId="7145D124">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71.2</w:t>
                  </w:r>
                </w:p>
              </w:tc>
              <w:tc>
                <w:tcPr>
                  <w:tcW w:w="289" w:type="pct"/>
                  <w:vMerge w:val="continue"/>
                  <w:noWrap w:val="0"/>
                  <w:vAlign w:val="center"/>
                </w:tcPr>
                <w:p w14:paraId="13D7DD30">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78104593">
                  <w:pPr>
                    <w:pStyle w:val="11"/>
                    <w:numPr>
                      <w:ilvl w:val="0"/>
                      <w:numId w:val="0"/>
                    </w:numPr>
                    <w:spacing w:line="290" w:lineRule="exact"/>
                    <w:jc w:val="center"/>
                    <w:rPr>
                      <w:rFonts w:hint="eastAsia"/>
                      <w:color w:val="FF0000"/>
                      <w:sz w:val="21"/>
                      <w:szCs w:val="21"/>
                    </w:rPr>
                  </w:pPr>
                </w:p>
              </w:tc>
              <w:tc>
                <w:tcPr>
                  <w:tcW w:w="340" w:type="pct"/>
                  <w:noWrap w:val="0"/>
                  <w:vAlign w:val="center"/>
                </w:tcPr>
                <w:p w14:paraId="4D14D0C4">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51.2</w:t>
                  </w:r>
                </w:p>
              </w:tc>
              <w:tc>
                <w:tcPr>
                  <w:tcW w:w="317" w:type="pct"/>
                  <w:vMerge w:val="continue"/>
                  <w:noWrap w:val="0"/>
                  <w:vAlign w:val="center"/>
                </w:tcPr>
                <w:p w14:paraId="6BCBCA16">
                  <w:pPr>
                    <w:pStyle w:val="11"/>
                    <w:numPr>
                      <w:ilvl w:val="0"/>
                      <w:numId w:val="0"/>
                    </w:numPr>
                    <w:spacing w:line="290" w:lineRule="exact"/>
                    <w:jc w:val="center"/>
                    <w:rPr>
                      <w:color w:val="FF0000"/>
                      <w:sz w:val="21"/>
                      <w:szCs w:val="21"/>
                    </w:rPr>
                  </w:pPr>
                </w:p>
              </w:tc>
            </w:tr>
            <w:tr w14:paraId="58F417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6ECF1A3C">
                  <w:pPr>
                    <w:pStyle w:val="11"/>
                    <w:numPr>
                      <w:ilvl w:val="0"/>
                      <w:numId w:val="0"/>
                    </w:numPr>
                    <w:spacing w:line="290" w:lineRule="exact"/>
                    <w:jc w:val="center"/>
                    <w:rPr>
                      <w:rFonts w:hint="eastAsia"/>
                      <w:color w:val="FF0000"/>
                      <w:sz w:val="21"/>
                      <w:szCs w:val="21"/>
                    </w:rPr>
                  </w:pPr>
                </w:p>
              </w:tc>
              <w:tc>
                <w:tcPr>
                  <w:tcW w:w="332" w:type="pct"/>
                  <w:vMerge w:val="continue"/>
                  <w:noWrap w:val="0"/>
                  <w:vAlign w:val="center"/>
                </w:tcPr>
                <w:p w14:paraId="5988BEBF">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3596F070">
                  <w:pPr>
                    <w:pStyle w:val="11"/>
                    <w:numPr>
                      <w:ilvl w:val="0"/>
                      <w:numId w:val="0"/>
                    </w:numPr>
                    <w:spacing w:line="290" w:lineRule="exact"/>
                    <w:jc w:val="center"/>
                    <w:rPr>
                      <w:rFonts w:hint="eastAsia" w:ascii="Times New Roman" w:hAnsi="Times New Roman" w:cs="Times New Roman"/>
                      <w:color w:val="FF0000"/>
                      <w:sz w:val="21"/>
                      <w:szCs w:val="21"/>
                      <w:lang w:val="en-US" w:eastAsia="zh-CN"/>
                    </w:rPr>
                  </w:pPr>
                </w:p>
              </w:tc>
              <w:tc>
                <w:tcPr>
                  <w:tcW w:w="254" w:type="pct"/>
                  <w:vMerge w:val="continue"/>
                  <w:tcBorders>
                    <w:left w:val="single" w:color="auto" w:sz="4" w:space="0"/>
                  </w:tcBorders>
                  <w:noWrap w:val="0"/>
                  <w:vAlign w:val="center"/>
                </w:tcPr>
                <w:p w14:paraId="7017DB4F">
                  <w:pPr>
                    <w:spacing w:line="290" w:lineRule="exact"/>
                    <w:jc w:val="center"/>
                    <w:rPr>
                      <w:rFonts w:hint="eastAsia"/>
                      <w:bCs/>
                      <w:color w:val="FF0000"/>
                      <w:sz w:val="21"/>
                      <w:szCs w:val="21"/>
                    </w:rPr>
                  </w:pPr>
                </w:p>
              </w:tc>
              <w:tc>
                <w:tcPr>
                  <w:tcW w:w="398" w:type="pct"/>
                  <w:vMerge w:val="continue"/>
                  <w:noWrap w:val="0"/>
                  <w:vAlign w:val="center"/>
                </w:tcPr>
                <w:p w14:paraId="7B5A3895">
                  <w:pPr>
                    <w:pStyle w:val="11"/>
                    <w:numPr>
                      <w:ilvl w:val="0"/>
                      <w:numId w:val="0"/>
                    </w:numPr>
                    <w:spacing w:line="290" w:lineRule="exact"/>
                    <w:jc w:val="center"/>
                    <w:rPr>
                      <w:rFonts w:hint="eastAsia"/>
                      <w:color w:val="FF0000"/>
                      <w:sz w:val="21"/>
                      <w:szCs w:val="21"/>
                    </w:rPr>
                  </w:pPr>
                </w:p>
              </w:tc>
              <w:tc>
                <w:tcPr>
                  <w:tcW w:w="342" w:type="pct"/>
                  <w:vMerge w:val="continue"/>
                  <w:noWrap w:val="0"/>
                  <w:vAlign w:val="center"/>
                </w:tcPr>
                <w:p w14:paraId="406AD136">
                  <w:pPr>
                    <w:pStyle w:val="11"/>
                    <w:numPr>
                      <w:ilvl w:val="0"/>
                      <w:numId w:val="0"/>
                    </w:numPr>
                    <w:spacing w:line="290" w:lineRule="exact"/>
                    <w:jc w:val="center"/>
                    <w:rPr>
                      <w:rFonts w:hint="eastAsia"/>
                      <w:color w:val="FF0000"/>
                      <w:sz w:val="21"/>
                      <w:szCs w:val="21"/>
                    </w:rPr>
                  </w:pPr>
                </w:p>
              </w:tc>
              <w:tc>
                <w:tcPr>
                  <w:tcW w:w="314" w:type="pct"/>
                  <w:vMerge w:val="continue"/>
                  <w:noWrap w:val="0"/>
                  <w:vAlign w:val="center"/>
                </w:tcPr>
                <w:p w14:paraId="5C6F7899">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2638B739">
                  <w:pPr>
                    <w:pStyle w:val="11"/>
                    <w:numPr>
                      <w:ilvl w:val="0"/>
                      <w:numId w:val="0"/>
                    </w:numPr>
                    <w:spacing w:line="290" w:lineRule="exact"/>
                    <w:jc w:val="center"/>
                    <w:rPr>
                      <w:color w:val="FF0000"/>
                      <w:spacing w:val="-11"/>
                      <w:sz w:val="21"/>
                      <w:szCs w:val="21"/>
                    </w:rPr>
                  </w:pPr>
                </w:p>
              </w:tc>
              <w:tc>
                <w:tcPr>
                  <w:tcW w:w="220" w:type="pct"/>
                  <w:vMerge w:val="continue"/>
                  <w:noWrap w:val="0"/>
                  <w:vAlign w:val="center"/>
                </w:tcPr>
                <w:p w14:paraId="06DEA988">
                  <w:pPr>
                    <w:pStyle w:val="11"/>
                    <w:numPr>
                      <w:ilvl w:val="0"/>
                      <w:numId w:val="0"/>
                    </w:numPr>
                    <w:spacing w:line="290" w:lineRule="exact"/>
                    <w:jc w:val="center"/>
                    <w:rPr>
                      <w:color w:val="FF0000"/>
                      <w:spacing w:val="-11"/>
                      <w:sz w:val="21"/>
                      <w:szCs w:val="21"/>
                    </w:rPr>
                  </w:pPr>
                </w:p>
              </w:tc>
              <w:tc>
                <w:tcPr>
                  <w:tcW w:w="195" w:type="pct"/>
                  <w:vMerge w:val="continue"/>
                  <w:noWrap w:val="0"/>
                  <w:vAlign w:val="center"/>
                </w:tcPr>
                <w:p w14:paraId="738F64DB">
                  <w:pPr>
                    <w:pStyle w:val="11"/>
                    <w:numPr>
                      <w:ilvl w:val="0"/>
                      <w:numId w:val="0"/>
                    </w:numPr>
                    <w:spacing w:line="290" w:lineRule="exact"/>
                    <w:jc w:val="center"/>
                    <w:rPr>
                      <w:rFonts w:hint="eastAsia"/>
                      <w:color w:val="FF0000"/>
                      <w:spacing w:val="-11"/>
                      <w:sz w:val="21"/>
                      <w:szCs w:val="21"/>
                    </w:rPr>
                  </w:pPr>
                </w:p>
              </w:tc>
              <w:tc>
                <w:tcPr>
                  <w:tcW w:w="186" w:type="pct"/>
                  <w:noWrap w:val="0"/>
                  <w:vAlign w:val="center"/>
                </w:tcPr>
                <w:p w14:paraId="3228AF31">
                  <w:pPr>
                    <w:pStyle w:val="11"/>
                    <w:numPr>
                      <w:ilvl w:val="0"/>
                      <w:numId w:val="0"/>
                    </w:num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北</w:t>
                  </w:r>
                </w:p>
              </w:tc>
              <w:tc>
                <w:tcPr>
                  <w:tcW w:w="259" w:type="pct"/>
                  <w:noWrap w:val="0"/>
                  <w:vAlign w:val="center"/>
                </w:tcPr>
                <w:p w14:paraId="1D13FE3C">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w:t>
                  </w:r>
                </w:p>
              </w:tc>
              <w:tc>
                <w:tcPr>
                  <w:tcW w:w="336" w:type="pct"/>
                  <w:noWrap w:val="0"/>
                  <w:vAlign w:val="center"/>
                </w:tcPr>
                <w:p w14:paraId="748F0AD7">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67.3</w:t>
                  </w:r>
                </w:p>
              </w:tc>
              <w:tc>
                <w:tcPr>
                  <w:tcW w:w="289" w:type="pct"/>
                  <w:vMerge w:val="continue"/>
                  <w:noWrap w:val="0"/>
                  <w:vAlign w:val="center"/>
                </w:tcPr>
                <w:p w14:paraId="314CC61B">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21B078CF">
                  <w:pPr>
                    <w:pStyle w:val="11"/>
                    <w:numPr>
                      <w:ilvl w:val="0"/>
                      <w:numId w:val="0"/>
                    </w:numPr>
                    <w:spacing w:line="290" w:lineRule="exact"/>
                    <w:jc w:val="center"/>
                    <w:rPr>
                      <w:rFonts w:hint="eastAsia"/>
                      <w:color w:val="FF0000"/>
                      <w:sz w:val="21"/>
                      <w:szCs w:val="21"/>
                    </w:rPr>
                  </w:pPr>
                </w:p>
              </w:tc>
              <w:tc>
                <w:tcPr>
                  <w:tcW w:w="340" w:type="pct"/>
                  <w:noWrap w:val="0"/>
                  <w:vAlign w:val="center"/>
                </w:tcPr>
                <w:p w14:paraId="64FD0AF3">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47.3</w:t>
                  </w:r>
                </w:p>
              </w:tc>
              <w:tc>
                <w:tcPr>
                  <w:tcW w:w="317" w:type="pct"/>
                  <w:vMerge w:val="continue"/>
                  <w:noWrap w:val="0"/>
                  <w:vAlign w:val="center"/>
                </w:tcPr>
                <w:p w14:paraId="76C6704C">
                  <w:pPr>
                    <w:pStyle w:val="11"/>
                    <w:numPr>
                      <w:ilvl w:val="0"/>
                      <w:numId w:val="0"/>
                    </w:numPr>
                    <w:spacing w:line="290" w:lineRule="exact"/>
                    <w:jc w:val="center"/>
                    <w:rPr>
                      <w:color w:val="FF0000"/>
                      <w:sz w:val="21"/>
                      <w:szCs w:val="21"/>
                    </w:rPr>
                  </w:pPr>
                </w:p>
              </w:tc>
            </w:tr>
            <w:tr w14:paraId="71D6F2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82" w:type="pct"/>
                  <w:vMerge w:val="restart"/>
                  <w:noWrap w:val="0"/>
                  <w:vAlign w:val="center"/>
                </w:tcPr>
                <w:p w14:paraId="2EF7B098">
                  <w:pPr>
                    <w:pStyle w:val="11"/>
                    <w:numPr>
                      <w:ilvl w:val="0"/>
                      <w:numId w:val="0"/>
                    </w:numPr>
                    <w:spacing w:line="290" w:lineRule="exact"/>
                    <w:jc w:val="center"/>
                    <w:rPr>
                      <w:rFonts w:hint="eastAsia" w:eastAsia="宋体"/>
                      <w:color w:val="FF0000"/>
                      <w:sz w:val="21"/>
                      <w:szCs w:val="21"/>
                      <w:lang w:eastAsia="zh-CN"/>
                    </w:rPr>
                  </w:pPr>
                  <w:r>
                    <w:rPr>
                      <w:rFonts w:hint="eastAsia"/>
                      <w:color w:val="000000" w:themeColor="text1"/>
                      <w:sz w:val="21"/>
                      <w:szCs w:val="21"/>
                      <w:lang w:val="en-US" w:eastAsia="zh-CN"/>
                      <w14:textFill>
                        <w14:solidFill>
                          <w14:schemeClr w14:val="tx1"/>
                        </w14:solidFill>
                      </w14:textFill>
                    </w:rPr>
                    <w:t>2</w:t>
                  </w:r>
                </w:p>
              </w:tc>
              <w:tc>
                <w:tcPr>
                  <w:tcW w:w="332" w:type="pct"/>
                  <w:vMerge w:val="continue"/>
                  <w:noWrap w:val="0"/>
                  <w:vAlign w:val="center"/>
                </w:tcPr>
                <w:p w14:paraId="10734EC3">
                  <w:pPr>
                    <w:pStyle w:val="11"/>
                    <w:numPr>
                      <w:ilvl w:val="0"/>
                      <w:numId w:val="0"/>
                    </w:numPr>
                    <w:spacing w:line="290" w:lineRule="exact"/>
                    <w:jc w:val="center"/>
                    <w:rPr>
                      <w:rFonts w:hint="eastAsia"/>
                      <w:color w:val="FF0000"/>
                      <w:sz w:val="21"/>
                      <w:szCs w:val="21"/>
                    </w:rPr>
                  </w:pPr>
                </w:p>
              </w:tc>
              <w:tc>
                <w:tcPr>
                  <w:tcW w:w="441" w:type="pct"/>
                  <w:vMerge w:val="restart"/>
                  <w:tcBorders>
                    <w:right w:val="single" w:color="auto" w:sz="4" w:space="0"/>
                  </w:tcBorders>
                  <w:noWrap w:val="0"/>
                  <w:vAlign w:val="center"/>
                </w:tcPr>
                <w:p w14:paraId="6CA18F1F">
                  <w:pPr>
                    <w:pStyle w:val="11"/>
                    <w:numPr>
                      <w:ilvl w:val="0"/>
                      <w:numId w:val="0"/>
                    </w:numPr>
                    <w:spacing w:line="290" w:lineRule="exact"/>
                    <w:jc w:val="center"/>
                    <w:rPr>
                      <w:rFonts w:hint="eastAsia" w:ascii="Times New Roman" w:hAnsi="Times New Roman" w:cs="Times New Roman"/>
                      <w:color w:val="FF0000"/>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超声波清洗机</w:t>
                  </w:r>
                </w:p>
              </w:tc>
              <w:tc>
                <w:tcPr>
                  <w:tcW w:w="254" w:type="pct"/>
                  <w:vMerge w:val="restart"/>
                  <w:tcBorders>
                    <w:left w:val="single" w:color="auto" w:sz="4" w:space="0"/>
                  </w:tcBorders>
                  <w:noWrap w:val="0"/>
                  <w:vAlign w:val="center"/>
                </w:tcPr>
                <w:p w14:paraId="63585954">
                  <w:pPr>
                    <w:spacing w:line="290" w:lineRule="exact"/>
                    <w:jc w:val="center"/>
                    <w:rPr>
                      <w:bCs/>
                      <w:color w:val="FF0000"/>
                      <w:sz w:val="21"/>
                      <w:szCs w:val="21"/>
                    </w:rPr>
                  </w:pPr>
                  <w:r>
                    <w:rPr>
                      <w:rFonts w:hint="eastAsia"/>
                      <w:bCs/>
                      <w:color w:val="000000" w:themeColor="text1"/>
                      <w:sz w:val="21"/>
                      <w:szCs w:val="21"/>
                      <w14:textFill>
                        <w14:solidFill>
                          <w14:schemeClr w14:val="tx1"/>
                        </w14:solidFill>
                      </w14:textFill>
                    </w:rPr>
                    <w:t>1</w:t>
                  </w:r>
                </w:p>
              </w:tc>
              <w:tc>
                <w:tcPr>
                  <w:tcW w:w="398" w:type="pct"/>
                  <w:vMerge w:val="restart"/>
                  <w:noWrap w:val="0"/>
                  <w:vAlign w:val="center"/>
                </w:tcPr>
                <w:p w14:paraId="255C201A">
                  <w:pPr>
                    <w:pStyle w:val="11"/>
                    <w:numPr>
                      <w:ilvl w:val="0"/>
                      <w:numId w:val="0"/>
                    </w:numPr>
                    <w:spacing w:line="290" w:lineRule="exact"/>
                    <w:jc w:val="center"/>
                    <w:rPr>
                      <w:color w:val="FF0000"/>
                      <w:sz w:val="21"/>
                      <w:szCs w:val="21"/>
                    </w:rPr>
                  </w:pPr>
                  <w:r>
                    <w:rPr>
                      <w:rFonts w:hint="eastAsia"/>
                      <w:color w:val="000000" w:themeColor="text1"/>
                      <w:sz w:val="21"/>
                      <w:szCs w:val="21"/>
                      <w14:textFill>
                        <w14:solidFill>
                          <w14:schemeClr w14:val="tx1"/>
                        </w14:solidFill>
                      </w14:textFill>
                    </w:rPr>
                    <w:t>/</w:t>
                  </w:r>
                </w:p>
              </w:tc>
              <w:tc>
                <w:tcPr>
                  <w:tcW w:w="342" w:type="pct"/>
                  <w:vMerge w:val="restart"/>
                  <w:noWrap w:val="0"/>
                  <w:vAlign w:val="center"/>
                </w:tcPr>
                <w:p w14:paraId="7678232F">
                  <w:pPr>
                    <w:pStyle w:val="11"/>
                    <w:numPr>
                      <w:ilvl w:val="0"/>
                      <w:numId w:val="0"/>
                    </w:numPr>
                    <w:spacing w:line="290" w:lineRule="exact"/>
                    <w:jc w:val="center"/>
                    <w:rPr>
                      <w:rFonts w:hint="default"/>
                      <w:color w:val="FF0000"/>
                      <w:sz w:val="21"/>
                      <w:szCs w:val="21"/>
                      <w:lang w:val="en-US"/>
                    </w:rPr>
                  </w:pPr>
                  <w:r>
                    <w:rPr>
                      <w:rFonts w:hint="eastAsia"/>
                      <w:color w:val="000000" w:themeColor="text1"/>
                      <w:sz w:val="21"/>
                      <w:szCs w:val="21"/>
                      <w:lang w:val="en-US" w:eastAsia="zh-CN"/>
                      <w14:textFill>
                        <w14:solidFill>
                          <w14:schemeClr w14:val="tx1"/>
                        </w14:solidFill>
                      </w14:textFill>
                    </w:rPr>
                    <w:t>75</w:t>
                  </w:r>
                </w:p>
              </w:tc>
              <w:tc>
                <w:tcPr>
                  <w:tcW w:w="314" w:type="pct"/>
                  <w:vMerge w:val="continue"/>
                  <w:noWrap w:val="0"/>
                  <w:vAlign w:val="center"/>
                </w:tcPr>
                <w:p w14:paraId="39514DDA">
                  <w:pPr>
                    <w:pStyle w:val="11"/>
                    <w:numPr>
                      <w:ilvl w:val="0"/>
                      <w:numId w:val="0"/>
                    </w:numPr>
                    <w:spacing w:line="290" w:lineRule="exact"/>
                    <w:jc w:val="center"/>
                    <w:rPr>
                      <w:rFonts w:hint="eastAsia"/>
                      <w:color w:val="FF0000"/>
                      <w:sz w:val="21"/>
                      <w:szCs w:val="21"/>
                    </w:rPr>
                  </w:pPr>
                </w:p>
              </w:tc>
              <w:tc>
                <w:tcPr>
                  <w:tcW w:w="220" w:type="pct"/>
                  <w:vMerge w:val="restart"/>
                  <w:noWrap w:val="0"/>
                  <w:vAlign w:val="center"/>
                </w:tcPr>
                <w:p w14:paraId="44AFDFDA">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4</w:t>
                  </w:r>
                </w:p>
              </w:tc>
              <w:tc>
                <w:tcPr>
                  <w:tcW w:w="220" w:type="pct"/>
                  <w:vMerge w:val="restart"/>
                  <w:noWrap w:val="0"/>
                  <w:vAlign w:val="center"/>
                </w:tcPr>
                <w:p w14:paraId="7DF81FFF">
                  <w:pPr>
                    <w:pStyle w:val="11"/>
                    <w:numPr>
                      <w:ilvl w:val="0"/>
                      <w:numId w:val="0"/>
                    </w:numPr>
                    <w:spacing w:line="290" w:lineRule="exact"/>
                    <w:jc w:val="center"/>
                    <w:rPr>
                      <w:rFonts w:hint="eastAsia" w:eastAsia="宋体"/>
                      <w:color w:val="FF0000"/>
                      <w:spacing w:val="-11"/>
                      <w:sz w:val="21"/>
                      <w:szCs w:val="21"/>
                      <w:lang w:eastAsia="zh-CN"/>
                    </w:rPr>
                  </w:pPr>
                  <w:r>
                    <w:rPr>
                      <w:rFonts w:hint="eastAsia"/>
                      <w:color w:val="000000" w:themeColor="text1"/>
                      <w:spacing w:val="-11"/>
                      <w:sz w:val="21"/>
                      <w:szCs w:val="21"/>
                      <w:lang w:val="en-US" w:eastAsia="zh-CN"/>
                      <w14:textFill>
                        <w14:solidFill>
                          <w14:schemeClr w14:val="tx1"/>
                        </w14:solidFill>
                      </w14:textFill>
                    </w:rPr>
                    <w:t>4</w:t>
                  </w:r>
                </w:p>
              </w:tc>
              <w:tc>
                <w:tcPr>
                  <w:tcW w:w="195" w:type="pct"/>
                  <w:vMerge w:val="restart"/>
                  <w:noWrap w:val="0"/>
                  <w:vAlign w:val="center"/>
                </w:tcPr>
                <w:p w14:paraId="59C5F34C">
                  <w:pPr>
                    <w:pStyle w:val="11"/>
                    <w:numPr>
                      <w:ilvl w:val="0"/>
                      <w:numId w:val="0"/>
                    </w:numPr>
                    <w:spacing w:line="290" w:lineRule="exact"/>
                    <w:jc w:val="center"/>
                    <w:rPr>
                      <w:rFonts w:hint="eastAsia" w:eastAsia="宋体"/>
                      <w:color w:val="FF0000"/>
                      <w:spacing w:val="-11"/>
                      <w:sz w:val="21"/>
                      <w:szCs w:val="21"/>
                      <w:lang w:eastAsia="zh-CN"/>
                    </w:rPr>
                  </w:pPr>
                  <w:r>
                    <w:rPr>
                      <w:rFonts w:hint="eastAsia"/>
                      <w:color w:val="000000" w:themeColor="text1"/>
                      <w:spacing w:val="-11"/>
                      <w:sz w:val="21"/>
                      <w:szCs w:val="21"/>
                      <w:lang w:val="en-US" w:eastAsia="zh-CN"/>
                      <w14:textFill>
                        <w14:solidFill>
                          <w14:schemeClr w14:val="tx1"/>
                        </w14:solidFill>
                      </w14:textFill>
                    </w:rPr>
                    <w:t>3</w:t>
                  </w:r>
                </w:p>
              </w:tc>
              <w:tc>
                <w:tcPr>
                  <w:tcW w:w="186" w:type="pct"/>
                  <w:noWrap w:val="0"/>
                  <w:vAlign w:val="center"/>
                </w:tcPr>
                <w:p w14:paraId="63E5134E">
                  <w:pPr>
                    <w:pStyle w:val="11"/>
                    <w:numPr>
                      <w:ilvl w:val="0"/>
                      <w:numId w:val="0"/>
                    </w:num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东</w:t>
                  </w:r>
                </w:p>
              </w:tc>
              <w:tc>
                <w:tcPr>
                  <w:tcW w:w="259" w:type="pct"/>
                  <w:noWrap w:val="0"/>
                  <w:vAlign w:val="center"/>
                </w:tcPr>
                <w:p w14:paraId="0F5F3432">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11</w:t>
                  </w:r>
                </w:p>
              </w:tc>
              <w:tc>
                <w:tcPr>
                  <w:tcW w:w="336" w:type="pct"/>
                  <w:noWrap w:val="0"/>
                  <w:vAlign w:val="center"/>
                </w:tcPr>
                <w:p w14:paraId="36BFA66E">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66.7</w:t>
                  </w:r>
                </w:p>
              </w:tc>
              <w:tc>
                <w:tcPr>
                  <w:tcW w:w="289" w:type="pct"/>
                  <w:vMerge w:val="continue"/>
                  <w:noWrap w:val="0"/>
                  <w:vAlign w:val="center"/>
                </w:tcPr>
                <w:p w14:paraId="54008188">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35F4CB34">
                  <w:pPr>
                    <w:pStyle w:val="11"/>
                    <w:numPr>
                      <w:ilvl w:val="0"/>
                      <w:numId w:val="0"/>
                    </w:numPr>
                    <w:spacing w:line="290" w:lineRule="exact"/>
                    <w:jc w:val="center"/>
                    <w:rPr>
                      <w:rFonts w:hint="eastAsia"/>
                      <w:color w:val="FF0000"/>
                      <w:sz w:val="21"/>
                      <w:szCs w:val="21"/>
                    </w:rPr>
                  </w:pPr>
                </w:p>
              </w:tc>
              <w:tc>
                <w:tcPr>
                  <w:tcW w:w="340" w:type="pct"/>
                  <w:noWrap w:val="0"/>
                  <w:vAlign w:val="center"/>
                </w:tcPr>
                <w:p w14:paraId="766E52BE">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46.7</w:t>
                  </w:r>
                </w:p>
              </w:tc>
              <w:tc>
                <w:tcPr>
                  <w:tcW w:w="317" w:type="pct"/>
                  <w:vMerge w:val="restart"/>
                  <w:noWrap w:val="0"/>
                  <w:vAlign w:val="center"/>
                </w:tcPr>
                <w:p w14:paraId="3D82EDF4">
                  <w:pPr>
                    <w:pStyle w:val="11"/>
                    <w:numPr>
                      <w:ilvl w:val="0"/>
                      <w:numId w:val="0"/>
                    </w:numPr>
                    <w:spacing w:line="290" w:lineRule="exact"/>
                    <w:jc w:val="center"/>
                    <w:rPr>
                      <w:color w:val="FF0000"/>
                      <w:sz w:val="21"/>
                      <w:szCs w:val="21"/>
                    </w:rPr>
                  </w:pPr>
                  <w:r>
                    <w:rPr>
                      <w:rFonts w:hint="eastAsia"/>
                      <w:color w:val="000000" w:themeColor="text1"/>
                      <w:sz w:val="21"/>
                      <w:szCs w:val="21"/>
                      <w14:textFill>
                        <w14:solidFill>
                          <w14:schemeClr w14:val="tx1"/>
                        </w14:solidFill>
                      </w14:textFill>
                    </w:rPr>
                    <w:t>10</w:t>
                  </w:r>
                </w:p>
              </w:tc>
            </w:tr>
            <w:tr w14:paraId="2FB412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190816B0">
                  <w:pPr>
                    <w:pStyle w:val="11"/>
                    <w:numPr>
                      <w:ilvl w:val="0"/>
                      <w:numId w:val="0"/>
                    </w:numPr>
                    <w:spacing w:line="290" w:lineRule="exact"/>
                    <w:jc w:val="center"/>
                    <w:rPr>
                      <w:color w:val="FF0000"/>
                      <w:sz w:val="21"/>
                      <w:szCs w:val="21"/>
                    </w:rPr>
                  </w:pPr>
                </w:p>
              </w:tc>
              <w:tc>
                <w:tcPr>
                  <w:tcW w:w="332" w:type="pct"/>
                  <w:vMerge w:val="continue"/>
                  <w:noWrap w:val="0"/>
                  <w:vAlign w:val="center"/>
                </w:tcPr>
                <w:p w14:paraId="03E4561E">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27F6ACF2">
                  <w:pPr>
                    <w:spacing w:line="290" w:lineRule="exact"/>
                    <w:jc w:val="center"/>
                    <w:rPr>
                      <w:rFonts w:hint="eastAsia" w:ascii="Times New Roman" w:hAnsi="Times New Roman" w:eastAsia="宋体" w:cs="Times New Roman"/>
                      <w:color w:val="FF0000"/>
                      <w:kern w:val="2"/>
                      <w:sz w:val="21"/>
                      <w:szCs w:val="21"/>
                      <w:lang w:val="en-US" w:eastAsia="zh-CN" w:bidi="ar-SA"/>
                    </w:rPr>
                  </w:pPr>
                </w:p>
              </w:tc>
              <w:tc>
                <w:tcPr>
                  <w:tcW w:w="254" w:type="pct"/>
                  <w:vMerge w:val="continue"/>
                  <w:tcBorders>
                    <w:left w:val="single" w:color="auto" w:sz="4" w:space="0"/>
                  </w:tcBorders>
                  <w:noWrap w:val="0"/>
                  <w:vAlign w:val="center"/>
                </w:tcPr>
                <w:p w14:paraId="7C061E1C">
                  <w:pPr>
                    <w:spacing w:line="290" w:lineRule="exact"/>
                    <w:jc w:val="center"/>
                    <w:rPr>
                      <w:rFonts w:hint="eastAsia"/>
                      <w:bCs/>
                      <w:color w:val="FF0000"/>
                      <w:sz w:val="21"/>
                      <w:szCs w:val="21"/>
                    </w:rPr>
                  </w:pPr>
                </w:p>
              </w:tc>
              <w:tc>
                <w:tcPr>
                  <w:tcW w:w="398" w:type="pct"/>
                  <w:vMerge w:val="continue"/>
                  <w:noWrap w:val="0"/>
                  <w:vAlign w:val="center"/>
                </w:tcPr>
                <w:p w14:paraId="3D67D8BE">
                  <w:pPr>
                    <w:spacing w:line="290" w:lineRule="exact"/>
                    <w:jc w:val="center"/>
                    <w:rPr>
                      <w:rFonts w:hint="eastAsia"/>
                      <w:color w:val="FF0000"/>
                      <w:sz w:val="21"/>
                      <w:szCs w:val="21"/>
                    </w:rPr>
                  </w:pPr>
                </w:p>
              </w:tc>
              <w:tc>
                <w:tcPr>
                  <w:tcW w:w="342" w:type="pct"/>
                  <w:vMerge w:val="continue"/>
                  <w:noWrap w:val="0"/>
                  <w:vAlign w:val="center"/>
                </w:tcPr>
                <w:p w14:paraId="5AB63D18">
                  <w:pPr>
                    <w:spacing w:line="290" w:lineRule="exact"/>
                    <w:jc w:val="center"/>
                    <w:rPr>
                      <w:rFonts w:hint="eastAsia"/>
                      <w:color w:val="FF0000"/>
                      <w:sz w:val="21"/>
                      <w:szCs w:val="21"/>
                    </w:rPr>
                  </w:pPr>
                </w:p>
              </w:tc>
              <w:tc>
                <w:tcPr>
                  <w:tcW w:w="314" w:type="pct"/>
                  <w:vMerge w:val="continue"/>
                  <w:noWrap w:val="0"/>
                  <w:vAlign w:val="center"/>
                </w:tcPr>
                <w:p w14:paraId="17D39156">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5F489E7E">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2FE06DE7">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3393EEB3">
                  <w:pPr>
                    <w:pStyle w:val="11"/>
                    <w:numPr>
                      <w:ilvl w:val="0"/>
                      <w:numId w:val="0"/>
                    </w:numPr>
                    <w:spacing w:line="290" w:lineRule="exact"/>
                    <w:jc w:val="center"/>
                    <w:rPr>
                      <w:color w:val="FF0000"/>
                      <w:spacing w:val="-11"/>
                      <w:sz w:val="21"/>
                      <w:szCs w:val="21"/>
                    </w:rPr>
                  </w:pPr>
                </w:p>
              </w:tc>
              <w:tc>
                <w:tcPr>
                  <w:tcW w:w="186" w:type="pct"/>
                  <w:noWrap w:val="0"/>
                  <w:vAlign w:val="center"/>
                </w:tcPr>
                <w:p w14:paraId="41547AF9">
                  <w:pPr>
                    <w:pStyle w:val="11"/>
                    <w:numPr>
                      <w:ilvl w:val="0"/>
                      <w:numId w:val="0"/>
                    </w:num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南</w:t>
                  </w:r>
                </w:p>
              </w:tc>
              <w:tc>
                <w:tcPr>
                  <w:tcW w:w="259" w:type="pct"/>
                  <w:noWrap w:val="0"/>
                  <w:vAlign w:val="center"/>
                </w:tcPr>
                <w:p w14:paraId="7CAF8E4E">
                  <w:pPr>
                    <w:pStyle w:val="11"/>
                    <w:numPr>
                      <w:ilvl w:val="0"/>
                      <w:numId w:val="0"/>
                    </w:numPr>
                    <w:spacing w:line="290" w:lineRule="exact"/>
                    <w:jc w:val="center"/>
                    <w:rPr>
                      <w:rFonts w:hint="eastAsia"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4</w:t>
                  </w:r>
                </w:p>
              </w:tc>
              <w:tc>
                <w:tcPr>
                  <w:tcW w:w="336" w:type="pct"/>
                  <w:noWrap w:val="0"/>
                  <w:vAlign w:val="center"/>
                </w:tcPr>
                <w:p w14:paraId="1131174E">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74.5</w:t>
                  </w:r>
                </w:p>
              </w:tc>
              <w:tc>
                <w:tcPr>
                  <w:tcW w:w="289" w:type="pct"/>
                  <w:vMerge w:val="continue"/>
                  <w:noWrap w:val="0"/>
                  <w:vAlign w:val="center"/>
                </w:tcPr>
                <w:p w14:paraId="21349017">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7736C148">
                  <w:pPr>
                    <w:pStyle w:val="11"/>
                    <w:numPr>
                      <w:ilvl w:val="0"/>
                      <w:numId w:val="0"/>
                    </w:numPr>
                    <w:spacing w:line="290" w:lineRule="exact"/>
                    <w:jc w:val="center"/>
                    <w:rPr>
                      <w:rFonts w:hint="eastAsia"/>
                      <w:color w:val="FF0000"/>
                      <w:sz w:val="21"/>
                      <w:szCs w:val="21"/>
                    </w:rPr>
                  </w:pPr>
                </w:p>
              </w:tc>
              <w:tc>
                <w:tcPr>
                  <w:tcW w:w="340" w:type="pct"/>
                  <w:noWrap w:val="0"/>
                  <w:vAlign w:val="center"/>
                </w:tcPr>
                <w:p w14:paraId="38A385DC">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54.5</w:t>
                  </w:r>
                </w:p>
              </w:tc>
              <w:tc>
                <w:tcPr>
                  <w:tcW w:w="317" w:type="pct"/>
                  <w:vMerge w:val="continue"/>
                  <w:noWrap w:val="0"/>
                  <w:vAlign w:val="center"/>
                </w:tcPr>
                <w:p w14:paraId="7971A90D">
                  <w:pPr>
                    <w:pStyle w:val="11"/>
                    <w:numPr>
                      <w:ilvl w:val="0"/>
                      <w:numId w:val="0"/>
                    </w:numPr>
                    <w:spacing w:line="290" w:lineRule="exact"/>
                    <w:jc w:val="center"/>
                    <w:rPr>
                      <w:rFonts w:hint="eastAsia"/>
                      <w:color w:val="FF0000"/>
                      <w:sz w:val="21"/>
                      <w:szCs w:val="21"/>
                    </w:rPr>
                  </w:pPr>
                </w:p>
              </w:tc>
            </w:tr>
            <w:tr w14:paraId="58703E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2DB89AF0">
                  <w:pPr>
                    <w:pStyle w:val="11"/>
                    <w:numPr>
                      <w:ilvl w:val="0"/>
                      <w:numId w:val="0"/>
                    </w:numPr>
                    <w:spacing w:line="290" w:lineRule="exact"/>
                    <w:jc w:val="center"/>
                    <w:rPr>
                      <w:color w:val="FF0000"/>
                      <w:sz w:val="21"/>
                      <w:szCs w:val="21"/>
                    </w:rPr>
                  </w:pPr>
                </w:p>
              </w:tc>
              <w:tc>
                <w:tcPr>
                  <w:tcW w:w="332" w:type="pct"/>
                  <w:vMerge w:val="continue"/>
                  <w:noWrap w:val="0"/>
                  <w:vAlign w:val="center"/>
                </w:tcPr>
                <w:p w14:paraId="53ACBB4F">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6FB87542">
                  <w:pPr>
                    <w:spacing w:line="290" w:lineRule="exact"/>
                    <w:jc w:val="center"/>
                    <w:rPr>
                      <w:rFonts w:hint="eastAsia" w:ascii="Times New Roman" w:hAnsi="Times New Roman" w:eastAsia="宋体" w:cs="Times New Roman"/>
                      <w:color w:val="FF0000"/>
                      <w:kern w:val="2"/>
                      <w:sz w:val="21"/>
                      <w:szCs w:val="21"/>
                      <w:lang w:val="en-US" w:eastAsia="zh-CN" w:bidi="ar-SA"/>
                    </w:rPr>
                  </w:pPr>
                </w:p>
              </w:tc>
              <w:tc>
                <w:tcPr>
                  <w:tcW w:w="254" w:type="pct"/>
                  <w:vMerge w:val="continue"/>
                  <w:tcBorders>
                    <w:left w:val="single" w:color="auto" w:sz="4" w:space="0"/>
                  </w:tcBorders>
                  <w:noWrap w:val="0"/>
                  <w:vAlign w:val="center"/>
                </w:tcPr>
                <w:p w14:paraId="41752BF1">
                  <w:pPr>
                    <w:spacing w:line="290" w:lineRule="exact"/>
                    <w:jc w:val="center"/>
                    <w:rPr>
                      <w:rFonts w:hint="eastAsia"/>
                      <w:bCs/>
                      <w:color w:val="FF0000"/>
                      <w:sz w:val="21"/>
                      <w:szCs w:val="21"/>
                    </w:rPr>
                  </w:pPr>
                </w:p>
              </w:tc>
              <w:tc>
                <w:tcPr>
                  <w:tcW w:w="398" w:type="pct"/>
                  <w:vMerge w:val="continue"/>
                  <w:noWrap w:val="0"/>
                  <w:vAlign w:val="center"/>
                </w:tcPr>
                <w:p w14:paraId="235057A3">
                  <w:pPr>
                    <w:spacing w:line="290" w:lineRule="exact"/>
                    <w:jc w:val="center"/>
                    <w:rPr>
                      <w:rFonts w:hint="eastAsia"/>
                      <w:color w:val="FF0000"/>
                      <w:sz w:val="21"/>
                      <w:szCs w:val="21"/>
                    </w:rPr>
                  </w:pPr>
                </w:p>
              </w:tc>
              <w:tc>
                <w:tcPr>
                  <w:tcW w:w="342" w:type="pct"/>
                  <w:vMerge w:val="continue"/>
                  <w:noWrap w:val="0"/>
                  <w:vAlign w:val="center"/>
                </w:tcPr>
                <w:p w14:paraId="384BB324">
                  <w:pPr>
                    <w:spacing w:line="290" w:lineRule="exact"/>
                    <w:jc w:val="center"/>
                    <w:rPr>
                      <w:rFonts w:hint="eastAsia"/>
                      <w:color w:val="FF0000"/>
                      <w:sz w:val="21"/>
                      <w:szCs w:val="21"/>
                    </w:rPr>
                  </w:pPr>
                </w:p>
              </w:tc>
              <w:tc>
                <w:tcPr>
                  <w:tcW w:w="314" w:type="pct"/>
                  <w:vMerge w:val="continue"/>
                  <w:noWrap w:val="0"/>
                  <w:vAlign w:val="center"/>
                </w:tcPr>
                <w:p w14:paraId="4E16C960">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4F678DE4">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11CBA597">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03465106">
                  <w:pPr>
                    <w:pStyle w:val="11"/>
                    <w:numPr>
                      <w:ilvl w:val="0"/>
                      <w:numId w:val="0"/>
                    </w:numPr>
                    <w:spacing w:line="290" w:lineRule="exact"/>
                    <w:jc w:val="center"/>
                    <w:rPr>
                      <w:color w:val="FF0000"/>
                      <w:spacing w:val="-11"/>
                      <w:sz w:val="21"/>
                      <w:szCs w:val="21"/>
                    </w:rPr>
                  </w:pPr>
                </w:p>
              </w:tc>
              <w:tc>
                <w:tcPr>
                  <w:tcW w:w="186" w:type="pct"/>
                  <w:noWrap w:val="0"/>
                  <w:vAlign w:val="center"/>
                </w:tcPr>
                <w:p w14:paraId="13398AAD">
                  <w:pPr>
                    <w:pStyle w:val="11"/>
                    <w:numPr>
                      <w:ilvl w:val="0"/>
                      <w:numId w:val="0"/>
                    </w:num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西</w:t>
                  </w:r>
                </w:p>
              </w:tc>
              <w:tc>
                <w:tcPr>
                  <w:tcW w:w="259" w:type="pct"/>
                  <w:noWrap w:val="0"/>
                  <w:vAlign w:val="center"/>
                </w:tcPr>
                <w:p w14:paraId="15DFFA76">
                  <w:pPr>
                    <w:pStyle w:val="11"/>
                    <w:numPr>
                      <w:ilvl w:val="0"/>
                      <w:numId w:val="0"/>
                    </w:numPr>
                    <w:spacing w:line="290" w:lineRule="exact"/>
                    <w:jc w:val="center"/>
                    <w:rPr>
                      <w:rFonts w:hint="eastAsia" w:eastAsia="宋体"/>
                      <w:color w:val="FF0000"/>
                      <w:sz w:val="21"/>
                      <w:szCs w:val="21"/>
                      <w:lang w:eastAsia="zh-CN"/>
                    </w:rPr>
                  </w:pPr>
                  <w:r>
                    <w:rPr>
                      <w:rFonts w:hint="eastAsia"/>
                      <w:color w:val="000000" w:themeColor="text1"/>
                      <w:sz w:val="21"/>
                      <w:szCs w:val="21"/>
                      <w:lang w:val="en-US" w:eastAsia="zh-CN"/>
                      <w14:textFill>
                        <w14:solidFill>
                          <w14:schemeClr w14:val="tx1"/>
                        </w14:solidFill>
                      </w14:textFill>
                    </w:rPr>
                    <w:t>4</w:t>
                  </w:r>
                </w:p>
              </w:tc>
              <w:tc>
                <w:tcPr>
                  <w:tcW w:w="336" w:type="pct"/>
                  <w:noWrap w:val="0"/>
                  <w:vAlign w:val="center"/>
                </w:tcPr>
                <w:p w14:paraId="273413F1">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71.5</w:t>
                  </w:r>
                </w:p>
              </w:tc>
              <w:tc>
                <w:tcPr>
                  <w:tcW w:w="289" w:type="pct"/>
                  <w:vMerge w:val="continue"/>
                  <w:noWrap w:val="0"/>
                  <w:vAlign w:val="center"/>
                </w:tcPr>
                <w:p w14:paraId="62DFB875">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499CB03C">
                  <w:pPr>
                    <w:pStyle w:val="11"/>
                    <w:numPr>
                      <w:ilvl w:val="0"/>
                      <w:numId w:val="0"/>
                    </w:numPr>
                    <w:spacing w:line="290" w:lineRule="exact"/>
                    <w:jc w:val="center"/>
                    <w:rPr>
                      <w:rFonts w:hint="eastAsia"/>
                      <w:color w:val="FF0000"/>
                      <w:sz w:val="21"/>
                      <w:szCs w:val="21"/>
                    </w:rPr>
                  </w:pPr>
                </w:p>
              </w:tc>
              <w:tc>
                <w:tcPr>
                  <w:tcW w:w="340" w:type="pct"/>
                  <w:noWrap w:val="0"/>
                  <w:vAlign w:val="center"/>
                </w:tcPr>
                <w:p w14:paraId="6E0EF46A">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51.5</w:t>
                  </w:r>
                </w:p>
              </w:tc>
              <w:tc>
                <w:tcPr>
                  <w:tcW w:w="317" w:type="pct"/>
                  <w:vMerge w:val="continue"/>
                  <w:noWrap w:val="0"/>
                  <w:vAlign w:val="center"/>
                </w:tcPr>
                <w:p w14:paraId="22F3D481">
                  <w:pPr>
                    <w:pStyle w:val="11"/>
                    <w:numPr>
                      <w:ilvl w:val="0"/>
                      <w:numId w:val="0"/>
                    </w:numPr>
                    <w:spacing w:line="290" w:lineRule="exact"/>
                    <w:jc w:val="center"/>
                    <w:rPr>
                      <w:rFonts w:hint="eastAsia"/>
                      <w:color w:val="FF0000"/>
                      <w:sz w:val="21"/>
                      <w:szCs w:val="21"/>
                    </w:rPr>
                  </w:pPr>
                </w:p>
              </w:tc>
            </w:tr>
            <w:tr w14:paraId="2A1374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3394350C">
                  <w:pPr>
                    <w:pStyle w:val="11"/>
                    <w:numPr>
                      <w:ilvl w:val="0"/>
                      <w:numId w:val="0"/>
                    </w:numPr>
                    <w:spacing w:line="290" w:lineRule="exact"/>
                    <w:jc w:val="center"/>
                    <w:rPr>
                      <w:rFonts w:hint="eastAsia"/>
                      <w:color w:val="FF0000"/>
                      <w:sz w:val="21"/>
                      <w:szCs w:val="21"/>
                    </w:rPr>
                  </w:pPr>
                </w:p>
              </w:tc>
              <w:tc>
                <w:tcPr>
                  <w:tcW w:w="332" w:type="pct"/>
                  <w:vMerge w:val="continue"/>
                  <w:noWrap w:val="0"/>
                  <w:vAlign w:val="center"/>
                </w:tcPr>
                <w:p w14:paraId="4FACADCB">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11E7F7C7">
                  <w:pPr>
                    <w:spacing w:line="290" w:lineRule="exact"/>
                    <w:jc w:val="center"/>
                    <w:rPr>
                      <w:rFonts w:hint="eastAsia" w:ascii="Times New Roman" w:hAnsi="Times New Roman" w:eastAsia="宋体" w:cs="Times New Roman"/>
                      <w:color w:val="FF0000"/>
                      <w:kern w:val="2"/>
                      <w:sz w:val="21"/>
                      <w:szCs w:val="21"/>
                      <w:lang w:val="en-US" w:eastAsia="zh-CN" w:bidi="ar-SA"/>
                    </w:rPr>
                  </w:pPr>
                </w:p>
              </w:tc>
              <w:tc>
                <w:tcPr>
                  <w:tcW w:w="254" w:type="pct"/>
                  <w:vMerge w:val="continue"/>
                  <w:tcBorders>
                    <w:left w:val="single" w:color="auto" w:sz="4" w:space="0"/>
                  </w:tcBorders>
                  <w:noWrap w:val="0"/>
                  <w:vAlign w:val="center"/>
                </w:tcPr>
                <w:p w14:paraId="11565319">
                  <w:pPr>
                    <w:spacing w:line="290" w:lineRule="exact"/>
                    <w:jc w:val="center"/>
                    <w:rPr>
                      <w:rFonts w:hint="eastAsia"/>
                      <w:bCs/>
                      <w:color w:val="FF0000"/>
                      <w:sz w:val="21"/>
                      <w:szCs w:val="21"/>
                    </w:rPr>
                  </w:pPr>
                </w:p>
              </w:tc>
              <w:tc>
                <w:tcPr>
                  <w:tcW w:w="398" w:type="pct"/>
                  <w:vMerge w:val="continue"/>
                  <w:noWrap w:val="0"/>
                  <w:vAlign w:val="center"/>
                </w:tcPr>
                <w:p w14:paraId="36DDA0DF">
                  <w:pPr>
                    <w:spacing w:line="290" w:lineRule="exact"/>
                    <w:jc w:val="center"/>
                    <w:rPr>
                      <w:rFonts w:hint="eastAsia"/>
                      <w:color w:val="FF0000"/>
                      <w:sz w:val="21"/>
                      <w:szCs w:val="21"/>
                    </w:rPr>
                  </w:pPr>
                </w:p>
              </w:tc>
              <w:tc>
                <w:tcPr>
                  <w:tcW w:w="342" w:type="pct"/>
                  <w:vMerge w:val="continue"/>
                  <w:noWrap w:val="0"/>
                  <w:vAlign w:val="center"/>
                </w:tcPr>
                <w:p w14:paraId="7CB15454">
                  <w:pPr>
                    <w:spacing w:line="290" w:lineRule="exact"/>
                    <w:jc w:val="center"/>
                    <w:rPr>
                      <w:rFonts w:hint="eastAsia"/>
                      <w:color w:val="FF0000"/>
                      <w:sz w:val="21"/>
                      <w:szCs w:val="21"/>
                    </w:rPr>
                  </w:pPr>
                </w:p>
              </w:tc>
              <w:tc>
                <w:tcPr>
                  <w:tcW w:w="314" w:type="pct"/>
                  <w:vMerge w:val="continue"/>
                  <w:noWrap w:val="0"/>
                  <w:vAlign w:val="center"/>
                </w:tcPr>
                <w:p w14:paraId="08FF1DA3">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32E0DB1A">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77C93D22">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228A3E00">
                  <w:pPr>
                    <w:pStyle w:val="11"/>
                    <w:numPr>
                      <w:ilvl w:val="0"/>
                      <w:numId w:val="0"/>
                    </w:numPr>
                    <w:spacing w:line="290" w:lineRule="exact"/>
                    <w:jc w:val="center"/>
                    <w:rPr>
                      <w:color w:val="FF0000"/>
                      <w:spacing w:val="-11"/>
                      <w:sz w:val="21"/>
                      <w:szCs w:val="21"/>
                    </w:rPr>
                  </w:pPr>
                </w:p>
              </w:tc>
              <w:tc>
                <w:tcPr>
                  <w:tcW w:w="186" w:type="pct"/>
                  <w:noWrap w:val="0"/>
                  <w:vAlign w:val="center"/>
                </w:tcPr>
                <w:p w14:paraId="51EA0149">
                  <w:pPr>
                    <w:pStyle w:val="11"/>
                    <w:numPr>
                      <w:ilvl w:val="0"/>
                      <w:numId w:val="0"/>
                    </w:num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北</w:t>
                  </w:r>
                </w:p>
              </w:tc>
              <w:tc>
                <w:tcPr>
                  <w:tcW w:w="259" w:type="pct"/>
                  <w:noWrap w:val="0"/>
                  <w:vAlign w:val="center"/>
                </w:tcPr>
                <w:p w14:paraId="1A69271B">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3</w:t>
                  </w:r>
                </w:p>
              </w:tc>
              <w:tc>
                <w:tcPr>
                  <w:tcW w:w="336" w:type="pct"/>
                  <w:noWrap w:val="0"/>
                  <w:vAlign w:val="center"/>
                </w:tcPr>
                <w:p w14:paraId="0D4D2A46">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69.5</w:t>
                  </w:r>
                </w:p>
              </w:tc>
              <w:tc>
                <w:tcPr>
                  <w:tcW w:w="289" w:type="pct"/>
                  <w:vMerge w:val="continue"/>
                  <w:noWrap w:val="0"/>
                  <w:vAlign w:val="center"/>
                </w:tcPr>
                <w:p w14:paraId="02F9E07C">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664C9683">
                  <w:pPr>
                    <w:pStyle w:val="11"/>
                    <w:numPr>
                      <w:ilvl w:val="0"/>
                      <w:numId w:val="0"/>
                    </w:numPr>
                    <w:spacing w:line="290" w:lineRule="exact"/>
                    <w:jc w:val="center"/>
                    <w:rPr>
                      <w:rFonts w:hint="eastAsia"/>
                      <w:color w:val="FF0000"/>
                      <w:sz w:val="21"/>
                      <w:szCs w:val="21"/>
                    </w:rPr>
                  </w:pPr>
                </w:p>
              </w:tc>
              <w:tc>
                <w:tcPr>
                  <w:tcW w:w="340" w:type="pct"/>
                  <w:noWrap w:val="0"/>
                  <w:vAlign w:val="center"/>
                </w:tcPr>
                <w:p w14:paraId="3D10FEC3">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49.5</w:t>
                  </w:r>
                </w:p>
              </w:tc>
              <w:tc>
                <w:tcPr>
                  <w:tcW w:w="317" w:type="pct"/>
                  <w:vMerge w:val="continue"/>
                  <w:noWrap w:val="0"/>
                  <w:vAlign w:val="center"/>
                </w:tcPr>
                <w:p w14:paraId="16BAA63D">
                  <w:pPr>
                    <w:pStyle w:val="11"/>
                    <w:numPr>
                      <w:ilvl w:val="0"/>
                      <w:numId w:val="0"/>
                    </w:numPr>
                    <w:spacing w:line="290" w:lineRule="exact"/>
                    <w:jc w:val="center"/>
                    <w:rPr>
                      <w:rFonts w:hint="eastAsia"/>
                      <w:color w:val="FF0000"/>
                      <w:sz w:val="21"/>
                      <w:szCs w:val="21"/>
                    </w:rPr>
                  </w:pPr>
                </w:p>
              </w:tc>
            </w:tr>
            <w:tr w14:paraId="71FC9C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restart"/>
                  <w:noWrap w:val="0"/>
                  <w:vAlign w:val="center"/>
                </w:tcPr>
                <w:p w14:paraId="74F5551A">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3</w:t>
                  </w:r>
                </w:p>
              </w:tc>
              <w:tc>
                <w:tcPr>
                  <w:tcW w:w="332" w:type="pct"/>
                  <w:vMerge w:val="continue"/>
                  <w:noWrap w:val="0"/>
                  <w:vAlign w:val="center"/>
                </w:tcPr>
                <w:p w14:paraId="2EAD2B5D">
                  <w:pPr>
                    <w:pStyle w:val="11"/>
                    <w:numPr>
                      <w:ilvl w:val="0"/>
                      <w:numId w:val="0"/>
                    </w:numPr>
                    <w:spacing w:line="290" w:lineRule="exact"/>
                    <w:jc w:val="center"/>
                    <w:rPr>
                      <w:rFonts w:hint="eastAsia"/>
                      <w:color w:val="FF0000"/>
                      <w:sz w:val="21"/>
                      <w:szCs w:val="21"/>
                    </w:rPr>
                  </w:pPr>
                </w:p>
              </w:tc>
              <w:tc>
                <w:tcPr>
                  <w:tcW w:w="441" w:type="pct"/>
                  <w:vMerge w:val="restart"/>
                  <w:tcBorders>
                    <w:right w:val="single" w:color="auto" w:sz="4" w:space="0"/>
                  </w:tcBorders>
                  <w:noWrap w:val="0"/>
                  <w:vAlign w:val="center"/>
                </w:tcPr>
                <w:p w14:paraId="7703AD54">
                  <w:pPr>
                    <w:spacing w:line="290" w:lineRule="exact"/>
                    <w:jc w:val="center"/>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台式离心机</w:t>
                  </w:r>
                </w:p>
              </w:tc>
              <w:tc>
                <w:tcPr>
                  <w:tcW w:w="254" w:type="pct"/>
                  <w:vMerge w:val="restart"/>
                  <w:tcBorders>
                    <w:left w:val="single" w:color="auto" w:sz="4" w:space="0"/>
                  </w:tcBorders>
                  <w:noWrap w:val="0"/>
                  <w:vAlign w:val="center"/>
                </w:tcPr>
                <w:p w14:paraId="43CFD67B">
                  <w:pPr>
                    <w:spacing w:line="290" w:lineRule="exact"/>
                    <w:jc w:val="center"/>
                    <w:rPr>
                      <w:rFonts w:hint="eastAsia" w:eastAsia="宋体"/>
                      <w:bCs/>
                      <w:color w:val="FF0000"/>
                      <w:sz w:val="21"/>
                      <w:szCs w:val="21"/>
                      <w:lang w:val="en-US" w:eastAsia="zh-CN"/>
                    </w:rPr>
                  </w:pPr>
                  <w:r>
                    <w:rPr>
                      <w:rFonts w:hint="eastAsia"/>
                      <w:bCs/>
                      <w:color w:val="000000" w:themeColor="text1"/>
                      <w:sz w:val="21"/>
                      <w:szCs w:val="21"/>
                      <w:lang w:val="en-US" w:eastAsia="zh-CN"/>
                      <w14:textFill>
                        <w14:solidFill>
                          <w14:schemeClr w14:val="tx1"/>
                        </w14:solidFill>
                      </w14:textFill>
                    </w:rPr>
                    <w:t>1</w:t>
                  </w:r>
                </w:p>
              </w:tc>
              <w:tc>
                <w:tcPr>
                  <w:tcW w:w="398" w:type="pct"/>
                  <w:vMerge w:val="restart"/>
                  <w:noWrap w:val="0"/>
                  <w:vAlign w:val="center"/>
                </w:tcPr>
                <w:p w14:paraId="1DA44505">
                  <w:p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w:t>
                  </w:r>
                </w:p>
              </w:tc>
              <w:tc>
                <w:tcPr>
                  <w:tcW w:w="342" w:type="pct"/>
                  <w:vMerge w:val="restart"/>
                  <w:noWrap w:val="0"/>
                  <w:vAlign w:val="center"/>
                </w:tcPr>
                <w:p w14:paraId="07809F78">
                  <w:pPr>
                    <w:spacing w:line="290" w:lineRule="exact"/>
                    <w:jc w:val="center"/>
                    <w:rPr>
                      <w:rFonts w:hint="default"/>
                      <w:color w:val="FF0000"/>
                      <w:sz w:val="21"/>
                      <w:szCs w:val="21"/>
                      <w:lang w:val="en-US"/>
                    </w:rPr>
                  </w:pPr>
                  <w:r>
                    <w:rPr>
                      <w:rFonts w:hint="eastAsia"/>
                      <w:color w:val="000000" w:themeColor="text1"/>
                      <w:sz w:val="21"/>
                      <w:szCs w:val="21"/>
                      <w:lang w:val="en-US" w:eastAsia="zh-CN"/>
                      <w14:textFill>
                        <w14:solidFill>
                          <w14:schemeClr w14:val="tx1"/>
                        </w14:solidFill>
                      </w14:textFill>
                    </w:rPr>
                    <w:t>75</w:t>
                  </w:r>
                </w:p>
              </w:tc>
              <w:tc>
                <w:tcPr>
                  <w:tcW w:w="314" w:type="pct"/>
                  <w:vMerge w:val="continue"/>
                  <w:noWrap w:val="0"/>
                  <w:vAlign w:val="center"/>
                </w:tcPr>
                <w:p w14:paraId="694729F8">
                  <w:pPr>
                    <w:pStyle w:val="11"/>
                    <w:numPr>
                      <w:ilvl w:val="0"/>
                      <w:numId w:val="0"/>
                    </w:numPr>
                    <w:spacing w:line="290" w:lineRule="exact"/>
                    <w:jc w:val="center"/>
                    <w:rPr>
                      <w:rFonts w:hint="eastAsia"/>
                      <w:color w:val="FF0000"/>
                      <w:sz w:val="21"/>
                      <w:szCs w:val="21"/>
                    </w:rPr>
                  </w:pPr>
                </w:p>
              </w:tc>
              <w:tc>
                <w:tcPr>
                  <w:tcW w:w="220" w:type="pct"/>
                  <w:vMerge w:val="restart"/>
                  <w:noWrap w:val="0"/>
                  <w:vAlign w:val="center"/>
                </w:tcPr>
                <w:p w14:paraId="53FBE91C">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6</w:t>
                  </w:r>
                </w:p>
              </w:tc>
              <w:tc>
                <w:tcPr>
                  <w:tcW w:w="220" w:type="pct"/>
                  <w:vMerge w:val="restart"/>
                  <w:noWrap w:val="0"/>
                  <w:vAlign w:val="center"/>
                </w:tcPr>
                <w:p w14:paraId="641415FC">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5</w:t>
                  </w:r>
                </w:p>
              </w:tc>
              <w:tc>
                <w:tcPr>
                  <w:tcW w:w="195" w:type="pct"/>
                  <w:vMerge w:val="restart"/>
                  <w:noWrap w:val="0"/>
                  <w:vAlign w:val="center"/>
                </w:tcPr>
                <w:p w14:paraId="47386519">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3</w:t>
                  </w:r>
                </w:p>
              </w:tc>
              <w:tc>
                <w:tcPr>
                  <w:tcW w:w="186" w:type="pct"/>
                  <w:noWrap w:val="0"/>
                  <w:vAlign w:val="center"/>
                </w:tcPr>
                <w:p w14:paraId="3667CF64">
                  <w:pPr>
                    <w:pStyle w:val="11"/>
                    <w:numPr>
                      <w:ilvl w:val="0"/>
                      <w:numId w:val="0"/>
                    </w:numPr>
                    <w:spacing w:line="290" w:lineRule="exact"/>
                    <w:ind w:left="0" w:leftChars="0" w:firstLine="0" w:firstLineChars="0"/>
                    <w:jc w:val="center"/>
                    <w:rPr>
                      <w:rFonts w:hint="eastAsia"/>
                      <w:color w:val="FF0000"/>
                      <w:sz w:val="21"/>
                      <w:szCs w:val="21"/>
                    </w:rPr>
                  </w:pPr>
                  <w:r>
                    <w:rPr>
                      <w:rFonts w:hint="eastAsia"/>
                      <w:color w:val="000000" w:themeColor="text1"/>
                      <w:sz w:val="21"/>
                      <w:szCs w:val="21"/>
                      <w14:textFill>
                        <w14:solidFill>
                          <w14:schemeClr w14:val="tx1"/>
                        </w14:solidFill>
                      </w14:textFill>
                    </w:rPr>
                    <w:t>东</w:t>
                  </w:r>
                </w:p>
              </w:tc>
              <w:tc>
                <w:tcPr>
                  <w:tcW w:w="259" w:type="pct"/>
                  <w:noWrap w:val="0"/>
                  <w:vAlign w:val="center"/>
                </w:tcPr>
                <w:p w14:paraId="51DAA505">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9</w:t>
                  </w:r>
                </w:p>
              </w:tc>
              <w:tc>
                <w:tcPr>
                  <w:tcW w:w="336" w:type="pct"/>
                  <w:noWrap w:val="0"/>
                  <w:vAlign w:val="center"/>
                </w:tcPr>
                <w:p w14:paraId="66D79E15">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66.7</w:t>
                  </w:r>
                </w:p>
              </w:tc>
              <w:tc>
                <w:tcPr>
                  <w:tcW w:w="289" w:type="pct"/>
                  <w:vMerge w:val="continue"/>
                  <w:noWrap w:val="0"/>
                  <w:vAlign w:val="center"/>
                </w:tcPr>
                <w:p w14:paraId="1C91E496">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0AA8256E">
                  <w:pPr>
                    <w:pStyle w:val="11"/>
                    <w:numPr>
                      <w:ilvl w:val="0"/>
                      <w:numId w:val="0"/>
                    </w:numPr>
                    <w:spacing w:line="290" w:lineRule="exact"/>
                    <w:jc w:val="center"/>
                    <w:rPr>
                      <w:rFonts w:hint="eastAsia"/>
                      <w:color w:val="FF0000"/>
                      <w:sz w:val="21"/>
                      <w:szCs w:val="21"/>
                    </w:rPr>
                  </w:pPr>
                </w:p>
              </w:tc>
              <w:tc>
                <w:tcPr>
                  <w:tcW w:w="340" w:type="pct"/>
                  <w:noWrap w:val="0"/>
                  <w:vAlign w:val="center"/>
                </w:tcPr>
                <w:p w14:paraId="5FCBAC88">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46.7</w:t>
                  </w:r>
                </w:p>
              </w:tc>
              <w:tc>
                <w:tcPr>
                  <w:tcW w:w="317" w:type="pct"/>
                  <w:vMerge w:val="restart"/>
                  <w:noWrap w:val="0"/>
                  <w:vAlign w:val="center"/>
                </w:tcPr>
                <w:p w14:paraId="257C2767">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10</w:t>
                  </w:r>
                </w:p>
              </w:tc>
            </w:tr>
            <w:tr w14:paraId="0E99BE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74B359CE">
                  <w:pPr>
                    <w:pStyle w:val="11"/>
                    <w:numPr>
                      <w:ilvl w:val="0"/>
                      <w:numId w:val="0"/>
                    </w:numPr>
                    <w:spacing w:line="290" w:lineRule="exact"/>
                    <w:jc w:val="center"/>
                    <w:rPr>
                      <w:rFonts w:hint="default" w:eastAsia="宋体"/>
                      <w:color w:val="FF0000"/>
                      <w:sz w:val="21"/>
                      <w:szCs w:val="21"/>
                      <w:lang w:val="en-US" w:eastAsia="zh-CN"/>
                    </w:rPr>
                  </w:pPr>
                </w:p>
              </w:tc>
              <w:tc>
                <w:tcPr>
                  <w:tcW w:w="332" w:type="pct"/>
                  <w:vMerge w:val="continue"/>
                  <w:noWrap w:val="0"/>
                  <w:vAlign w:val="center"/>
                </w:tcPr>
                <w:p w14:paraId="7984140D">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14C5DD8F">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0F71B476">
                  <w:pPr>
                    <w:spacing w:line="290" w:lineRule="exact"/>
                    <w:jc w:val="center"/>
                    <w:rPr>
                      <w:rFonts w:hint="eastAsia"/>
                      <w:bCs/>
                      <w:color w:val="FF0000"/>
                      <w:sz w:val="21"/>
                      <w:szCs w:val="21"/>
                    </w:rPr>
                  </w:pPr>
                </w:p>
              </w:tc>
              <w:tc>
                <w:tcPr>
                  <w:tcW w:w="398" w:type="pct"/>
                  <w:vMerge w:val="continue"/>
                  <w:noWrap w:val="0"/>
                  <w:vAlign w:val="center"/>
                </w:tcPr>
                <w:p w14:paraId="2D239E99">
                  <w:pPr>
                    <w:spacing w:line="290" w:lineRule="exact"/>
                    <w:jc w:val="center"/>
                    <w:rPr>
                      <w:rFonts w:hint="eastAsia"/>
                      <w:color w:val="FF0000"/>
                      <w:sz w:val="21"/>
                      <w:szCs w:val="21"/>
                    </w:rPr>
                  </w:pPr>
                </w:p>
              </w:tc>
              <w:tc>
                <w:tcPr>
                  <w:tcW w:w="342" w:type="pct"/>
                  <w:vMerge w:val="continue"/>
                  <w:noWrap w:val="0"/>
                  <w:vAlign w:val="center"/>
                </w:tcPr>
                <w:p w14:paraId="54237B96">
                  <w:pPr>
                    <w:spacing w:line="290" w:lineRule="exact"/>
                    <w:jc w:val="center"/>
                    <w:rPr>
                      <w:rFonts w:hint="eastAsia"/>
                      <w:color w:val="FF0000"/>
                      <w:sz w:val="21"/>
                      <w:szCs w:val="21"/>
                    </w:rPr>
                  </w:pPr>
                </w:p>
              </w:tc>
              <w:tc>
                <w:tcPr>
                  <w:tcW w:w="314" w:type="pct"/>
                  <w:vMerge w:val="continue"/>
                  <w:noWrap w:val="0"/>
                  <w:vAlign w:val="center"/>
                </w:tcPr>
                <w:p w14:paraId="69F195D0">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09640D96">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4AB92597">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6D2D4890">
                  <w:pPr>
                    <w:pStyle w:val="11"/>
                    <w:numPr>
                      <w:ilvl w:val="0"/>
                      <w:numId w:val="0"/>
                    </w:numPr>
                    <w:spacing w:line="290" w:lineRule="exact"/>
                    <w:jc w:val="center"/>
                    <w:rPr>
                      <w:color w:val="FF0000"/>
                      <w:spacing w:val="-11"/>
                      <w:sz w:val="21"/>
                      <w:szCs w:val="21"/>
                    </w:rPr>
                  </w:pPr>
                </w:p>
              </w:tc>
              <w:tc>
                <w:tcPr>
                  <w:tcW w:w="186" w:type="pct"/>
                  <w:noWrap w:val="0"/>
                  <w:vAlign w:val="center"/>
                </w:tcPr>
                <w:p w14:paraId="21C8602B">
                  <w:pPr>
                    <w:pStyle w:val="11"/>
                    <w:numPr>
                      <w:ilvl w:val="0"/>
                      <w:numId w:val="0"/>
                    </w:numPr>
                    <w:spacing w:line="290" w:lineRule="exact"/>
                    <w:ind w:left="0" w:leftChars="0" w:firstLine="0" w:firstLineChars="0"/>
                    <w:jc w:val="center"/>
                    <w:rPr>
                      <w:rFonts w:hint="eastAsia"/>
                      <w:color w:val="FF0000"/>
                      <w:sz w:val="21"/>
                      <w:szCs w:val="21"/>
                    </w:rPr>
                  </w:pPr>
                  <w:r>
                    <w:rPr>
                      <w:rFonts w:hint="eastAsia"/>
                      <w:color w:val="000000" w:themeColor="text1"/>
                      <w:sz w:val="21"/>
                      <w:szCs w:val="21"/>
                      <w14:textFill>
                        <w14:solidFill>
                          <w14:schemeClr w14:val="tx1"/>
                        </w14:solidFill>
                      </w14:textFill>
                    </w:rPr>
                    <w:t>南</w:t>
                  </w:r>
                </w:p>
              </w:tc>
              <w:tc>
                <w:tcPr>
                  <w:tcW w:w="259" w:type="pct"/>
                  <w:noWrap w:val="0"/>
                  <w:vAlign w:val="center"/>
                </w:tcPr>
                <w:p w14:paraId="3AF66F15">
                  <w:pPr>
                    <w:pStyle w:val="11"/>
                    <w:numPr>
                      <w:ilvl w:val="0"/>
                      <w:numId w:val="0"/>
                    </w:numPr>
                    <w:spacing w:line="290" w:lineRule="exact"/>
                    <w:jc w:val="center"/>
                    <w:rPr>
                      <w:rFonts w:hint="eastAsia"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5</w:t>
                  </w:r>
                </w:p>
              </w:tc>
              <w:tc>
                <w:tcPr>
                  <w:tcW w:w="336" w:type="pct"/>
                  <w:noWrap w:val="0"/>
                  <w:vAlign w:val="center"/>
                </w:tcPr>
                <w:p w14:paraId="191B140C">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71.5</w:t>
                  </w:r>
                </w:p>
              </w:tc>
              <w:tc>
                <w:tcPr>
                  <w:tcW w:w="289" w:type="pct"/>
                  <w:vMerge w:val="continue"/>
                  <w:noWrap w:val="0"/>
                  <w:vAlign w:val="center"/>
                </w:tcPr>
                <w:p w14:paraId="0A07DA06">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1AA2DFC6">
                  <w:pPr>
                    <w:pStyle w:val="11"/>
                    <w:numPr>
                      <w:ilvl w:val="0"/>
                      <w:numId w:val="0"/>
                    </w:numPr>
                    <w:spacing w:line="290" w:lineRule="exact"/>
                    <w:jc w:val="center"/>
                    <w:rPr>
                      <w:rFonts w:hint="eastAsia"/>
                      <w:color w:val="FF0000"/>
                      <w:sz w:val="21"/>
                      <w:szCs w:val="21"/>
                    </w:rPr>
                  </w:pPr>
                </w:p>
              </w:tc>
              <w:tc>
                <w:tcPr>
                  <w:tcW w:w="340" w:type="pct"/>
                  <w:noWrap w:val="0"/>
                  <w:vAlign w:val="center"/>
                </w:tcPr>
                <w:p w14:paraId="62D237D0">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51.5</w:t>
                  </w:r>
                </w:p>
              </w:tc>
              <w:tc>
                <w:tcPr>
                  <w:tcW w:w="317" w:type="pct"/>
                  <w:vMerge w:val="continue"/>
                  <w:noWrap w:val="0"/>
                  <w:vAlign w:val="center"/>
                </w:tcPr>
                <w:p w14:paraId="1C0E3AB5">
                  <w:pPr>
                    <w:pStyle w:val="11"/>
                    <w:numPr>
                      <w:ilvl w:val="0"/>
                      <w:numId w:val="0"/>
                    </w:numPr>
                    <w:spacing w:line="290" w:lineRule="exact"/>
                    <w:jc w:val="center"/>
                    <w:rPr>
                      <w:rFonts w:hint="eastAsia"/>
                      <w:color w:val="FF0000"/>
                      <w:sz w:val="21"/>
                      <w:szCs w:val="21"/>
                    </w:rPr>
                  </w:pPr>
                </w:p>
              </w:tc>
            </w:tr>
            <w:tr w14:paraId="1C284E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275AA4B8">
                  <w:pPr>
                    <w:pStyle w:val="11"/>
                    <w:numPr>
                      <w:ilvl w:val="0"/>
                      <w:numId w:val="0"/>
                    </w:numPr>
                    <w:spacing w:line="290" w:lineRule="exact"/>
                    <w:jc w:val="center"/>
                    <w:rPr>
                      <w:rFonts w:hint="default" w:eastAsia="宋体"/>
                      <w:color w:val="FF0000"/>
                      <w:sz w:val="21"/>
                      <w:szCs w:val="21"/>
                      <w:lang w:val="en-US" w:eastAsia="zh-CN"/>
                    </w:rPr>
                  </w:pPr>
                </w:p>
              </w:tc>
              <w:tc>
                <w:tcPr>
                  <w:tcW w:w="332" w:type="pct"/>
                  <w:vMerge w:val="continue"/>
                  <w:noWrap w:val="0"/>
                  <w:vAlign w:val="center"/>
                </w:tcPr>
                <w:p w14:paraId="0F775044">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30FAE7BE">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5E825C93">
                  <w:pPr>
                    <w:spacing w:line="290" w:lineRule="exact"/>
                    <w:jc w:val="center"/>
                    <w:rPr>
                      <w:rFonts w:hint="eastAsia"/>
                      <w:bCs/>
                      <w:color w:val="FF0000"/>
                      <w:sz w:val="21"/>
                      <w:szCs w:val="21"/>
                    </w:rPr>
                  </w:pPr>
                </w:p>
              </w:tc>
              <w:tc>
                <w:tcPr>
                  <w:tcW w:w="398" w:type="pct"/>
                  <w:vMerge w:val="continue"/>
                  <w:noWrap w:val="0"/>
                  <w:vAlign w:val="center"/>
                </w:tcPr>
                <w:p w14:paraId="5412C2DB">
                  <w:pPr>
                    <w:spacing w:line="290" w:lineRule="exact"/>
                    <w:jc w:val="center"/>
                    <w:rPr>
                      <w:rFonts w:hint="eastAsia"/>
                      <w:color w:val="FF0000"/>
                      <w:sz w:val="21"/>
                      <w:szCs w:val="21"/>
                    </w:rPr>
                  </w:pPr>
                </w:p>
              </w:tc>
              <w:tc>
                <w:tcPr>
                  <w:tcW w:w="342" w:type="pct"/>
                  <w:vMerge w:val="continue"/>
                  <w:noWrap w:val="0"/>
                  <w:vAlign w:val="center"/>
                </w:tcPr>
                <w:p w14:paraId="70DCB713">
                  <w:pPr>
                    <w:spacing w:line="290" w:lineRule="exact"/>
                    <w:jc w:val="center"/>
                    <w:rPr>
                      <w:rFonts w:hint="eastAsia"/>
                      <w:color w:val="FF0000"/>
                      <w:sz w:val="21"/>
                      <w:szCs w:val="21"/>
                    </w:rPr>
                  </w:pPr>
                </w:p>
              </w:tc>
              <w:tc>
                <w:tcPr>
                  <w:tcW w:w="314" w:type="pct"/>
                  <w:vMerge w:val="continue"/>
                  <w:noWrap w:val="0"/>
                  <w:vAlign w:val="center"/>
                </w:tcPr>
                <w:p w14:paraId="7DE9921C">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7F989634">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4A1B6E4F">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093DC3E0">
                  <w:pPr>
                    <w:pStyle w:val="11"/>
                    <w:numPr>
                      <w:ilvl w:val="0"/>
                      <w:numId w:val="0"/>
                    </w:numPr>
                    <w:spacing w:line="290" w:lineRule="exact"/>
                    <w:jc w:val="center"/>
                    <w:rPr>
                      <w:color w:val="FF0000"/>
                      <w:spacing w:val="-11"/>
                      <w:sz w:val="21"/>
                      <w:szCs w:val="21"/>
                    </w:rPr>
                  </w:pPr>
                </w:p>
              </w:tc>
              <w:tc>
                <w:tcPr>
                  <w:tcW w:w="186" w:type="pct"/>
                  <w:noWrap w:val="0"/>
                  <w:vAlign w:val="center"/>
                </w:tcPr>
                <w:p w14:paraId="14B6C0B0">
                  <w:pPr>
                    <w:pStyle w:val="11"/>
                    <w:numPr>
                      <w:ilvl w:val="0"/>
                      <w:numId w:val="0"/>
                    </w:numPr>
                    <w:spacing w:line="290" w:lineRule="exact"/>
                    <w:ind w:left="0" w:leftChars="0" w:firstLine="0" w:firstLineChars="0"/>
                    <w:jc w:val="center"/>
                    <w:rPr>
                      <w:rFonts w:hint="eastAsia"/>
                      <w:color w:val="FF0000"/>
                      <w:sz w:val="21"/>
                      <w:szCs w:val="21"/>
                    </w:rPr>
                  </w:pPr>
                  <w:r>
                    <w:rPr>
                      <w:rFonts w:hint="eastAsia"/>
                      <w:color w:val="000000" w:themeColor="text1"/>
                      <w:sz w:val="21"/>
                      <w:szCs w:val="21"/>
                      <w14:textFill>
                        <w14:solidFill>
                          <w14:schemeClr w14:val="tx1"/>
                        </w14:solidFill>
                      </w14:textFill>
                    </w:rPr>
                    <w:t>西</w:t>
                  </w:r>
                </w:p>
              </w:tc>
              <w:tc>
                <w:tcPr>
                  <w:tcW w:w="259" w:type="pct"/>
                  <w:noWrap w:val="0"/>
                  <w:vAlign w:val="center"/>
                </w:tcPr>
                <w:p w14:paraId="232A9717">
                  <w:pPr>
                    <w:pStyle w:val="11"/>
                    <w:numPr>
                      <w:ilvl w:val="0"/>
                      <w:numId w:val="0"/>
                    </w:numPr>
                    <w:spacing w:line="290" w:lineRule="exact"/>
                    <w:jc w:val="center"/>
                    <w:rPr>
                      <w:rFonts w:hint="eastAsia"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w:t>
                  </w:r>
                </w:p>
              </w:tc>
              <w:tc>
                <w:tcPr>
                  <w:tcW w:w="336" w:type="pct"/>
                  <w:noWrap w:val="0"/>
                  <w:vAlign w:val="center"/>
                </w:tcPr>
                <w:p w14:paraId="1662A20D">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71.5</w:t>
                  </w:r>
                </w:p>
              </w:tc>
              <w:tc>
                <w:tcPr>
                  <w:tcW w:w="289" w:type="pct"/>
                  <w:vMerge w:val="continue"/>
                  <w:noWrap w:val="0"/>
                  <w:vAlign w:val="center"/>
                </w:tcPr>
                <w:p w14:paraId="374DD64D">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1BF8336A">
                  <w:pPr>
                    <w:pStyle w:val="11"/>
                    <w:numPr>
                      <w:ilvl w:val="0"/>
                      <w:numId w:val="0"/>
                    </w:numPr>
                    <w:spacing w:line="290" w:lineRule="exact"/>
                    <w:jc w:val="center"/>
                    <w:rPr>
                      <w:rFonts w:hint="eastAsia"/>
                      <w:color w:val="FF0000"/>
                      <w:sz w:val="21"/>
                      <w:szCs w:val="21"/>
                    </w:rPr>
                  </w:pPr>
                </w:p>
              </w:tc>
              <w:tc>
                <w:tcPr>
                  <w:tcW w:w="340" w:type="pct"/>
                  <w:noWrap w:val="0"/>
                  <w:vAlign w:val="center"/>
                </w:tcPr>
                <w:p w14:paraId="662E9D1A">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51.5</w:t>
                  </w:r>
                </w:p>
              </w:tc>
              <w:tc>
                <w:tcPr>
                  <w:tcW w:w="317" w:type="pct"/>
                  <w:vMerge w:val="continue"/>
                  <w:noWrap w:val="0"/>
                  <w:vAlign w:val="center"/>
                </w:tcPr>
                <w:p w14:paraId="3A5249CD">
                  <w:pPr>
                    <w:pStyle w:val="11"/>
                    <w:numPr>
                      <w:ilvl w:val="0"/>
                      <w:numId w:val="0"/>
                    </w:numPr>
                    <w:spacing w:line="290" w:lineRule="exact"/>
                    <w:jc w:val="center"/>
                    <w:rPr>
                      <w:rFonts w:hint="eastAsia"/>
                      <w:color w:val="FF0000"/>
                      <w:sz w:val="21"/>
                      <w:szCs w:val="21"/>
                    </w:rPr>
                  </w:pPr>
                </w:p>
              </w:tc>
            </w:tr>
            <w:tr w14:paraId="3D8FAC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4068EB1E">
                  <w:pPr>
                    <w:pStyle w:val="11"/>
                    <w:numPr>
                      <w:ilvl w:val="0"/>
                      <w:numId w:val="0"/>
                    </w:numPr>
                    <w:spacing w:line="290" w:lineRule="exact"/>
                    <w:jc w:val="center"/>
                    <w:rPr>
                      <w:rFonts w:hint="default" w:eastAsia="宋体"/>
                      <w:color w:val="FF0000"/>
                      <w:sz w:val="21"/>
                      <w:szCs w:val="21"/>
                      <w:lang w:val="en-US" w:eastAsia="zh-CN"/>
                    </w:rPr>
                  </w:pPr>
                </w:p>
              </w:tc>
              <w:tc>
                <w:tcPr>
                  <w:tcW w:w="332" w:type="pct"/>
                  <w:vMerge w:val="continue"/>
                  <w:noWrap w:val="0"/>
                  <w:vAlign w:val="center"/>
                </w:tcPr>
                <w:p w14:paraId="388DDD47">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6027AD18">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70CF9146">
                  <w:pPr>
                    <w:spacing w:line="290" w:lineRule="exact"/>
                    <w:jc w:val="center"/>
                    <w:rPr>
                      <w:rFonts w:hint="eastAsia"/>
                      <w:bCs/>
                      <w:color w:val="FF0000"/>
                      <w:sz w:val="21"/>
                      <w:szCs w:val="21"/>
                    </w:rPr>
                  </w:pPr>
                </w:p>
              </w:tc>
              <w:tc>
                <w:tcPr>
                  <w:tcW w:w="398" w:type="pct"/>
                  <w:vMerge w:val="continue"/>
                  <w:noWrap w:val="0"/>
                  <w:vAlign w:val="center"/>
                </w:tcPr>
                <w:p w14:paraId="686E031C">
                  <w:pPr>
                    <w:spacing w:line="290" w:lineRule="exact"/>
                    <w:jc w:val="center"/>
                    <w:rPr>
                      <w:rFonts w:hint="eastAsia"/>
                      <w:color w:val="FF0000"/>
                      <w:sz w:val="21"/>
                      <w:szCs w:val="21"/>
                    </w:rPr>
                  </w:pPr>
                </w:p>
              </w:tc>
              <w:tc>
                <w:tcPr>
                  <w:tcW w:w="342" w:type="pct"/>
                  <w:vMerge w:val="continue"/>
                  <w:noWrap w:val="0"/>
                  <w:vAlign w:val="center"/>
                </w:tcPr>
                <w:p w14:paraId="2966D353">
                  <w:pPr>
                    <w:spacing w:line="290" w:lineRule="exact"/>
                    <w:jc w:val="center"/>
                    <w:rPr>
                      <w:rFonts w:hint="eastAsia"/>
                      <w:color w:val="FF0000"/>
                      <w:sz w:val="21"/>
                      <w:szCs w:val="21"/>
                    </w:rPr>
                  </w:pPr>
                </w:p>
              </w:tc>
              <w:tc>
                <w:tcPr>
                  <w:tcW w:w="314" w:type="pct"/>
                  <w:vMerge w:val="continue"/>
                  <w:noWrap w:val="0"/>
                  <w:vAlign w:val="center"/>
                </w:tcPr>
                <w:p w14:paraId="29112583">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5DDA3C3F">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59E14411">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3E4382C3">
                  <w:pPr>
                    <w:pStyle w:val="11"/>
                    <w:numPr>
                      <w:ilvl w:val="0"/>
                      <w:numId w:val="0"/>
                    </w:numPr>
                    <w:spacing w:line="290" w:lineRule="exact"/>
                    <w:jc w:val="center"/>
                    <w:rPr>
                      <w:color w:val="FF0000"/>
                      <w:spacing w:val="-11"/>
                      <w:sz w:val="21"/>
                      <w:szCs w:val="21"/>
                    </w:rPr>
                  </w:pPr>
                </w:p>
              </w:tc>
              <w:tc>
                <w:tcPr>
                  <w:tcW w:w="186" w:type="pct"/>
                  <w:noWrap w:val="0"/>
                  <w:vAlign w:val="center"/>
                </w:tcPr>
                <w:p w14:paraId="0578648C">
                  <w:pPr>
                    <w:pStyle w:val="11"/>
                    <w:numPr>
                      <w:ilvl w:val="0"/>
                      <w:numId w:val="0"/>
                    </w:numPr>
                    <w:spacing w:line="290" w:lineRule="exact"/>
                    <w:ind w:left="0" w:leftChars="0" w:firstLine="0" w:firstLineChars="0"/>
                    <w:jc w:val="center"/>
                    <w:rPr>
                      <w:rFonts w:hint="eastAsia"/>
                      <w:color w:val="FF0000"/>
                      <w:sz w:val="21"/>
                      <w:szCs w:val="21"/>
                    </w:rPr>
                  </w:pPr>
                  <w:r>
                    <w:rPr>
                      <w:rFonts w:hint="eastAsia"/>
                      <w:color w:val="000000" w:themeColor="text1"/>
                      <w:sz w:val="21"/>
                      <w:szCs w:val="21"/>
                      <w14:textFill>
                        <w14:solidFill>
                          <w14:schemeClr w14:val="tx1"/>
                        </w14:solidFill>
                      </w14:textFill>
                    </w:rPr>
                    <w:t>北</w:t>
                  </w:r>
                </w:p>
              </w:tc>
              <w:tc>
                <w:tcPr>
                  <w:tcW w:w="259" w:type="pct"/>
                  <w:noWrap w:val="0"/>
                  <w:vAlign w:val="center"/>
                </w:tcPr>
                <w:p w14:paraId="2AEEB36A">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3</w:t>
                  </w:r>
                </w:p>
              </w:tc>
              <w:tc>
                <w:tcPr>
                  <w:tcW w:w="336" w:type="pct"/>
                  <w:noWrap w:val="0"/>
                  <w:vAlign w:val="center"/>
                </w:tcPr>
                <w:p w14:paraId="72FB3881">
                  <w:pPr>
                    <w:pStyle w:val="11"/>
                    <w:numPr>
                      <w:ilvl w:val="0"/>
                      <w:numId w:val="0"/>
                    </w:num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69.8</w:t>
                  </w:r>
                </w:p>
              </w:tc>
              <w:tc>
                <w:tcPr>
                  <w:tcW w:w="289" w:type="pct"/>
                  <w:vMerge w:val="continue"/>
                  <w:noWrap w:val="0"/>
                  <w:vAlign w:val="center"/>
                </w:tcPr>
                <w:p w14:paraId="4319234D">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11948FC2">
                  <w:pPr>
                    <w:pStyle w:val="11"/>
                    <w:numPr>
                      <w:ilvl w:val="0"/>
                      <w:numId w:val="0"/>
                    </w:numPr>
                    <w:spacing w:line="290" w:lineRule="exact"/>
                    <w:jc w:val="center"/>
                    <w:rPr>
                      <w:rFonts w:hint="eastAsia"/>
                      <w:color w:val="FF0000"/>
                      <w:sz w:val="21"/>
                      <w:szCs w:val="21"/>
                    </w:rPr>
                  </w:pPr>
                </w:p>
              </w:tc>
              <w:tc>
                <w:tcPr>
                  <w:tcW w:w="340" w:type="pct"/>
                  <w:noWrap w:val="0"/>
                  <w:vAlign w:val="center"/>
                </w:tcPr>
                <w:p w14:paraId="2615B84A">
                  <w:pPr>
                    <w:pStyle w:val="11"/>
                    <w:numPr>
                      <w:ilvl w:val="0"/>
                      <w:numId w:val="0"/>
                    </w:numPr>
                    <w:spacing w:line="290" w:lineRule="exact"/>
                    <w:ind w:left="0" w:leftChars="0"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49.8</w:t>
                  </w:r>
                </w:p>
              </w:tc>
              <w:tc>
                <w:tcPr>
                  <w:tcW w:w="317" w:type="pct"/>
                  <w:vMerge w:val="continue"/>
                  <w:noWrap w:val="0"/>
                  <w:vAlign w:val="center"/>
                </w:tcPr>
                <w:p w14:paraId="28A7682F">
                  <w:pPr>
                    <w:pStyle w:val="11"/>
                    <w:numPr>
                      <w:ilvl w:val="0"/>
                      <w:numId w:val="0"/>
                    </w:numPr>
                    <w:spacing w:line="290" w:lineRule="exact"/>
                    <w:jc w:val="center"/>
                    <w:rPr>
                      <w:rFonts w:hint="eastAsia"/>
                      <w:color w:val="FF0000"/>
                      <w:sz w:val="21"/>
                      <w:szCs w:val="21"/>
                    </w:rPr>
                  </w:pPr>
                </w:p>
              </w:tc>
            </w:tr>
            <w:tr w14:paraId="1D3DFD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restart"/>
                  <w:noWrap w:val="0"/>
                  <w:vAlign w:val="center"/>
                </w:tcPr>
                <w:p w14:paraId="1C06227C">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4</w:t>
                  </w:r>
                </w:p>
              </w:tc>
              <w:tc>
                <w:tcPr>
                  <w:tcW w:w="332" w:type="pct"/>
                  <w:vMerge w:val="continue"/>
                  <w:noWrap w:val="0"/>
                  <w:vAlign w:val="center"/>
                </w:tcPr>
                <w:p w14:paraId="12434DF9">
                  <w:pPr>
                    <w:pStyle w:val="11"/>
                    <w:numPr>
                      <w:ilvl w:val="0"/>
                      <w:numId w:val="0"/>
                    </w:numPr>
                    <w:spacing w:line="290" w:lineRule="exact"/>
                    <w:jc w:val="center"/>
                    <w:rPr>
                      <w:rFonts w:hint="eastAsia"/>
                      <w:color w:val="FF0000"/>
                      <w:sz w:val="21"/>
                      <w:szCs w:val="21"/>
                    </w:rPr>
                  </w:pPr>
                </w:p>
              </w:tc>
              <w:tc>
                <w:tcPr>
                  <w:tcW w:w="441" w:type="pct"/>
                  <w:vMerge w:val="restart"/>
                  <w:tcBorders>
                    <w:right w:val="single" w:color="auto" w:sz="4" w:space="0"/>
                  </w:tcBorders>
                  <w:noWrap w:val="0"/>
                  <w:vAlign w:val="center"/>
                </w:tcPr>
                <w:p w14:paraId="203A7C6B">
                  <w:p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Mini离心机</w:t>
                  </w:r>
                </w:p>
              </w:tc>
              <w:tc>
                <w:tcPr>
                  <w:tcW w:w="254" w:type="pct"/>
                  <w:vMerge w:val="restart"/>
                  <w:tcBorders>
                    <w:left w:val="single" w:color="auto" w:sz="4" w:space="0"/>
                  </w:tcBorders>
                  <w:noWrap w:val="0"/>
                  <w:vAlign w:val="center"/>
                </w:tcPr>
                <w:p w14:paraId="1EDDE761">
                  <w:pPr>
                    <w:spacing w:line="290" w:lineRule="exact"/>
                    <w:jc w:val="center"/>
                    <w:rPr>
                      <w:rFonts w:hint="eastAsia" w:eastAsia="宋体"/>
                      <w:bCs/>
                      <w:color w:val="FF0000"/>
                      <w:sz w:val="21"/>
                      <w:szCs w:val="21"/>
                      <w:lang w:val="en-US" w:eastAsia="zh-CN"/>
                    </w:rPr>
                  </w:pPr>
                  <w:r>
                    <w:rPr>
                      <w:rFonts w:hint="eastAsia"/>
                      <w:bCs/>
                      <w:color w:val="000000" w:themeColor="text1"/>
                      <w:sz w:val="21"/>
                      <w:szCs w:val="21"/>
                      <w:lang w:val="en-US" w:eastAsia="zh-CN"/>
                      <w14:textFill>
                        <w14:solidFill>
                          <w14:schemeClr w14:val="tx1"/>
                        </w14:solidFill>
                      </w14:textFill>
                    </w:rPr>
                    <w:t>1</w:t>
                  </w:r>
                </w:p>
              </w:tc>
              <w:tc>
                <w:tcPr>
                  <w:tcW w:w="398" w:type="pct"/>
                  <w:vMerge w:val="restart"/>
                  <w:noWrap w:val="0"/>
                  <w:vAlign w:val="center"/>
                </w:tcPr>
                <w:p w14:paraId="7DCC82BE">
                  <w:pPr>
                    <w:pStyle w:val="11"/>
                    <w:numPr>
                      <w:ilvl w:val="0"/>
                      <w:numId w:val="0"/>
                    </w:numPr>
                    <w:spacing w:line="290" w:lineRule="exact"/>
                    <w:ind w:left="0" w:leftChars="0" w:firstLine="0" w:firstLineChars="0"/>
                    <w:jc w:val="center"/>
                    <w:rPr>
                      <w:rFonts w:hint="eastAsia"/>
                      <w:color w:val="FF0000"/>
                      <w:sz w:val="21"/>
                      <w:szCs w:val="21"/>
                    </w:rPr>
                  </w:pPr>
                  <w:r>
                    <w:rPr>
                      <w:rFonts w:hint="eastAsia"/>
                      <w:color w:val="000000" w:themeColor="text1"/>
                      <w:sz w:val="21"/>
                      <w:szCs w:val="21"/>
                      <w14:textFill>
                        <w14:solidFill>
                          <w14:schemeClr w14:val="tx1"/>
                        </w14:solidFill>
                      </w14:textFill>
                    </w:rPr>
                    <w:t>/</w:t>
                  </w:r>
                </w:p>
              </w:tc>
              <w:tc>
                <w:tcPr>
                  <w:tcW w:w="342" w:type="pct"/>
                  <w:vMerge w:val="restart"/>
                  <w:noWrap w:val="0"/>
                  <w:vAlign w:val="center"/>
                </w:tcPr>
                <w:p w14:paraId="04329856">
                  <w:p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70</w:t>
                  </w:r>
                </w:p>
              </w:tc>
              <w:tc>
                <w:tcPr>
                  <w:tcW w:w="314" w:type="pct"/>
                  <w:vMerge w:val="continue"/>
                  <w:noWrap w:val="0"/>
                  <w:vAlign w:val="center"/>
                </w:tcPr>
                <w:p w14:paraId="086980B9">
                  <w:pPr>
                    <w:pStyle w:val="11"/>
                    <w:numPr>
                      <w:ilvl w:val="0"/>
                      <w:numId w:val="0"/>
                    </w:numPr>
                    <w:spacing w:line="290" w:lineRule="exact"/>
                    <w:jc w:val="center"/>
                    <w:rPr>
                      <w:rFonts w:hint="eastAsia"/>
                      <w:color w:val="FF0000"/>
                      <w:sz w:val="21"/>
                      <w:szCs w:val="21"/>
                    </w:rPr>
                  </w:pPr>
                </w:p>
              </w:tc>
              <w:tc>
                <w:tcPr>
                  <w:tcW w:w="220" w:type="pct"/>
                  <w:vMerge w:val="restart"/>
                  <w:noWrap w:val="0"/>
                  <w:vAlign w:val="center"/>
                </w:tcPr>
                <w:p w14:paraId="34C0EC06">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9</w:t>
                  </w:r>
                </w:p>
              </w:tc>
              <w:tc>
                <w:tcPr>
                  <w:tcW w:w="220" w:type="pct"/>
                  <w:vMerge w:val="restart"/>
                  <w:noWrap w:val="0"/>
                  <w:vAlign w:val="center"/>
                </w:tcPr>
                <w:p w14:paraId="5FB4C88C">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5</w:t>
                  </w:r>
                </w:p>
              </w:tc>
              <w:tc>
                <w:tcPr>
                  <w:tcW w:w="195" w:type="pct"/>
                  <w:vMerge w:val="restart"/>
                  <w:noWrap w:val="0"/>
                  <w:vAlign w:val="center"/>
                </w:tcPr>
                <w:p w14:paraId="6D685E25">
                  <w:pPr>
                    <w:pStyle w:val="11"/>
                    <w:numPr>
                      <w:ilvl w:val="0"/>
                      <w:numId w:val="0"/>
                    </w:numPr>
                    <w:spacing w:line="290" w:lineRule="exact"/>
                    <w:ind w:left="0" w:leftChars="0" w:firstLine="0" w:firstLineChars="0"/>
                    <w:jc w:val="center"/>
                    <w:rPr>
                      <w:color w:val="FF0000"/>
                      <w:spacing w:val="-11"/>
                      <w:sz w:val="21"/>
                      <w:szCs w:val="21"/>
                    </w:rPr>
                  </w:pPr>
                  <w:r>
                    <w:rPr>
                      <w:rFonts w:hint="eastAsia"/>
                      <w:color w:val="000000" w:themeColor="text1"/>
                      <w:spacing w:val="-11"/>
                      <w:sz w:val="21"/>
                      <w:szCs w:val="21"/>
                      <w:lang w:val="en-US" w:eastAsia="zh-CN"/>
                      <w14:textFill>
                        <w14:solidFill>
                          <w14:schemeClr w14:val="tx1"/>
                        </w14:solidFill>
                      </w14:textFill>
                    </w:rPr>
                    <w:t>3</w:t>
                  </w:r>
                </w:p>
              </w:tc>
              <w:tc>
                <w:tcPr>
                  <w:tcW w:w="186" w:type="pct"/>
                  <w:noWrap w:val="0"/>
                  <w:vAlign w:val="center"/>
                </w:tcPr>
                <w:p w14:paraId="489B5F64">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东</w:t>
                  </w:r>
                </w:p>
              </w:tc>
              <w:tc>
                <w:tcPr>
                  <w:tcW w:w="259" w:type="pct"/>
                  <w:noWrap w:val="0"/>
                  <w:vAlign w:val="center"/>
                </w:tcPr>
                <w:p w14:paraId="004F1596">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w:t>
                  </w:r>
                </w:p>
              </w:tc>
              <w:tc>
                <w:tcPr>
                  <w:tcW w:w="336" w:type="pct"/>
                  <w:noWrap w:val="0"/>
                  <w:vAlign w:val="center"/>
                </w:tcPr>
                <w:p w14:paraId="5E0ED022">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67.5</w:t>
                  </w:r>
                </w:p>
              </w:tc>
              <w:tc>
                <w:tcPr>
                  <w:tcW w:w="289" w:type="pct"/>
                  <w:vMerge w:val="continue"/>
                  <w:noWrap w:val="0"/>
                  <w:vAlign w:val="center"/>
                </w:tcPr>
                <w:p w14:paraId="1DC9F61B">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333611B7">
                  <w:pPr>
                    <w:pStyle w:val="11"/>
                    <w:numPr>
                      <w:ilvl w:val="0"/>
                      <w:numId w:val="0"/>
                    </w:numPr>
                    <w:spacing w:line="290" w:lineRule="exact"/>
                    <w:jc w:val="center"/>
                    <w:rPr>
                      <w:rFonts w:hint="eastAsia"/>
                      <w:color w:val="FF0000"/>
                      <w:sz w:val="21"/>
                      <w:szCs w:val="21"/>
                    </w:rPr>
                  </w:pPr>
                </w:p>
              </w:tc>
              <w:tc>
                <w:tcPr>
                  <w:tcW w:w="340" w:type="pct"/>
                  <w:noWrap w:val="0"/>
                  <w:vAlign w:val="center"/>
                </w:tcPr>
                <w:p w14:paraId="7D0DE6E4">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47.5</w:t>
                  </w:r>
                </w:p>
              </w:tc>
              <w:tc>
                <w:tcPr>
                  <w:tcW w:w="317" w:type="pct"/>
                  <w:noWrap w:val="0"/>
                  <w:vAlign w:val="center"/>
                </w:tcPr>
                <w:p w14:paraId="086A9634">
                  <w:pPr>
                    <w:pStyle w:val="11"/>
                    <w:numPr>
                      <w:ilvl w:val="0"/>
                      <w:numId w:val="0"/>
                    </w:numPr>
                    <w:spacing w:line="290" w:lineRule="exact"/>
                    <w:jc w:val="center"/>
                    <w:rPr>
                      <w:rFonts w:hint="eastAsia"/>
                      <w:color w:val="FF0000"/>
                      <w:sz w:val="21"/>
                      <w:szCs w:val="21"/>
                    </w:rPr>
                  </w:pPr>
                </w:p>
              </w:tc>
            </w:tr>
            <w:tr w14:paraId="2BED78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37EDAD1F">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540510B9">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4D3CCE34">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39B4377A">
                  <w:pPr>
                    <w:spacing w:line="290" w:lineRule="exact"/>
                    <w:jc w:val="center"/>
                    <w:rPr>
                      <w:rFonts w:hint="eastAsia"/>
                      <w:bCs/>
                      <w:color w:val="FF0000"/>
                      <w:sz w:val="21"/>
                      <w:szCs w:val="21"/>
                    </w:rPr>
                  </w:pPr>
                </w:p>
              </w:tc>
              <w:tc>
                <w:tcPr>
                  <w:tcW w:w="398" w:type="pct"/>
                  <w:vMerge w:val="continue"/>
                  <w:noWrap w:val="0"/>
                  <w:vAlign w:val="center"/>
                </w:tcPr>
                <w:p w14:paraId="06F6F1FB">
                  <w:pPr>
                    <w:spacing w:line="290" w:lineRule="exact"/>
                    <w:jc w:val="center"/>
                    <w:rPr>
                      <w:rFonts w:hint="eastAsia"/>
                      <w:color w:val="FF0000"/>
                      <w:sz w:val="21"/>
                      <w:szCs w:val="21"/>
                    </w:rPr>
                  </w:pPr>
                </w:p>
              </w:tc>
              <w:tc>
                <w:tcPr>
                  <w:tcW w:w="342" w:type="pct"/>
                  <w:vMerge w:val="continue"/>
                  <w:noWrap w:val="0"/>
                  <w:vAlign w:val="center"/>
                </w:tcPr>
                <w:p w14:paraId="11D42077">
                  <w:pPr>
                    <w:spacing w:line="290" w:lineRule="exact"/>
                    <w:jc w:val="center"/>
                    <w:rPr>
                      <w:rFonts w:hint="eastAsia"/>
                      <w:color w:val="FF0000"/>
                      <w:sz w:val="21"/>
                      <w:szCs w:val="21"/>
                    </w:rPr>
                  </w:pPr>
                </w:p>
              </w:tc>
              <w:tc>
                <w:tcPr>
                  <w:tcW w:w="314" w:type="pct"/>
                  <w:vMerge w:val="continue"/>
                  <w:noWrap w:val="0"/>
                  <w:vAlign w:val="center"/>
                </w:tcPr>
                <w:p w14:paraId="10DAB769">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1A83BAC4">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6133DCE5">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0FB70FAC">
                  <w:pPr>
                    <w:pStyle w:val="11"/>
                    <w:numPr>
                      <w:ilvl w:val="0"/>
                      <w:numId w:val="0"/>
                    </w:numPr>
                    <w:spacing w:line="290" w:lineRule="exact"/>
                    <w:jc w:val="center"/>
                    <w:rPr>
                      <w:color w:val="FF0000"/>
                      <w:spacing w:val="-11"/>
                      <w:sz w:val="21"/>
                      <w:szCs w:val="21"/>
                    </w:rPr>
                  </w:pPr>
                </w:p>
              </w:tc>
              <w:tc>
                <w:tcPr>
                  <w:tcW w:w="186" w:type="pct"/>
                  <w:noWrap w:val="0"/>
                  <w:vAlign w:val="center"/>
                </w:tcPr>
                <w:p w14:paraId="0C3F3193">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南</w:t>
                  </w:r>
                </w:p>
              </w:tc>
              <w:tc>
                <w:tcPr>
                  <w:tcW w:w="259" w:type="pct"/>
                  <w:noWrap w:val="0"/>
                  <w:vAlign w:val="center"/>
                </w:tcPr>
                <w:p w14:paraId="71C54FB9">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4</w:t>
                  </w:r>
                </w:p>
              </w:tc>
              <w:tc>
                <w:tcPr>
                  <w:tcW w:w="336" w:type="pct"/>
                  <w:noWrap w:val="0"/>
                  <w:vAlign w:val="center"/>
                </w:tcPr>
                <w:p w14:paraId="74CE0F24">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74.9</w:t>
                  </w:r>
                </w:p>
              </w:tc>
              <w:tc>
                <w:tcPr>
                  <w:tcW w:w="289" w:type="pct"/>
                  <w:vMerge w:val="continue"/>
                  <w:noWrap w:val="0"/>
                  <w:vAlign w:val="center"/>
                </w:tcPr>
                <w:p w14:paraId="12CD4341">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145C39B9">
                  <w:pPr>
                    <w:pStyle w:val="11"/>
                    <w:numPr>
                      <w:ilvl w:val="0"/>
                      <w:numId w:val="0"/>
                    </w:numPr>
                    <w:spacing w:line="290" w:lineRule="exact"/>
                    <w:jc w:val="center"/>
                    <w:rPr>
                      <w:rFonts w:hint="eastAsia"/>
                      <w:color w:val="FF0000"/>
                      <w:sz w:val="21"/>
                      <w:szCs w:val="21"/>
                    </w:rPr>
                  </w:pPr>
                </w:p>
              </w:tc>
              <w:tc>
                <w:tcPr>
                  <w:tcW w:w="340" w:type="pct"/>
                  <w:noWrap w:val="0"/>
                  <w:vAlign w:val="center"/>
                </w:tcPr>
                <w:p w14:paraId="2E4C11FE">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54.9</w:t>
                  </w:r>
                </w:p>
              </w:tc>
              <w:tc>
                <w:tcPr>
                  <w:tcW w:w="317" w:type="pct"/>
                  <w:noWrap w:val="0"/>
                  <w:vAlign w:val="center"/>
                </w:tcPr>
                <w:p w14:paraId="5611478B">
                  <w:pPr>
                    <w:pStyle w:val="11"/>
                    <w:numPr>
                      <w:ilvl w:val="0"/>
                      <w:numId w:val="0"/>
                    </w:numPr>
                    <w:spacing w:line="290" w:lineRule="exact"/>
                    <w:jc w:val="center"/>
                    <w:rPr>
                      <w:rFonts w:hint="eastAsia"/>
                      <w:color w:val="FF0000"/>
                      <w:sz w:val="21"/>
                      <w:szCs w:val="21"/>
                    </w:rPr>
                  </w:pPr>
                </w:p>
              </w:tc>
            </w:tr>
            <w:tr w14:paraId="621880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3D369458">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2F4F27E5">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6FB6F54A">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059CDC39">
                  <w:pPr>
                    <w:spacing w:line="290" w:lineRule="exact"/>
                    <w:jc w:val="center"/>
                    <w:rPr>
                      <w:rFonts w:hint="eastAsia"/>
                      <w:bCs/>
                      <w:color w:val="FF0000"/>
                      <w:sz w:val="21"/>
                      <w:szCs w:val="21"/>
                    </w:rPr>
                  </w:pPr>
                </w:p>
              </w:tc>
              <w:tc>
                <w:tcPr>
                  <w:tcW w:w="398" w:type="pct"/>
                  <w:vMerge w:val="continue"/>
                  <w:noWrap w:val="0"/>
                  <w:vAlign w:val="center"/>
                </w:tcPr>
                <w:p w14:paraId="6677AE93">
                  <w:pPr>
                    <w:spacing w:line="290" w:lineRule="exact"/>
                    <w:jc w:val="center"/>
                    <w:rPr>
                      <w:rFonts w:hint="eastAsia"/>
                      <w:color w:val="FF0000"/>
                      <w:sz w:val="21"/>
                      <w:szCs w:val="21"/>
                    </w:rPr>
                  </w:pPr>
                </w:p>
              </w:tc>
              <w:tc>
                <w:tcPr>
                  <w:tcW w:w="342" w:type="pct"/>
                  <w:vMerge w:val="continue"/>
                  <w:noWrap w:val="0"/>
                  <w:vAlign w:val="center"/>
                </w:tcPr>
                <w:p w14:paraId="1784DF14">
                  <w:pPr>
                    <w:spacing w:line="290" w:lineRule="exact"/>
                    <w:jc w:val="center"/>
                    <w:rPr>
                      <w:rFonts w:hint="eastAsia"/>
                      <w:color w:val="FF0000"/>
                      <w:sz w:val="21"/>
                      <w:szCs w:val="21"/>
                    </w:rPr>
                  </w:pPr>
                </w:p>
              </w:tc>
              <w:tc>
                <w:tcPr>
                  <w:tcW w:w="314" w:type="pct"/>
                  <w:vMerge w:val="continue"/>
                  <w:noWrap w:val="0"/>
                  <w:vAlign w:val="center"/>
                </w:tcPr>
                <w:p w14:paraId="5FF358B4">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4CB88263">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00A542A2">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65AAA175">
                  <w:pPr>
                    <w:pStyle w:val="11"/>
                    <w:numPr>
                      <w:ilvl w:val="0"/>
                      <w:numId w:val="0"/>
                    </w:numPr>
                    <w:spacing w:line="290" w:lineRule="exact"/>
                    <w:jc w:val="center"/>
                    <w:rPr>
                      <w:color w:val="FF0000"/>
                      <w:spacing w:val="-11"/>
                      <w:sz w:val="21"/>
                      <w:szCs w:val="21"/>
                    </w:rPr>
                  </w:pPr>
                </w:p>
              </w:tc>
              <w:tc>
                <w:tcPr>
                  <w:tcW w:w="186" w:type="pct"/>
                  <w:noWrap w:val="0"/>
                  <w:vAlign w:val="center"/>
                </w:tcPr>
                <w:p w14:paraId="5CFD8B0A">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西</w:t>
                  </w:r>
                </w:p>
              </w:tc>
              <w:tc>
                <w:tcPr>
                  <w:tcW w:w="259" w:type="pct"/>
                  <w:noWrap w:val="0"/>
                  <w:vAlign w:val="center"/>
                </w:tcPr>
                <w:p w14:paraId="73963B3B">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9</w:t>
                  </w:r>
                </w:p>
              </w:tc>
              <w:tc>
                <w:tcPr>
                  <w:tcW w:w="336" w:type="pct"/>
                  <w:noWrap w:val="0"/>
                  <w:vAlign w:val="center"/>
                </w:tcPr>
                <w:p w14:paraId="147769F7">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71.6</w:t>
                  </w:r>
                </w:p>
              </w:tc>
              <w:tc>
                <w:tcPr>
                  <w:tcW w:w="289" w:type="pct"/>
                  <w:vMerge w:val="continue"/>
                  <w:noWrap w:val="0"/>
                  <w:vAlign w:val="center"/>
                </w:tcPr>
                <w:p w14:paraId="01EE95DB">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226BA829">
                  <w:pPr>
                    <w:pStyle w:val="11"/>
                    <w:numPr>
                      <w:ilvl w:val="0"/>
                      <w:numId w:val="0"/>
                    </w:numPr>
                    <w:spacing w:line="290" w:lineRule="exact"/>
                    <w:jc w:val="center"/>
                    <w:rPr>
                      <w:rFonts w:hint="eastAsia"/>
                      <w:color w:val="FF0000"/>
                      <w:sz w:val="21"/>
                      <w:szCs w:val="21"/>
                    </w:rPr>
                  </w:pPr>
                </w:p>
              </w:tc>
              <w:tc>
                <w:tcPr>
                  <w:tcW w:w="340" w:type="pct"/>
                  <w:noWrap w:val="0"/>
                  <w:vAlign w:val="center"/>
                </w:tcPr>
                <w:p w14:paraId="5DE25BAA">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51.6</w:t>
                  </w:r>
                </w:p>
              </w:tc>
              <w:tc>
                <w:tcPr>
                  <w:tcW w:w="317" w:type="pct"/>
                  <w:noWrap w:val="0"/>
                  <w:vAlign w:val="center"/>
                </w:tcPr>
                <w:p w14:paraId="2C158A54">
                  <w:pPr>
                    <w:pStyle w:val="11"/>
                    <w:numPr>
                      <w:ilvl w:val="0"/>
                      <w:numId w:val="0"/>
                    </w:numPr>
                    <w:spacing w:line="290" w:lineRule="exact"/>
                    <w:jc w:val="center"/>
                    <w:rPr>
                      <w:rFonts w:hint="eastAsia"/>
                      <w:color w:val="FF0000"/>
                      <w:sz w:val="21"/>
                      <w:szCs w:val="21"/>
                    </w:rPr>
                  </w:pPr>
                </w:p>
              </w:tc>
            </w:tr>
            <w:tr w14:paraId="1E7D6F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01302CF3">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360DB8FE">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386FD3DA">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3BB77291">
                  <w:pPr>
                    <w:spacing w:line="290" w:lineRule="exact"/>
                    <w:jc w:val="center"/>
                    <w:rPr>
                      <w:rFonts w:hint="eastAsia"/>
                      <w:bCs/>
                      <w:color w:val="FF0000"/>
                      <w:sz w:val="21"/>
                      <w:szCs w:val="21"/>
                    </w:rPr>
                  </w:pPr>
                </w:p>
              </w:tc>
              <w:tc>
                <w:tcPr>
                  <w:tcW w:w="398" w:type="pct"/>
                  <w:vMerge w:val="continue"/>
                  <w:noWrap w:val="0"/>
                  <w:vAlign w:val="center"/>
                </w:tcPr>
                <w:p w14:paraId="21A2CAEE">
                  <w:pPr>
                    <w:spacing w:line="290" w:lineRule="exact"/>
                    <w:jc w:val="center"/>
                    <w:rPr>
                      <w:rFonts w:hint="eastAsia"/>
                      <w:color w:val="FF0000"/>
                      <w:sz w:val="21"/>
                      <w:szCs w:val="21"/>
                    </w:rPr>
                  </w:pPr>
                </w:p>
              </w:tc>
              <w:tc>
                <w:tcPr>
                  <w:tcW w:w="342" w:type="pct"/>
                  <w:vMerge w:val="continue"/>
                  <w:noWrap w:val="0"/>
                  <w:vAlign w:val="center"/>
                </w:tcPr>
                <w:p w14:paraId="5B02FEF2">
                  <w:pPr>
                    <w:spacing w:line="290" w:lineRule="exact"/>
                    <w:jc w:val="center"/>
                    <w:rPr>
                      <w:rFonts w:hint="eastAsia"/>
                      <w:color w:val="FF0000"/>
                      <w:sz w:val="21"/>
                      <w:szCs w:val="21"/>
                    </w:rPr>
                  </w:pPr>
                </w:p>
              </w:tc>
              <w:tc>
                <w:tcPr>
                  <w:tcW w:w="314" w:type="pct"/>
                  <w:vMerge w:val="continue"/>
                  <w:noWrap w:val="0"/>
                  <w:vAlign w:val="center"/>
                </w:tcPr>
                <w:p w14:paraId="2F5CA901">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30B1343C">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157E1E43">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65916863">
                  <w:pPr>
                    <w:pStyle w:val="11"/>
                    <w:numPr>
                      <w:ilvl w:val="0"/>
                      <w:numId w:val="0"/>
                    </w:numPr>
                    <w:spacing w:line="290" w:lineRule="exact"/>
                    <w:jc w:val="center"/>
                    <w:rPr>
                      <w:color w:val="FF0000"/>
                      <w:spacing w:val="-11"/>
                      <w:sz w:val="21"/>
                      <w:szCs w:val="21"/>
                    </w:rPr>
                  </w:pPr>
                </w:p>
              </w:tc>
              <w:tc>
                <w:tcPr>
                  <w:tcW w:w="186" w:type="pct"/>
                  <w:noWrap w:val="0"/>
                  <w:vAlign w:val="center"/>
                </w:tcPr>
                <w:p w14:paraId="29B0B0D8">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北</w:t>
                  </w:r>
                </w:p>
              </w:tc>
              <w:tc>
                <w:tcPr>
                  <w:tcW w:w="259" w:type="pct"/>
                  <w:noWrap w:val="0"/>
                  <w:vAlign w:val="center"/>
                </w:tcPr>
                <w:p w14:paraId="2403C478">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4</w:t>
                  </w:r>
                </w:p>
              </w:tc>
              <w:tc>
                <w:tcPr>
                  <w:tcW w:w="336" w:type="pct"/>
                  <w:noWrap w:val="0"/>
                  <w:vAlign w:val="center"/>
                </w:tcPr>
                <w:p w14:paraId="1E8C6DAD">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70.6</w:t>
                  </w:r>
                </w:p>
              </w:tc>
              <w:tc>
                <w:tcPr>
                  <w:tcW w:w="289" w:type="pct"/>
                  <w:vMerge w:val="continue"/>
                  <w:noWrap w:val="0"/>
                  <w:vAlign w:val="center"/>
                </w:tcPr>
                <w:p w14:paraId="68DFB2F5">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63AE3651">
                  <w:pPr>
                    <w:pStyle w:val="11"/>
                    <w:numPr>
                      <w:ilvl w:val="0"/>
                      <w:numId w:val="0"/>
                    </w:numPr>
                    <w:spacing w:line="290" w:lineRule="exact"/>
                    <w:jc w:val="center"/>
                    <w:rPr>
                      <w:rFonts w:hint="eastAsia"/>
                      <w:color w:val="FF0000"/>
                      <w:sz w:val="21"/>
                      <w:szCs w:val="21"/>
                    </w:rPr>
                  </w:pPr>
                </w:p>
              </w:tc>
              <w:tc>
                <w:tcPr>
                  <w:tcW w:w="340" w:type="pct"/>
                  <w:noWrap w:val="0"/>
                  <w:vAlign w:val="center"/>
                </w:tcPr>
                <w:p w14:paraId="5F0CE2B5">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50.6</w:t>
                  </w:r>
                </w:p>
              </w:tc>
              <w:tc>
                <w:tcPr>
                  <w:tcW w:w="317" w:type="pct"/>
                  <w:noWrap w:val="0"/>
                  <w:vAlign w:val="center"/>
                </w:tcPr>
                <w:p w14:paraId="72CC877F">
                  <w:pPr>
                    <w:pStyle w:val="11"/>
                    <w:numPr>
                      <w:ilvl w:val="0"/>
                      <w:numId w:val="0"/>
                    </w:numPr>
                    <w:spacing w:line="290" w:lineRule="exact"/>
                    <w:jc w:val="center"/>
                    <w:rPr>
                      <w:rFonts w:hint="eastAsia"/>
                      <w:color w:val="FF0000"/>
                      <w:sz w:val="21"/>
                      <w:szCs w:val="21"/>
                    </w:rPr>
                  </w:pPr>
                </w:p>
              </w:tc>
            </w:tr>
            <w:tr w14:paraId="681365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restart"/>
                  <w:noWrap w:val="0"/>
                  <w:vAlign w:val="center"/>
                </w:tcPr>
                <w:p w14:paraId="27E520AE">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5</w:t>
                  </w:r>
                </w:p>
              </w:tc>
              <w:tc>
                <w:tcPr>
                  <w:tcW w:w="332" w:type="pct"/>
                  <w:vMerge w:val="continue"/>
                  <w:noWrap w:val="0"/>
                  <w:vAlign w:val="center"/>
                </w:tcPr>
                <w:p w14:paraId="06BA35C7">
                  <w:pPr>
                    <w:pStyle w:val="11"/>
                    <w:numPr>
                      <w:ilvl w:val="0"/>
                      <w:numId w:val="0"/>
                    </w:numPr>
                    <w:spacing w:line="290" w:lineRule="exact"/>
                    <w:jc w:val="center"/>
                    <w:rPr>
                      <w:rFonts w:hint="eastAsia"/>
                      <w:color w:val="FF0000"/>
                      <w:sz w:val="21"/>
                      <w:szCs w:val="21"/>
                    </w:rPr>
                  </w:pPr>
                </w:p>
              </w:tc>
              <w:tc>
                <w:tcPr>
                  <w:tcW w:w="441" w:type="pct"/>
                  <w:vMerge w:val="restart"/>
                  <w:tcBorders>
                    <w:right w:val="single" w:color="auto" w:sz="4" w:space="0"/>
                  </w:tcBorders>
                  <w:noWrap w:val="0"/>
                  <w:vAlign w:val="center"/>
                </w:tcPr>
                <w:p w14:paraId="2C515248">
                  <w:pPr>
                    <w:spacing w:line="290" w:lineRule="exact"/>
                    <w:jc w:val="center"/>
                    <w:rPr>
                      <w:rFonts w:hint="eastAsia"/>
                      <w:color w:val="FF0000"/>
                      <w:sz w:val="21"/>
                      <w:szCs w:val="21"/>
                    </w:rPr>
                  </w:pPr>
                  <w:r>
                    <w:rPr>
                      <w:rFonts w:hint="eastAsia" w:ascii="仿宋" w:hAnsi="仿宋" w:eastAsia="仿宋" w:cs="宋体"/>
                      <w:color w:val="000000" w:themeColor="text1"/>
                      <w:kern w:val="0"/>
                      <w:sz w:val="24"/>
                      <w14:textFill>
                        <w14:solidFill>
                          <w14:schemeClr w14:val="tx1"/>
                        </w14:solidFill>
                      </w14:textFill>
                    </w:rPr>
                    <w:t>涡旋震荡仪</w:t>
                  </w:r>
                </w:p>
              </w:tc>
              <w:tc>
                <w:tcPr>
                  <w:tcW w:w="254" w:type="pct"/>
                  <w:vMerge w:val="restart"/>
                  <w:tcBorders>
                    <w:left w:val="single" w:color="auto" w:sz="4" w:space="0"/>
                  </w:tcBorders>
                  <w:noWrap w:val="0"/>
                  <w:vAlign w:val="center"/>
                </w:tcPr>
                <w:p w14:paraId="0132C55A">
                  <w:pPr>
                    <w:spacing w:line="290" w:lineRule="exact"/>
                    <w:jc w:val="center"/>
                    <w:rPr>
                      <w:rFonts w:hint="eastAsia" w:eastAsia="宋体"/>
                      <w:bCs/>
                      <w:color w:val="FF0000"/>
                      <w:sz w:val="21"/>
                      <w:szCs w:val="21"/>
                      <w:lang w:val="en-US" w:eastAsia="zh-CN"/>
                    </w:rPr>
                  </w:pPr>
                  <w:r>
                    <w:rPr>
                      <w:rFonts w:hint="eastAsia"/>
                      <w:bCs/>
                      <w:color w:val="000000" w:themeColor="text1"/>
                      <w:sz w:val="21"/>
                      <w:szCs w:val="21"/>
                      <w:lang w:val="en-US" w:eastAsia="zh-CN"/>
                      <w14:textFill>
                        <w14:solidFill>
                          <w14:schemeClr w14:val="tx1"/>
                        </w14:solidFill>
                      </w14:textFill>
                    </w:rPr>
                    <w:t>1</w:t>
                  </w:r>
                </w:p>
              </w:tc>
              <w:tc>
                <w:tcPr>
                  <w:tcW w:w="398" w:type="pct"/>
                  <w:vMerge w:val="restart"/>
                  <w:noWrap w:val="0"/>
                  <w:vAlign w:val="center"/>
                </w:tcPr>
                <w:p w14:paraId="6EED24E0">
                  <w:pPr>
                    <w:spacing w:line="290" w:lineRule="exact"/>
                    <w:jc w:val="center"/>
                    <w:rPr>
                      <w:rFonts w:hint="eastAsia"/>
                      <w:color w:val="FF0000"/>
                      <w:sz w:val="21"/>
                      <w:szCs w:val="21"/>
                    </w:rPr>
                  </w:pPr>
                  <w:r>
                    <w:rPr>
                      <w:rFonts w:hint="eastAsia"/>
                      <w:color w:val="000000" w:themeColor="text1"/>
                      <w:sz w:val="21"/>
                      <w:szCs w:val="21"/>
                      <w14:textFill>
                        <w14:solidFill>
                          <w14:schemeClr w14:val="tx1"/>
                        </w14:solidFill>
                      </w14:textFill>
                    </w:rPr>
                    <w:t>/</w:t>
                  </w:r>
                </w:p>
              </w:tc>
              <w:tc>
                <w:tcPr>
                  <w:tcW w:w="342" w:type="pct"/>
                  <w:vMerge w:val="restart"/>
                  <w:noWrap w:val="0"/>
                  <w:vAlign w:val="center"/>
                </w:tcPr>
                <w:p w14:paraId="10D32B1E">
                  <w:p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75</w:t>
                  </w:r>
                </w:p>
              </w:tc>
              <w:tc>
                <w:tcPr>
                  <w:tcW w:w="314" w:type="pct"/>
                  <w:vMerge w:val="continue"/>
                  <w:noWrap w:val="0"/>
                  <w:vAlign w:val="center"/>
                </w:tcPr>
                <w:p w14:paraId="60AC0D9F">
                  <w:pPr>
                    <w:pStyle w:val="11"/>
                    <w:numPr>
                      <w:ilvl w:val="0"/>
                      <w:numId w:val="0"/>
                    </w:numPr>
                    <w:spacing w:line="290" w:lineRule="exact"/>
                    <w:jc w:val="center"/>
                    <w:rPr>
                      <w:rFonts w:hint="eastAsia"/>
                      <w:color w:val="FF0000"/>
                      <w:sz w:val="21"/>
                      <w:szCs w:val="21"/>
                    </w:rPr>
                  </w:pPr>
                </w:p>
              </w:tc>
              <w:tc>
                <w:tcPr>
                  <w:tcW w:w="220" w:type="pct"/>
                  <w:vMerge w:val="restart"/>
                  <w:noWrap w:val="0"/>
                  <w:vAlign w:val="center"/>
                </w:tcPr>
                <w:p w14:paraId="2305E321">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8</w:t>
                  </w:r>
                </w:p>
              </w:tc>
              <w:tc>
                <w:tcPr>
                  <w:tcW w:w="220" w:type="pct"/>
                  <w:vMerge w:val="restart"/>
                  <w:noWrap w:val="0"/>
                  <w:vAlign w:val="center"/>
                </w:tcPr>
                <w:p w14:paraId="03FC660C">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3</w:t>
                  </w:r>
                </w:p>
              </w:tc>
              <w:tc>
                <w:tcPr>
                  <w:tcW w:w="195" w:type="pct"/>
                  <w:vMerge w:val="restart"/>
                  <w:noWrap w:val="0"/>
                  <w:vAlign w:val="center"/>
                </w:tcPr>
                <w:p w14:paraId="381BC285">
                  <w:pPr>
                    <w:pStyle w:val="11"/>
                    <w:numPr>
                      <w:ilvl w:val="0"/>
                      <w:numId w:val="0"/>
                    </w:numPr>
                    <w:spacing w:line="290" w:lineRule="exact"/>
                    <w:ind w:left="0" w:leftChars="0" w:firstLine="0" w:firstLineChars="0"/>
                    <w:jc w:val="center"/>
                    <w:rPr>
                      <w:color w:val="FF0000"/>
                      <w:spacing w:val="-11"/>
                      <w:sz w:val="21"/>
                      <w:szCs w:val="21"/>
                    </w:rPr>
                  </w:pPr>
                  <w:r>
                    <w:rPr>
                      <w:rFonts w:hint="eastAsia"/>
                      <w:color w:val="000000" w:themeColor="text1"/>
                      <w:spacing w:val="-11"/>
                      <w:sz w:val="21"/>
                      <w:szCs w:val="21"/>
                      <w:lang w:val="en-US" w:eastAsia="zh-CN"/>
                      <w14:textFill>
                        <w14:solidFill>
                          <w14:schemeClr w14:val="tx1"/>
                        </w14:solidFill>
                      </w14:textFill>
                    </w:rPr>
                    <w:t>3</w:t>
                  </w:r>
                </w:p>
              </w:tc>
              <w:tc>
                <w:tcPr>
                  <w:tcW w:w="186" w:type="pct"/>
                  <w:noWrap w:val="0"/>
                  <w:vAlign w:val="center"/>
                </w:tcPr>
                <w:p w14:paraId="19C51CBB">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东</w:t>
                  </w:r>
                </w:p>
              </w:tc>
              <w:tc>
                <w:tcPr>
                  <w:tcW w:w="259" w:type="pct"/>
                  <w:noWrap w:val="0"/>
                  <w:vAlign w:val="center"/>
                </w:tcPr>
                <w:p w14:paraId="29D11166">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w:t>
                  </w:r>
                </w:p>
              </w:tc>
              <w:tc>
                <w:tcPr>
                  <w:tcW w:w="336" w:type="pct"/>
                  <w:noWrap w:val="0"/>
                  <w:vAlign w:val="center"/>
                </w:tcPr>
                <w:p w14:paraId="7525378A">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67.8</w:t>
                  </w:r>
                </w:p>
              </w:tc>
              <w:tc>
                <w:tcPr>
                  <w:tcW w:w="289" w:type="pct"/>
                  <w:vMerge w:val="continue"/>
                  <w:noWrap w:val="0"/>
                  <w:vAlign w:val="center"/>
                </w:tcPr>
                <w:p w14:paraId="7450671E">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5FB25CD5">
                  <w:pPr>
                    <w:pStyle w:val="11"/>
                    <w:numPr>
                      <w:ilvl w:val="0"/>
                      <w:numId w:val="0"/>
                    </w:numPr>
                    <w:spacing w:line="290" w:lineRule="exact"/>
                    <w:jc w:val="center"/>
                    <w:rPr>
                      <w:rFonts w:hint="eastAsia"/>
                      <w:color w:val="FF0000"/>
                      <w:sz w:val="21"/>
                      <w:szCs w:val="21"/>
                    </w:rPr>
                  </w:pPr>
                </w:p>
              </w:tc>
              <w:tc>
                <w:tcPr>
                  <w:tcW w:w="340" w:type="pct"/>
                  <w:noWrap w:val="0"/>
                  <w:vAlign w:val="center"/>
                </w:tcPr>
                <w:p w14:paraId="5EE6D4BE">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47.8</w:t>
                  </w:r>
                </w:p>
              </w:tc>
              <w:tc>
                <w:tcPr>
                  <w:tcW w:w="317" w:type="pct"/>
                  <w:noWrap w:val="0"/>
                  <w:vAlign w:val="center"/>
                </w:tcPr>
                <w:p w14:paraId="7D7E0369">
                  <w:pPr>
                    <w:pStyle w:val="11"/>
                    <w:numPr>
                      <w:ilvl w:val="0"/>
                      <w:numId w:val="0"/>
                    </w:numPr>
                    <w:spacing w:line="290" w:lineRule="exact"/>
                    <w:jc w:val="center"/>
                    <w:rPr>
                      <w:rFonts w:hint="eastAsia"/>
                      <w:color w:val="FF0000"/>
                      <w:sz w:val="21"/>
                      <w:szCs w:val="21"/>
                    </w:rPr>
                  </w:pPr>
                </w:p>
              </w:tc>
            </w:tr>
            <w:tr w14:paraId="609CA1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511DBE2C">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0F9DA1C9">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58F7D5D7">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522A8309">
                  <w:pPr>
                    <w:spacing w:line="290" w:lineRule="exact"/>
                    <w:jc w:val="center"/>
                    <w:rPr>
                      <w:rFonts w:hint="eastAsia"/>
                      <w:bCs/>
                      <w:color w:val="FF0000"/>
                      <w:sz w:val="21"/>
                      <w:szCs w:val="21"/>
                    </w:rPr>
                  </w:pPr>
                </w:p>
              </w:tc>
              <w:tc>
                <w:tcPr>
                  <w:tcW w:w="398" w:type="pct"/>
                  <w:vMerge w:val="continue"/>
                  <w:noWrap w:val="0"/>
                  <w:vAlign w:val="center"/>
                </w:tcPr>
                <w:p w14:paraId="42BE9DCF">
                  <w:pPr>
                    <w:spacing w:line="290" w:lineRule="exact"/>
                    <w:jc w:val="center"/>
                    <w:rPr>
                      <w:rFonts w:hint="eastAsia"/>
                      <w:color w:val="FF0000"/>
                      <w:sz w:val="21"/>
                      <w:szCs w:val="21"/>
                    </w:rPr>
                  </w:pPr>
                </w:p>
              </w:tc>
              <w:tc>
                <w:tcPr>
                  <w:tcW w:w="342" w:type="pct"/>
                  <w:vMerge w:val="continue"/>
                  <w:noWrap w:val="0"/>
                  <w:vAlign w:val="center"/>
                </w:tcPr>
                <w:p w14:paraId="69AF28A1">
                  <w:pPr>
                    <w:spacing w:line="290" w:lineRule="exact"/>
                    <w:jc w:val="center"/>
                    <w:rPr>
                      <w:rFonts w:hint="eastAsia"/>
                      <w:color w:val="FF0000"/>
                      <w:sz w:val="21"/>
                      <w:szCs w:val="21"/>
                    </w:rPr>
                  </w:pPr>
                </w:p>
              </w:tc>
              <w:tc>
                <w:tcPr>
                  <w:tcW w:w="314" w:type="pct"/>
                  <w:vMerge w:val="continue"/>
                  <w:noWrap w:val="0"/>
                  <w:vAlign w:val="center"/>
                </w:tcPr>
                <w:p w14:paraId="46958B0E">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669E74B2">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0A6080A3">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616A701B">
                  <w:pPr>
                    <w:pStyle w:val="11"/>
                    <w:numPr>
                      <w:ilvl w:val="0"/>
                      <w:numId w:val="0"/>
                    </w:numPr>
                    <w:spacing w:line="290" w:lineRule="exact"/>
                    <w:jc w:val="center"/>
                    <w:rPr>
                      <w:color w:val="FF0000"/>
                      <w:spacing w:val="-11"/>
                      <w:sz w:val="21"/>
                      <w:szCs w:val="21"/>
                    </w:rPr>
                  </w:pPr>
                </w:p>
              </w:tc>
              <w:tc>
                <w:tcPr>
                  <w:tcW w:w="186" w:type="pct"/>
                  <w:noWrap w:val="0"/>
                  <w:vAlign w:val="center"/>
                </w:tcPr>
                <w:p w14:paraId="50E015FB">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南</w:t>
                  </w:r>
                </w:p>
              </w:tc>
              <w:tc>
                <w:tcPr>
                  <w:tcW w:w="259" w:type="pct"/>
                  <w:noWrap w:val="0"/>
                  <w:vAlign w:val="center"/>
                </w:tcPr>
                <w:p w14:paraId="1F5AF640">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5</w:t>
                  </w:r>
                </w:p>
              </w:tc>
              <w:tc>
                <w:tcPr>
                  <w:tcW w:w="336" w:type="pct"/>
                  <w:noWrap w:val="0"/>
                  <w:vAlign w:val="center"/>
                </w:tcPr>
                <w:p w14:paraId="252BC046">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75.1</w:t>
                  </w:r>
                </w:p>
              </w:tc>
              <w:tc>
                <w:tcPr>
                  <w:tcW w:w="289" w:type="pct"/>
                  <w:vMerge w:val="continue"/>
                  <w:noWrap w:val="0"/>
                  <w:vAlign w:val="center"/>
                </w:tcPr>
                <w:p w14:paraId="6D28D19E">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087A5D1D">
                  <w:pPr>
                    <w:pStyle w:val="11"/>
                    <w:numPr>
                      <w:ilvl w:val="0"/>
                      <w:numId w:val="0"/>
                    </w:numPr>
                    <w:spacing w:line="290" w:lineRule="exact"/>
                    <w:jc w:val="center"/>
                    <w:rPr>
                      <w:rFonts w:hint="eastAsia"/>
                      <w:color w:val="FF0000"/>
                      <w:sz w:val="21"/>
                      <w:szCs w:val="21"/>
                    </w:rPr>
                  </w:pPr>
                </w:p>
              </w:tc>
              <w:tc>
                <w:tcPr>
                  <w:tcW w:w="340" w:type="pct"/>
                  <w:noWrap w:val="0"/>
                  <w:vAlign w:val="center"/>
                </w:tcPr>
                <w:p w14:paraId="11886E91">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55.1</w:t>
                  </w:r>
                </w:p>
              </w:tc>
              <w:tc>
                <w:tcPr>
                  <w:tcW w:w="317" w:type="pct"/>
                  <w:noWrap w:val="0"/>
                  <w:vAlign w:val="center"/>
                </w:tcPr>
                <w:p w14:paraId="5711C4F7">
                  <w:pPr>
                    <w:pStyle w:val="11"/>
                    <w:numPr>
                      <w:ilvl w:val="0"/>
                      <w:numId w:val="0"/>
                    </w:numPr>
                    <w:spacing w:line="290" w:lineRule="exact"/>
                    <w:jc w:val="center"/>
                    <w:rPr>
                      <w:rFonts w:hint="eastAsia"/>
                      <w:color w:val="FF0000"/>
                      <w:sz w:val="21"/>
                      <w:szCs w:val="21"/>
                    </w:rPr>
                  </w:pPr>
                </w:p>
              </w:tc>
            </w:tr>
            <w:tr w14:paraId="0C3383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0330D6C7">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172077A4">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6D0BBD4E">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54CD339F">
                  <w:pPr>
                    <w:spacing w:line="290" w:lineRule="exact"/>
                    <w:jc w:val="center"/>
                    <w:rPr>
                      <w:rFonts w:hint="eastAsia"/>
                      <w:bCs/>
                      <w:color w:val="FF0000"/>
                      <w:sz w:val="21"/>
                      <w:szCs w:val="21"/>
                    </w:rPr>
                  </w:pPr>
                </w:p>
              </w:tc>
              <w:tc>
                <w:tcPr>
                  <w:tcW w:w="398" w:type="pct"/>
                  <w:vMerge w:val="continue"/>
                  <w:noWrap w:val="0"/>
                  <w:vAlign w:val="center"/>
                </w:tcPr>
                <w:p w14:paraId="03907A9E">
                  <w:pPr>
                    <w:spacing w:line="290" w:lineRule="exact"/>
                    <w:jc w:val="center"/>
                    <w:rPr>
                      <w:rFonts w:hint="eastAsia"/>
                      <w:color w:val="FF0000"/>
                      <w:sz w:val="21"/>
                      <w:szCs w:val="21"/>
                    </w:rPr>
                  </w:pPr>
                </w:p>
              </w:tc>
              <w:tc>
                <w:tcPr>
                  <w:tcW w:w="342" w:type="pct"/>
                  <w:vMerge w:val="continue"/>
                  <w:noWrap w:val="0"/>
                  <w:vAlign w:val="center"/>
                </w:tcPr>
                <w:p w14:paraId="274570BF">
                  <w:pPr>
                    <w:spacing w:line="290" w:lineRule="exact"/>
                    <w:jc w:val="center"/>
                    <w:rPr>
                      <w:rFonts w:hint="eastAsia"/>
                      <w:color w:val="FF0000"/>
                      <w:sz w:val="21"/>
                      <w:szCs w:val="21"/>
                    </w:rPr>
                  </w:pPr>
                </w:p>
              </w:tc>
              <w:tc>
                <w:tcPr>
                  <w:tcW w:w="314" w:type="pct"/>
                  <w:vMerge w:val="continue"/>
                  <w:noWrap w:val="0"/>
                  <w:vAlign w:val="center"/>
                </w:tcPr>
                <w:p w14:paraId="609C4527">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71C914CE">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0536117B">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6ED39AF9">
                  <w:pPr>
                    <w:pStyle w:val="11"/>
                    <w:numPr>
                      <w:ilvl w:val="0"/>
                      <w:numId w:val="0"/>
                    </w:numPr>
                    <w:spacing w:line="290" w:lineRule="exact"/>
                    <w:jc w:val="center"/>
                    <w:rPr>
                      <w:color w:val="FF0000"/>
                      <w:spacing w:val="-11"/>
                      <w:sz w:val="21"/>
                      <w:szCs w:val="21"/>
                    </w:rPr>
                  </w:pPr>
                </w:p>
              </w:tc>
              <w:tc>
                <w:tcPr>
                  <w:tcW w:w="186" w:type="pct"/>
                  <w:noWrap w:val="0"/>
                  <w:vAlign w:val="center"/>
                </w:tcPr>
                <w:p w14:paraId="4EF48B18">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西</w:t>
                  </w:r>
                </w:p>
              </w:tc>
              <w:tc>
                <w:tcPr>
                  <w:tcW w:w="259" w:type="pct"/>
                  <w:noWrap w:val="0"/>
                  <w:vAlign w:val="center"/>
                </w:tcPr>
                <w:p w14:paraId="6C130E0D">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8</w:t>
                  </w:r>
                </w:p>
              </w:tc>
              <w:tc>
                <w:tcPr>
                  <w:tcW w:w="336" w:type="pct"/>
                  <w:noWrap w:val="0"/>
                  <w:vAlign w:val="center"/>
                </w:tcPr>
                <w:p w14:paraId="45D1643E">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71.7</w:t>
                  </w:r>
                </w:p>
              </w:tc>
              <w:tc>
                <w:tcPr>
                  <w:tcW w:w="289" w:type="pct"/>
                  <w:vMerge w:val="continue"/>
                  <w:noWrap w:val="0"/>
                  <w:vAlign w:val="center"/>
                </w:tcPr>
                <w:p w14:paraId="2E383710">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13F45DD7">
                  <w:pPr>
                    <w:pStyle w:val="11"/>
                    <w:numPr>
                      <w:ilvl w:val="0"/>
                      <w:numId w:val="0"/>
                    </w:numPr>
                    <w:spacing w:line="290" w:lineRule="exact"/>
                    <w:jc w:val="center"/>
                    <w:rPr>
                      <w:rFonts w:hint="eastAsia"/>
                      <w:color w:val="FF0000"/>
                      <w:sz w:val="21"/>
                      <w:szCs w:val="21"/>
                    </w:rPr>
                  </w:pPr>
                </w:p>
              </w:tc>
              <w:tc>
                <w:tcPr>
                  <w:tcW w:w="340" w:type="pct"/>
                  <w:noWrap w:val="0"/>
                  <w:vAlign w:val="center"/>
                </w:tcPr>
                <w:p w14:paraId="6791ECA5">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51.7</w:t>
                  </w:r>
                </w:p>
              </w:tc>
              <w:tc>
                <w:tcPr>
                  <w:tcW w:w="317" w:type="pct"/>
                  <w:noWrap w:val="0"/>
                  <w:vAlign w:val="center"/>
                </w:tcPr>
                <w:p w14:paraId="4DA04A94">
                  <w:pPr>
                    <w:pStyle w:val="11"/>
                    <w:numPr>
                      <w:ilvl w:val="0"/>
                      <w:numId w:val="0"/>
                    </w:numPr>
                    <w:spacing w:line="290" w:lineRule="exact"/>
                    <w:jc w:val="center"/>
                    <w:rPr>
                      <w:rFonts w:hint="eastAsia"/>
                      <w:color w:val="FF0000"/>
                      <w:sz w:val="21"/>
                      <w:szCs w:val="21"/>
                    </w:rPr>
                  </w:pPr>
                </w:p>
              </w:tc>
            </w:tr>
            <w:tr w14:paraId="42EBD1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18C2CD7A">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3731FC1D">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4B3C4C44">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1E448DF2">
                  <w:pPr>
                    <w:spacing w:line="290" w:lineRule="exact"/>
                    <w:jc w:val="center"/>
                    <w:rPr>
                      <w:rFonts w:hint="eastAsia"/>
                      <w:bCs/>
                      <w:color w:val="FF0000"/>
                      <w:sz w:val="21"/>
                      <w:szCs w:val="21"/>
                    </w:rPr>
                  </w:pPr>
                </w:p>
              </w:tc>
              <w:tc>
                <w:tcPr>
                  <w:tcW w:w="398" w:type="pct"/>
                  <w:vMerge w:val="continue"/>
                  <w:noWrap w:val="0"/>
                  <w:vAlign w:val="center"/>
                </w:tcPr>
                <w:p w14:paraId="4688C03C">
                  <w:pPr>
                    <w:spacing w:line="290" w:lineRule="exact"/>
                    <w:jc w:val="center"/>
                    <w:rPr>
                      <w:rFonts w:hint="eastAsia"/>
                      <w:color w:val="FF0000"/>
                      <w:sz w:val="21"/>
                      <w:szCs w:val="21"/>
                    </w:rPr>
                  </w:pPr>
                </w:p>
              </w:tc>
              <w:tc>
                <w:tcPr>
                  <w:tcW w:w="342" w:type="pct"/>
                  <w:vMerge w:val="continue"/>
                  <w:noWrap w:val="0"/>
                  <w:vAlign w:val="center"/>
                </w:tcPr>
                <w:p w14:paraId="6CD8D9B2">
                  <w:pPr>
                    <w:spacing w:line="290" w:lineRule="exact"/>
                    <w:jc w:val="center"/>
                    <w:rPr>
                      <w:rFonts w:hint="eastAsia"/>
                      <w:color w:val="FF0000"/>
                      <w:sz w:val="21"/>
                      <w:szCs w:val="21"/>
                    </w:rPr>
                  </w:pPr>
                </w:p>
              </w:tc>
              <w:tc>
                <w:tcPr>
                  <w:tcW w:w="314" w:type="pct"/>
                  <w:vMerge w:val="continue"/>
                  <w:noWrap w:val="0"/>
                  <w:vAlign w:val="center"/>
                </w:tcPr>
                <w:p w14:paraId="36A4C21B">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0C6B7006">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39ED028C">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31272991">
                  <w:pPr>
                    <w:pStyle w:val="11"/>
                    <w:numPr>
                      <w:ilvl w:val="0"/>
                      <w:numId w:val="0"/>
                    </w:numPr>
                    <w:spacing w:line="290" w:lineRule="exact"/>
                    <w:jc w:val="center"/>
                    <w:rPr>
                      <w:color w:val="FF0000"/>
                      <w:spacing w:val="-11"/>
                      <w:sz w:val="21"/>
                      <w:szCs w:val="21"/>
                    </w:rPr>
                  </w:pPr>
                </w:p>
              </w:tc>
              <w:tc>
                <w:tcPr>
                  <w:tcW w:w="186" w:type="pct"/>
                  <w:noWrap w:val="0"/>
                  <w:vAlign w:val="center"/>
                </w:tcPr>
                <w:p w14:paraId="20724257">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北</w:t>
                  </w:r>
                </w:p>
              </w:tc>
              <w:tc>
                <w:tcPr>
                  <w:tcW w:w="259" w:type="pct"/>
                  <w:noWrap w:val="0"/>
                  <w:vAlign w:val="center"/>
                </w:tcPr>
                <w:p w14:paraId="4FA38488">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2</w:t>
                  </w:r>
                </w:p>
              </w:tc>
              <w:tc>
                <w:tcPr>
                  <w:tcW w:w="336" w:type="pct"/>
                  <w:noWrap w:val="0"/>
                  <w:vAlign w:val="center"/>
                </w:tcPr>
                <w:p w14:paraId="565A024B">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72.9</w:t>
                  </w:r>
                </w:p>
              </w:tc>
              <w:tc>
                <w:tcPr>
                  <w:tcW w:w="289" w:type="pct"/>
                  <w:vMerge w:val="continue"/>
                  <w:noWrap w:val="0"/>
                  <w:vAlign w:val="center"/>
                </w:tcPr>
                <w:p w14:paraId="00CB8234">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4949E5CA">
                  <w:pPr>
                    <w:pStyle w:val="11"/>
                    <w:numPr>
                      <w:ilvl w:val="0"/>
                      <w:numId w:val="0"/>
                    </w:numPr>
                    <w:spacing w:line="290" w:lineRule="exact"/>
                    <w:jc w:val="center"/>
                    <w:rPr>
                      <w:rFonts w:hint="eastAsia"/>
                      <w:color w:val="FF0000"/>
                      <w:sz w:val="21"/>
                      <w:szCs w:val="21"/>
                    </w:rPr>
                  </w:pPr>
                </w:p>
              </w:tc>
              <w:tc>
                <w:tcPr>
                  <w:tcW w:w="340" w:type="pct"/>
                  <w:noWrap w:val="0"/>
                  <w:vAlign w:val="center"/>
                </w:tcPr>
                <w:p w14:paraId="0FD90393">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52.9</w:t>
                  </w:r>
                </w:p>
              </w:tc>
              <w:tc>
                <w:tcPr>
                  <w:tcW w:w="317" w:type="pct"/>
                  <w:noWrap w:val="0"/>
                  <w:vAlign w:val="center"/>
                </w:tcPr>
                <w:p w14:paraId="0DDF78CF">
                  <w:pPr>
                    <w:pStyle w:val="11"/>
                    <w:numPr>
                      <w:ilvl w:val="0"/>
                      <w:numId w:val="0"/>
                    </w:numPr>
                    <w:spacing w:line="290" w:lineRule="exact"/>
                    <w:jc w:val="center"/>
                    <w:rPr>
                      <w:rFonts w:hint="eastAsia"/>
                      <w:color w:val="FF0000"/>
                      <w:sz w:val="21"/>
                      <w:szCs w:val="21"/>
                    </w:rPr>
                  </w:pPr>
                </w:p>
              </w:tc>
            </w:tr>
            <w:tr w14:paraId="152894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restart"/>
                  <w:noWrap w:val="0"/>
                  <w:vAlign w:val="center"/>
                </w:tcPr>
                <w:p w14:paraId="4A918B30">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w:t>
                  </w:r>
                </w:p>
              </w:tc>
              <w:tc>
                <w:tcPr>
                  <w:tcW w:w="332" w:type="pct"/>
                  <w:vMerge w:val="continue"/>
                  <w:noWrap w:val="0"/>
                  <w:vAlign w:val="center"/>
                </w:tcPr>
                <w:p w14:paraId="2FDEAD34">
                  <w:pPr>
                    <w:pStyle w:val="11"/>
                    <w:numPr>
                      <w:ilvl w:val="0"/>
                      <w:numId w:val="0"/>
                    </w:numPr>
                    <w:spacing w:line="290" w:lineRule="exact"/>
                    <w:jc w:val="center"/>
                    <w:rPr>
                      <w:rFonts w:hint="eastAsia"/>
                      <w:color w:val="FF0000"/>
                      <w:sz w:val="21"/>
                      <w:szCs w:val="21"/>
                    </w:rPr>
                  </w:pPr>
                </w:p>
              </w:tc>
              <w:tc>
                <w:tcPr>
                  <w:tcW w:w="441" w:type="pct"/>
                  <w:vMerge w:val="restart"/>
                  <w:tcBorders>
                    <w:right w:val="single" w:color="auto" w:sz="4" w:space="0"/>
                  </w:tcBorders>
                  <w:noWrap w:val="0"/>
                  <w:vAlign w:val="center"/>
                </w:tcPr>
                <w:p w14:paraId="4507B6A1">
                  <w:pPr>
                    <w:spacing w:line="290" w:lineRule="exact"/>
                    <w:jc w:val="center"/>
                    <w:rPr>
                      <w:rFonts w:hint="eastAsia"/>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风机</w:t>
                  </w:r>
                </w:p>
              </w:tc>
              <w:tc>
                <w:tcPr>
                  <w:tcW w:w="254" w:type="pct"/>
                  <w:vMerge w:val="restart"/>
                  <w:tcBorders>
                    <w:left w:val="single" w:color="auto" w:sz="4" w:space="0"/>
                  </w:tcBorders>
                  <w:noWrap w:val="0"/>
                  <w:vAlign w:val="center"/>
                </w:tcPr>
                <w:p w14:paraId="502F67B6">
                  <w:pPr>
                    <w:spacing w:line="290" w:lineRule="exact"/>
                    <w:jc w:val="center"/>
                    <w:rPr>
                      <w:rFonts w:hint="eastAsia" w:eastAsia="宋体"/>
                      <w:bCs/>
                      <w:color w:val="FF0000"/>
                      <w:sz w:val="21"/>
                      <w:szCs w:val="21"/>
                      <w:lang w:val="en-US" w:eastAsia="zh-CN"/>
                    </w:rPr>
                  </w:pPr>
                  <w:r>
                    <w:rPr>
                      <w:rFonts w:hint="eastAsia"/>
                      <w:bCs/>
                      <w:color w:val="000000" w:themeColor="text1"/>
                      <w:sz w:val="21"/>
                      <w:szCs w:val="21"/>
                      <w:lang w:val="en-US" w:eastAsia="zh-CN"/>
                      <w14:textFill>
                        <w14:solidFill>
                          <w14:schemeClr w14:val="tx1"/>
                        </w14:solidFill>
                      </w14:textFill>
                    </w:rPr>
                    <w:t>1</w:t>
                  </w:r>
                </w:p>
              </w:tc>
              <w:tc>
                <w:tcPr>
                  <w:tcW w:w="398" w:type="pct"/>
                  <w:vMerge w:val="restart"/>
                  <w:noWrap w:val="0"/>
                  <w:vAlign w:val="center"/>
                </w:tcPr>
                <w:p w14:paraId="045E4348">
                  <w:pPr>
                    <w:pStyle w:val="11"/>
                    <w:numPr>
                      <w:ilvl w:val="0"/>
                      <w:numId w:val="0"/>
                    </w:numPr>
                    <w:spacing w:line="290" w:lineRule="exact"/>
                    <w:ind w:left="0" w:leftChars="0" w:firstLine="0" w:firstLineChars="0"/>
                    <w:jc w:val="center"/>
                    <w:rPr>
                      <w:rFonts w:hint="eastAsia"/>
                      <w:color w:val="FF0000"/>
                      <w:sz w:val="21"/>
                      <w:szCs w:val="21"/>
                    </w:rPr>
                  </w:pPr>
                  <w:r>
                    <w:rPr>
                      <w:rFonts w:hint="eastAsia"/>
                      <w:color w:val="000000" w:themeColor="text1"/>
                      <w:sz w:val="21"/>
                      <w:szCs w:val="21"/>
                      <w14:textFill>
                        <w14:solidFill>
                          <w14:schemeClr w14:val="tx1"/>
                        </w14:solidFill>
                      </w14:textFill>
                    </w:rPr>
                    <w:t>/</w:t>
                  </w:r>
                </w:p>
              </w:tc>
              <w:tc>
                <w:tcPr>
                  <w:tcW w:w="342" w:type="pct"/>
                  <w:vMerge w:val="restart"/>
                  <w:noWrap w:val="0"/>
                  <w:vAlign w:val="center"/>
                </w:tcPr>
                <w:p w14:paraId="53689A56">
                  <w:pPr>
                    <w:spacing w:line="290" w:lineRule="exact"/>
                    <w:jc w:val="center"/>
                    <w:rPr>
                      <w:rFonts w:hint="default" w:eastAsia="宋体"/>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75</w:t>
                  </w:r>
                </w:p>
              </w:tc>
              <w:tc>
                <w:tcPr>
                  <w:tcW w:w="314" w:type="pct"/>
                  <w:vMerge w:val="continue"/>
                  <w:noWrap w:val="0"/>
                  <w:vAlign w:val="center"/>
                </w:tcPr>
                <w:p w14:paraId="4EB3FE29">
                  <w:pPr>
                    <w:pStyle w:val="11"/>
                    <w:numPr>
                      <w:ilvl w:val="0"/>
                      <w:numId w:val="0"/>
                    </w:numPr>
                    <w:spacing w:line="290" w:lineRule="exact"/>
                    <w:jc w:val="center"/>
                    <w:rPr>
                      <w:rFonts w:hint="eastAsia"/>
                      <w:color w:val="FF0000"/>
                      <w:sz w:val="21"/>
                      <w:szCs w:val="21"/>
                    </w:rPr>
                  </w:pPr>
                </w:p>
              </w:tc>
              <w:tc>
                <w:tcPr>
                  <w:tcW w:w="220" w:type="pct"/>
                  <w:vMerge w:val="restart"/>
                  <w:noWrap w:val="0"/>
                  <w:vAlign w:val="center"/>
                </w:tcPr>
                <w:p w14:paraId="5D43CE04">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9</w:t>
                  </w:r>
                </w:p>
              </w:tc>
              <w:tc>
                <w:tcPr>
                  <w:tcW w:w="220" w:type="pct"/>
                  <w:vMerge w:val="restart"/>
                  <w:noWrap w:val="0"/>
                  <w:vAlign w:val="center"/>
                </w:tcPr>
                <w:p w14:paraId="0EF78BCF">
                  <w:pPr>
                    <w:pStyle w:val="11"/>
                    <w:numPr>
                      <w:ilvl w:val="0"/>
                      <w:numId w:val="0"/>
                    </w:numPr>
                    <w:spacing w:line="290" w:lineRule="exact"/>
                    <w:jc w:val="center"/>
                    <w:rPr>
                      <w:rFonts w:hint="eastAsia" w:eastAsia="宋体"/>
                      <w:color w:val="FF0000"/>
                      <w:spacing w:val="-11"/>
                      <w:sz w:val="21"/>
                      <w:szCs w:val="21"/>
                      <w:lang w:val="en-US" w:eastAsia="zh-CN"/>
                    </w:rPr>
                  </w:pPr>
                  <w:r>
                    <w:rPr>
                      <w:rFonts w:hint="eastAsia"/>
                      <w:color w:val="000000" w:themeColor="text1"/>
                      <w:spacing w:val="-11"/>
                      <w:sz w:val="21"/>
                      <w:szCs w:val="21"/>
                      <w:lang w:val="en-US" w:eastAsia="zh-CN"/>
                      <w14:textFill>
                        <w14:solidFill>
                          <w14:schemeClr w14:val="tx1"/>
                        </w14:solidFill>
                      </w14:textFill>
                    </w:rPr>
                    <w:t>7</w:t>
                  </w:r>
                </w:p>
              </w:tc>
              <w:tc>
                <w:tcPr>
                  <w:tcW w:w="195" w:type="pct"/>
                  <w:vMerge w:val="restart"/>
                  <w:noWrap w:val="0"/>
                  <w:vAlign w:val="center"/>
                </w:tcPr>
                <w:p w14:paraId="2603B76A">
                  <w:pPr>
                    <w:pStyle w:val="11"/>
                    <w:numPr>
                      <w:ilvl w:val="0"/>
                      <w:numId w:val="0"/>
                    </w:numPr>
                    <w:spacing w:line="290" w:lineRule="exact"/>
                    <w:ind w:left="0" w:leftChars="0" w:firstLine="0" w:firstLineChars="0"/>
                    <w:jc w:val="center"/>
                    <w:rPr>
                      <w:color w:val="FF0000"/>
                      <w:spacing w:val="-11"/>
                      <w:sz w:val="21"/>
                      <w:szCs w:val="21"/>
                    </w:rPr>
                  </w:pPr>
                  <w:r>
                    <w:rPr>
                      <w:rFonts w:hint="eastAsia"/>
                      <w:color w:val="000000" w:themeColor="text1"/>
                      <w:spacing w:val="-11"/>
                      <w:sz w:val="21"/>
                      <w:szCs w:val="21"/>
                      <w:lang w:val="en-US" w:eastAsia="zh-CN"/>
                      <w14:textFill>
                        <w14:solidFill>
                          <w14:schemeClr w14:val="tx1"/>
                        </w14:solidFill>
                      </w14:textFill>
                    </w:rPr>
                    <w:t>3</w:t>
                  </w:r>
                </w:p>
              </w:tc>
              <w:tc>
                <w:tcPr>
                  <w:tcW w:w="186" w:type="pct"/>
                  <w:noWrap w:val="0"/>
                  <w:vAlign w:val="center"/>
                </w:tcPr>
                <w:p w14:paraId="22ADA3BE">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东</w:t>
                  </w:r>
                </w:p>
              </w:tc>
              <w:tc>
                <w:tcPr>
                  <w:tcW w:w="259" w:type="pct"/>
                  <w:noWrap w:val="0"/>
                  <w:vAlign w:val="center"/>
                </w:tcPr>
                <w:p w14:paraId="4A1D9E8B">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9</w:t>
                  </w:r>
                </w:p>
              </w:tc>
              <w:tc>
                <w:tcPr>
                  <w:tcW w:w="336" w:type="pct"/>
                  <w:noWrap w:val="0"/>
                  <w:vAlign w:val="center"/>
                </w:tcPr>
                <w:p w14:paraId="46359EFF">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68.2</w:t>
                  </w:r>
                </w:p>
              </w:tc>
              <w:tc>
                <w:tcPr>
                  <w:tcW w:w="289" w:type="pct"/>
                  <w:vMerge w:val="continue"/>
                  <w:noWrap w:val="0"/>
                  <w:vAlign w:val="center"/>
                </w:tcPr>
                <w:p w14:paraId="79491507">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1DE1B9F6">
                  <w:pPr>
                    <w:pStyle w:val="11"/>
                    <w:numPr>
                      <w:ilvl w:val="0"/>
                      <w:numId w:val="0"/>
                    </w:numPr>
                    <w:spacing w:line="290" w:lineRule="exact"/>
                    <w:jc w:val="center"/>
                    <w:rPr>
                      <w:rFonts w:hint="eastAsia"/>
                      <w:color w:val="FF0000"/>
                      <w:sz w:val="21"/>
                      <w:szCs w:val="21"/>
                    </w:rPr>
                  </w:pPr>
                </w:p>
              </w:tc>
              <w:tc>
                <w:tcPr>
                  <w:tcW w:w="340" w:type="pct"/>
                  <w:noWrap w:val="0"/>
                  <w:vAlign w:val="center"/>
                </w:tcPr>
                <w:p w14:paraId="47595D41">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48.2</w:t>
                  </w:r>
                </w:p>
              </w:tc>
              <w:tc>
                <w:tcPr>
                  <w:tcW w:w="317" w:type="pct"/>
                  <w:noWrap w:val="0"/>
                  <w:vAlign w:val="center"/>
                </w:tcPr>
                <w:p w14:paraId="0BB13A52">
                  <w:pPr>
                    <w:pStyle w:val="11"/>
                    <w:numPr>
                      <w:ilvl w:val="0"/>
                      <w:numId w:val="0"/>
                    </w:numPr>
                    <w:spacing w:line="290" w:lineRule="exact"/>
                    <w:jc w:val="center"/>
                    <w:rPr>
                      <w:rFonts w:hint="eastAsia"/>
                      <w:color w:val="FF0000"/>
                      <w:sz w:val="21"/>
                      <w:szCs w:val="21"/>
                    </w:rPr>
                  </w:pPr>
                </w:p>
              </w:tc>
            </w:tr>
            <w:tr w14:paraId="5C6AF8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08F5D454">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7B66B809">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5A88669F">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166C9072">
                  <w:pPr>
                    <w:spacing w:line="290" w:lineRule="exact"/>
                    <w:jc w:val="center"/>
                    <w:rPr>
                      <w:rFonts w:hint="eastAsia"/>
                      <w:bCs/>
                      <w:color w:val="FF0000"/>
                      <w:sz w:val="21"/>
                      <w:szCs w:val="21"/>
                    </w:rPr>
                  </w:pPr>
                </w:p>
              </w:tc>
              <w:tc>
                <w:tcPr>
                  <w:tcW w:w="398" w:type="pct"/>
                  <w:vMerge w:val="continue"/>
                  <w:noWrap w:val="0"/>
                  <w:vAlign w:val="center"/>
                </w:tcPr>
                <w:p w14:paraId="6875F238">
                  <w:pPr>
                    <w:spacing w:line="290" w:lineRule="exact"/>
                    <w:jc w:val="center"/>
                    <w:rPr>
                      <w:rFonts w:hint="eastAsia"/>
                      <w:color w:val="FF0000"/>
                      <w:sz w:val="21"/>
                      <w:szCs w:val="21"/>
                    </w:rPr>
                  </w:pPr>
                </w:p>
              </w:tc>
              <w:tc>
                <w:tcPr>
                  <w:tcW w:w="342" w:type="pct"/>
                  <w:vMerge w:val="continue"/>
                  <w:noWrap w:val="0"/>
                  <w:vAlign w:val="center"/>
                </w:tcPr>
                <w:p w14:paraId="73546B3C">
                  <w:pPr>
                    <w:spacing w:line="290" w:lineRule="exact"/>
                    <w:jc w:val="center"/>
                    <w:rPr>
                      <w:rFonts w:hint="eastAsia"/>
                      <w:color w:val="FF0000"/>
                      <w:sz w:val="21"/>
                      <w:szCs w:val="21"/>
                    </w:rPr>
                  </w:pPr>
                </w:p>
              </w:tc>
              <w:tc>
                <w:tcPr>
                  <w:tcW w:w="314" w:type="pct"/>
                  <w:vMerge w:val="continue"/>
                  <w:noWrap w:val="0"/>
                  <w:vAlign w:val="center"/>
                </w:tcPr>
                <w:p w14:paraId="4CB66B64">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564C5F0C">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43AC7724">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2C3AA580">
                  <w:pPr>
                    <w:pStyle w:val="11"/>
                    <w:numPr>
                      <w:ilvl w:val="0"/>
                      <w:numId w:val="0"/>
                    </w:numPr>
                    <w:spacing w:line="290" w:lineRule="exact"/>
                    <w:jc w:val="center"/>
                    <w:rPr>
                      <w:color w:val="FF0000"/>
                      <w:spacing w:val="-11"/>
                      <w:sz w:val="21"/>
                      <w:szCs w:val="21"/>
                    </w:rPr>
                  </w:pPr>
                </w:p>
              </w:tc>
              <w:tc>
                <w:tcPr>
                  <w:tcW w:w="186" w:type="pct"/>
                  <w:noWrap w:val="0"/>
                  <w:vAlign w:val="center"/>
                </w:tcPr>
                <w:p w14:paraId="596629AA">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南</w:t>
                  </w:r>
                </w:p>
              </w:tc>
              <w:tc>
                <w:tcPr>
                  <w:tcW w:w="259" w:type="pct"/>
                  <w:noWrap w:val="0"/>
                  <w:vAlign w:val="center"/>
                </w:tcPr>
                <w:p w14:paraId="70341537">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5</w:t>
                  </w:r>
                </w:p>
              </w:tc>
              <w:tc>
                <w:tcPr>
                  <w:tcW w:w="336" w:type="pct"/>
                  <w:noWrap w:val="0"/>
                  <w:vAlign w:val="center"/>
                </w:tcPr>
                <w:p w14:paraId="6E9560CD">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75.1</w:t>
                  </w:r>
                </w:p>
              </w:tc>
              <w:tc>
                <w:tcPr>
                  <w:tcW w:w="289" w:type="pct"/>
                  <w:vMerge w:val="continue"/>
                  <w:noWrap w:val="0"/>
                  <w:vAlign w:val="center"/>
                </w:tcPr>
                <w:p w14:paraId="19AFC58C">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63978F4D">
                  <w:pPr>
                    <w:pStyle w:val="11"/>
                    <w:numPr>
                      <w:ilvl w:val="0"/>
                      <w:numId w:val="0"/>
                    </w:numPr>
                    <w:spacing w:line="290" w:lineRule="exact"/>
                    <w:jc w:val="center"/>
                    <w:rPr>
                      <w:rFonts w:hint="eastAsia"/>
                      <w:color w:val="FF0000"/>
                      <w:sz w:val="21"/>
                      <w:szCs w:val="21"/>
                    </w:rPr>
                  </w:pPr>
                </w:p>
              </w:tc>
              <w:tc>
                <w:tcPr>
                  <w:tcW w:w="340" w:type="pct"/>
                  <w:noWrap w:val="0"/>
                  <w:vAlign w:val="center"/>
                </w:tcPr>
                <w:p w14:paraId="69EF1C9F">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55.1</w:t>
                  </w:r>
                </w:p>
              </w:tc>
              <w:tc>
                <w:tcPr>
                  <w:tcW w:w="317" w:type="pct"/>
                  <w:noWrap w:val="0"/>
                  <w:vAlign w:val="center"/>
                </w:tcPr>
                <w:p w14:paraId="5C63BD0E">
                  <w:pPr>
                    <w:pStyle w:val="11"/>
                    <w:numPr>
                      <w:ilvl w:val="0"/>
                      <w:numId w:val="0"/>
                    </w:numPr>
                    <w:spacing w:line="290" w:lineRule="exact"/>
                    <w:jc w:val="center"/>
                    <w:rPr>
                      <w:rFonts w:hint="eastAsia"/>
                      <w:color w:val="FF0000"/>
                      <w:sz w:val="21"/>
                      <w:szCs w:val="21"/>
                    </w:rPr>
                  </w:pPr>
                </w:p>
              </w:tc>
            </w:tr>
            <w:tr w14:paraId="53ADAE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5C7B45EE">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4EFC1202">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6BE9258E">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6F64D948">
                  <w:pPr>
                    <w:spacing w:line="290" w:lineRule="exact"/>
                    <w:jc w:val="center"/>
                    <w:rPr>
                      <w:rFonts w:hint="eastAsia"/>
                      <w:bCs/>
                      <w:color w:val="FF0000"/>
                      <w:sz w:val="21"/>
                      <w:szCs w:val="21"/>
                    </w:rPr>
                  </w:pPr>
                </w:p>
              </w:tc>
              <w:tc>
                <w:tcPr>
                  <w:tcW w:w="398" w:type="pct"/>
                  <w:vMerge w:val="continue"/>
                  <w:noWrap w:val="0"/>
                  <w:vAlign w:val="center"/>
                </w:tcPr>
                <w:p w14:paraId="37E08ED6">
                  <w:pPr>
                    <w:spacing w:line="290" w:lineRule="exact"/>
                    <w:jc w:val="center"/>
                    <w:rPr>
                      <w:rFonts w:hint="eastAsia"/>
                      <w:color w:val="FF0000"/>
                      <w:sz w:val="21"/>
                      <w:szCs w:val="21"/>
                    </w:rPr>
                  </w:pPr>
                </w:p>
              </w:tc>
              <w:tc>
                <w:tcPr>
                  <w:tcW w:w="342" w:type="pct"/>
                  <w:vMerge w:val="continue"/>
                  <w:noWrap w:val="0"/>
                  <w:vAlign w:val="center"/>
                </w:tcPr>
                <w:p w14:paraId="0F0E89C6">
                  <w:pPr>
                    <w:spacing w:line="290" w:lineRule="exact"/>
                    <w:jc w:val="center"/>
                    <w:rPr>
                      <w:rFonts w:hint="eastAsia"/>
                      <w:color w:val="FF0000"/>
                      <w:sz w:val="21"/>
                      <w:szCs w:val="21"/>
                    </w:rPr>
                  </w:pPr>
                </w:p>
              </w:tc>
              <w:tc>
                <w:tcPr>
                  <w:tcW w:w="314" w:type="pct"/>
                  <w:vMerge w:val="continue"/>
                  <w:noWrap w:val="0"/>
                  <w:vAlign w:val="center"/>
                </w:tcPr>
                <w:p w14:paraId="30D88916">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43762A37">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7D851878">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20425543">
                  <w:pPr>
                    <w:pStyle w:val="11"/>
                    <w:numPr>
                      <w:ilvl w:val="0"/>
                      <w:numId w:val="0"/>
                    </w:numPr>
                    <w:spacing w:line="290" w:lineRule="exact"/>
                    <w:jc w:val="center"/>
                    <w:rPr>
                      <w:color w:val="FF0000"/>
                      <w:spacing w:val="-11"/>
                      <w:sz w:val="21"/>
                      <w:szCs w:val="21"/>
                    </w:rPr>
                  </w:pPr>
                </w:p>
              </w:tc>
              <w:tc>
                <w:tcPr>
                  <w:tcW w:w="186" w:type="pct"/>
                  <w:noWrap w:val="0"/>
                  <w:vAlign w:val="center"/>
                </w:tcPr>
                <w:p w14:paraId="5AF666B7">
                  <w:pPr>
                    <w:pStyle w:val="11"/>
                    <w:numPr>
                      <w:ilvl w:val="0"/>
                      <w:numId w:val="0"/>
                    </w:numPr>
                    <w:spacing w:line="290" w:lineRule="exact"/>
                    <w:ind w:left="0" w:leftChars="0" w:firstLine="0" w:firstLineChars="0"/>
                    <w:jc w:val="center"/>
                    <w:rPr>
                      <w:rFonts w:hint="eastAsia"/>
                      <w:color w:val="FF0000"/>
                      <w:sz w:val="21"/>
                      <w:szCs w:val="21"/>
                      <w:lang w:val="en-US" w:eastAsia="zh-CN"/>
                    </w:rPr>
                  </w:pPr>
                  <w:r>
                    <w:rPr>
                      <w:rFonts w:hint="eastAsia"/>
                      <w:color w:val="000000" w:themeColor="text1"/>
                      <w:sz w:val="21"/>
                      <w:szCs w:val="21"/>
                      <w14:textFill>
                        <w14:solidFill>
                          <w14:schemeClr w14:val="tx1"/>
                        </w14:solidFill>
                      </w14:textFill>
                    </w:rPr>
                    <w:t>西</w:t>
                  </w:r>
                </w:p>
              </w:tc>
              <w:tc>
                <w:tcPr>
                  <w:tcW w:w="259" w:type="pct"/>
                  <w:noWrap w:val="0"/>
                  <w:vAlign w:val="center"/>
                </w:tcPr>
                <w:p w14:paraId="5CFE52A3">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9</w:t>
                  </w:r>
                </w:p>
              </w:tc>
              <w:tc>
                <w:tcPr>
                  <w:tcW w:w="336" w:type="pct"/>
                  <w:noWrap w:val="0"/>
                  <w:vAlign w:val="center"/>
                </w:tcPr>
                <w:p w14:paraId="2EE0B03C">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74.1</w:t>
                  </w:r>
                </w:p>
              </w:tc>
              <w:tc>
                <w:tcPr>
                  <w:tcW w:w="289" w:type="pct"/>
                  <w:vMerge w:val="continue"/>
                  <w:noWrap w:val="0"/>
                  <w:vAlign w:val="center"/>
                </w:tcPr>
                <w:p w14:paraId="7ED5FB7A">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02DF4FC7">
                  <w:pPr>
                    <w:pStyle w:val="11"/>
                    <w:numPr>
                      <w:ilvl w:val="0"/>
                      <w:numId w:val="0"/>
                    </w:numPr>
                    <w:spacing w:line="290" w:lineRule="exact"/>
                    <w:jc w:val="center"/>
                    <w:rPr>
                      <w:rFonts w:hint="eastAsia"/>
                      <w:color w:val="FF0000"/>
                      <w:sz w:val="21"/>
                      <w:szCs w:val="21"/>
                    </w:rPr>
                  </w:pPr>
                </w:p>
              </w:tc>
              <w:tc>
                <w:tcPr>
                  <w:tcW w:w="340" w:type="pct"/>
                  <w:noWrap w:val="0"/>
                  <w:vAlign w:val="center"/>
                </w:tcPr>
                <w:p w14:paraId="76973662">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54.1</w:t>
                  </w:r>
                </w:p>
              </w:tc>
              <w:tc>
                <w:tcPr>
                  <w:tcW w:w="317" w:type="pct"/>
                  <w:noWrap w:val="0"/>
                  <w:vAlign w:val="center"/>
                </w:tcPr>
                <w:p w14:paraId="525D680B">
                  <w:pPr>
                    <w:pStyle w:val="11"/>
                    <w:numPr>
                      <w:ilvl w:val="0"/>
                      <w:numId w:val="0"/>
                    </w:numPr>
                    <w:spacing w:line="290" w:lineRule="exact"/>
                    <w:jc w:val="center"/>
                    <w:rPr>
                      <w:rFonts w:hint="eastAsia"/>
                      <w:color w:val="FF0000"/>
                      <w:sz w:val="21"/>
                      <w:szCs w:val="21"/>
                    </w:rPr>
                  </w:pPr>
                </w:p>
              </w:tc>
            </w:tr>
            <w:tr w14:paraId="6E79EF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82" w:type="pct"/>
                  <w:vMerge w:val="continue"/>
                  <w:noWrap w:val="0"/>
                  <w:vAlign w:val="center"/>
                </w:tcPr>
                <w:p w14:paraId="66DD4BBE">
                  <w:pPr>
                    <w:pStyle w:val="11"/>
                    <w:numPr>
                      <w:ilvl w:val="0"/>
                      <w:numId w:val="0"/>
                    </w:numPr>
                    <w:spacing w:line="290" w:lineRule="exact"/>
                    <w:jc w:val="center"/>
                    <w:rPr>
                      <w:rFonts w:hint="eastAsia"/>
                      <w:color w:val="FF0000"/>
                      <w:sz w:val="21"/>
                      <w:szCs w:val="21"/>
                      <w:lang w:val="en-US" w:eastAsia="zh-CN"/>
                    </w:rPr>
                  </w:pPr>
                </w:p>
              </w:tc>
              <w:tc>
                <w:tcPr>
                  <w:tcW w:w="332" w:type="pct"/>
                  <w:vMerge w:val="continue"/>
                  <w:noWrap w:val="0"/>
                  <w:vAlign w:val="center"/>
                </w:tcPr>
                <w:p w14:paraId="6848D827">
                  <w:pPr>
                    <w:pStyle w:val="11"/>
                    <w:numPr>
                      <w:ilvl w:val="0"/>
                      <w:numId w:val="0"/>
                    </w:numPr>
                    <w:spacing w:line="290" w:lineRule="exact"/>
                    <w:jc w:val="center"/>
                    <w:rPr>
                      <w:rFonts w:hint="eastAsia"/>
                      <w:color w:val="FF0000"/>
                      <w:sz w:val="21"/>
                      <w:szCs w:val="21"/>
                    </w:rPr>
                  </w:pPr>
                </w:p>
              </w:tc>
              <w:tc>
                <w:tcPr>
                  <w:tcW w:w="441" w:type="pct"/>
                  <w:vMerge w:val="continue"/>
                  <w:tcBorders>
                    <w:right w:val="single" w:color="auto" w:sz="4" w:space="0"/>
                  </w:tcBorders>
                  <w:noWrap w:val="0"/>
                  <w:vAlign w:val="center"/>
                </w:tcPr>
                <w:p w14:paraId="0C13D31A">
                  <w:pPr>
                    <w:spacing w:line="290" w:lineRule="exact"/>
                    <w:jc w:val="center"/>
                    <w:rPr>
                      <w:rFonts w:hint="eastAsia"/>
                      <w:color w:val="FF0000"/>
                      <w:sz w:val="21"/>
                      <w:szCs w:val="21"/>
                    </w:rPr>
                  </w:pPr>
                </w:p>
              </w:tc>
              <w:tc>
                <w:tcPr>
                  <w:tcW w:w="254" w:type="pct"/>
                  <w:vMerge w:val="continue"/>
                  <w:tcBorders>
                    <w:left w:val="single" w:color="auto" w:sz="4" w:space="0"/>
                  </w:tcBorders>
                  <w:noWrap w:val="0"/>
                  <w:vAlign w:val="center"/>
                </w:tcPr>
                <w:p w14:paraId="481D8B72">
                  <w:pPr>
                    <w:spacing w:line="290" w:lineRule="exact"/>
                    <w:jc w:val="center"/>
                    <w:rPr>
                      <w:rFonts w:hint="eastAsia"/>
                      <w:bCs/>
                      <w:color w:val="FF0000"/>
                      <w:sz w:val="21"/>
                      <w:szCs w:val="21"/>
                    </w:rPr>
                  </w:pPr>
                </w:p>
              </w:tc>
              <w:tc>
                <w:tcPr>
                  <w:tcW w:w="398" w:type="pct"/>
                  <w:vMerge w:val="continue"/>
                  <w:noWrap w:val="0"/>
                  <w:vAlign w:val="center"/>
                </w:tcPr>
                <w:p w14:paraId="54EEBADD">
                  <w:pPr>
                    <w:spacing w:line="290" w:lineRule="exact"/>
                    <w:jc w:val="center"/>
                    <w:rPr>
                      <w:rFonts w:hint="eastAsia"/>
                      <w:color w:val="FF0000"/>
                      <w:sz w:val="21"/>
                      <w:szCs w:val="21"/>
                    </w:rPr>
                  </w:pPr>
                </w:p>
              </w:tc>
              <w:tc>
                <w:tcPr>
                  <w:tcW w:w="342" w:type="pct"/>
                  <w:vMerge w:val="continue"/>
                  <w:noWrap w:val="0"/>
                  <w:vAlign w:val="center"/>
                </w:tcPr>
                <w:p w14:paraId="27DAC0DB">
                  <w:pPr>
                    <w:spacing w:line="290" w:lineRule="exact"/>
                    <w:jc w:val="center"/>
                    <w:rPr>
                      <w:rFonts w:hint="eastAsia"/>
                      <w:color w:val="FF0000"/>
                      <w:sz w:val="21"/>
                      <w:szCs w:val="21"/>
                    </w:rPr>
                  </w:pPr>
                </w:p>
              </w:tc>
              <w:tc>
                <w:tcPr>
                  <w:tcW w:w="314" w:type="pct"/>
                  <w:vMerge w:val="continue"/>
                  <w:noWrap w:val="0"/>
                  <w:vAlign w:val="center"/>
                </w:tcPr>
                <w:p w14:paraId="4CDC2A2E">
                  <w:pPr>
                    <w:pStyle w:val="11"/>
                    <w:numPr>
                      <w:ilvl w:val="0"/>
                      <w:numId w:val="0"/>
                    </w:numPr>
                    <w:spacing w:line="290" w:lineRule="exact"/>
                    <w:jc w:val="center"/>
                    <w:rPr>
                      <w:rFonts w:hint="eastAsia"/>
                      <w:color w:val="FF0000"/>
                      <w:sz w:val="21"/>
                      <w:szCs w:val="21"/>
                    </w:rPr>
                  </w:pPr>
                </w:p>
              </w:tc>
              <w:tc>
                <w:tcPr>
                  <w:tcW w:w="220" w:type="pct"/>
                  <w:vMerge w:val="continue"/>
                  <w:noWrap w:val="0"/>
                  <w:vAlign w:val="center"/>
                </w:tcPr>
                <w:p w14:paraId="1D2358D3">
                  <w:pPr>
                    <w:pStyle w:val="11"/>
                    <w:numPr>
                      <w:ilvl w:val="0"/>
                      <w:numId w:val="0"/>
                    </w:numPr>
                    <w:spacing w:line="290" w:lineRule="exact"/>
                    <w:jc w:val="center"/>
                    <w:rPr>
                      <w:rFonts w:hint="eastAsia"/>
                      <w:color w:val="FF0000"/>
                      <w:spacing w:val="-11"/>
                      <w:sz w:val="21"/>
                      <w:szCs w:val="21"/>
                    </w:rPr>
                  </w:pPr>
                </w:p>
              </w:tc>
              <w:tc>
                <w:tcPr>
                  <w:tcW w:w="220" w:type="pct"/>
                  <w:vMerge w:val="continue"/>
                  <w:noWrap w:val="0"/>
                  <w:vAlign w:val="center"/>
                </w:tcPr>
                <w:p w14:paraId="51D82E13">
                  <w:pPr>
                    <w:pStyle w:val="11"/>
                    <w:numPr>
                      <w:ilvl w:val="0"/>
                      <w:numId w:val="0"/>
                    </w:numPr>
                    <w:spacing w:line="290" w:lineRule="exact"/>
                    <w:jc w:val="center"/>
                    <w:rPr>
                      <w:rFonts w:hint="eastAsia"/>
                      <w:color w:val="FF0000"/>
                      <w:spacing w:val="-11"/>
                      <w:sz w:val="21"/>
                      <w:szCs w:val="21"/>
                    </w:rPr>
                  </w:pPr>
                </w:p>
              </w:tc>
              <w:tc>
                <w:tcPr>
                  <w:tcW w:w="195" w:type="pct"/>
                  <w:vMerge w:val="continue"/>
                  <w:noWrap w:val="0"/>
                  <w:vAlign w:val="center"/>
                </w:tcPr>
                <w:p w14:paraId="226A93A1">
                  <w:pPr>
                    <w:pStyle w:val="11"/>
                    <w:numPr>
                      <w:ilvl w:val="0"/>
                      <w:numId w:val="0"/>
                    </w:numPr>
                    <w:spacing w:line="290" w:lineRule="exact"/>
                    <w:jc w:val="center"/>
                    <w:rPr>
                      <w:color w:val="FF0000"/>
                      <w:spacing w:val="-11"/>
                      <w:sz w:val="21"/>
                      <w:szCs w:val="21"/>
                    </w:rPr>
                  </w:pPr>
                </w:p>
              </w:tc>
              <w:tc>
                <w:tcPr>
                  <w:tcW w:w="186" w:type="pct"/>
                  <w:noWrap w:val="0"/>
                  <w:vAlign w:val="center"/>
                </w:tcPr>
                <w:p w14:paraId="68C60194">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北</w:t>
                  </w:r>
                </w:p>
              </w:tc>
              <w:tc>
                <w:tcPr>
                  <w:tcW w:w="259" w:type="pct"/>
                  <w:noWrap w:val="0"/>
                  <w:vAlign w:val="center"/>
                </w:tcPr>
                <w:p w14:paraId="64F18B13">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2</w:t>
                  </w:r>
                </w:p>
              </w:tc>
              <w:tc>
                <w:tcPr>
                  <w:tcW w:w="336" w:type="pct"/>
                  <w:noWrap w:val="0"/>
                  <w:vAlign w:val="center"/>
                </w:tcPr>
                <w:p w14:paraId="74DD36FB">
                  <w:pPr>
                    <w:pStyle w:val="11"/>
                    <w:numPr>
                      <w:ilvl w:val="0"/>
                      <w:numId w:val="0"/>
                    </w:numPr>
                    <w:spacing w:line="290" w:lineRule="exact"/>
                    <w:jc w:val="center"/>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72.9</w:t>
                  </w:r>
                </w:p>
              </w:tc>
              <w:tc>
                <w:tcPr>
                  <w:tcW w:w="289" w:type="pct"/>
                  <w:vMerge w:val="continue"/>
                  <w:noWrap w:val="0"/>
                  <w:vAlign w:val="center"/>
                </w:tcPr>
                <w:p w14:paraId="0B980AB2">
                  <w:pPr>
                    <w:pStyle w:val="11"/>
                    <w:numPr>
                      <w:ilvl w:val="0"/>
                      <w:numId w:val="0"/>
                    </w:numPr>
                    <w:spacing w:line="290" w:lineRule="exact"/>
                    <w:jc w:val="center"/>
                    <w:rPr>
                      <w:rFonts w:hint="eastAsia"/>
                      <w:color w:val="FF0000"/>
                      <w:sz w:val="21"/>
                      <w:szCs w:val="21"/>
                    </w:rPr>
                  </w:pPr>
                </w:p>
              </w:tc>
              <w:tc>
                <w:tcPr>
                  <w:tcW w:w="368" w:type="pct"/>
                  <w:vMerge w:val="continue"/>
                  <w:noWrap w:val="0"/>
                  <w:vAlign w:val="center"/>
                </w:tcPr>
                <w:p w14:paraId="175FC8F8">
                  <w:pPr>
                    <w:pStyle w:val="11"/>
                    <w:numPr>
                      <w:ilvl w:val="0"/>
                      <w:numId w:val="0"/>
                    </w:numPr>
                    <w:spacing w:line="290" w:lineRule="exact"/>
                    <w:jc w:val="center"/>
                    <w:rPr>
                      <w:rFonts w:hint="eastAsia"/>
                      <w:color w:val="FF0000"/>
                      <w:sz w:val="21"/>
                      <w:szCs w:val="21"/>
                    </w:rPr>
                  </w:pPr>
                </w:p>
              </w:tc>
              <w:tc>
                <w:tcPr>
                  <w:tcW w:w="340" w:type="pct"/>
                  <w:noWrap w:val="0"/>
                  <w:vAlign w:val="center"/>
                </w:tcPr>
                <w:p w14:paraId="0FC3293D">
                  <w:pPr>
                    <w:pStyle w:val="11"/>
                    <w:numPr>
                      <w:ilvl w:val="0"/>
                      <w:numId w:val="0"/>
                    </w:numPr>
                    <w:spacing w:line="290" w:lineRule="exact"/>
                    <w:ind w:left="0" w:leftChars="0" w:firstLine="0" w:firstLineChars="0"/>
                    <w:jc w:val="center"/>
                    <w:rPr>
                      <w:rFonts w:hint="eastAsia" w:ascii="Times New Roman" w:hAnsi="Times New Roman" w:eastAsia="宋体" w:cs="Times New Roman"/>
                      <w:color w:val="FF0000"/>
                      <w:kern w:val="2"/>
                      <w:sz w:val="21"/>
                      <w:szCs w:val="21"/>
                      <w:lang w:val="en-US" w:eastAsia="zh-CN" w:bidi="ar-SA"/>
                    </w:rPr>
                  </w:pPr>
                  <w:r>
                    <w:rPr>
                      <w:rFonts w:hint="eastAsia"/>
                      <w:color w:val="000000" w:themeColor="text1"/>
                      <w:sz w:val="21"/>
                      <w:szCs w:val="21"/>
                      <w:lang w:val="en-US" w:eastAsia="zh-CN"/>
                      <w14:textFill>
                        <w14:solidFill>
                          <w14:schemeClr w14:val="tx1"/>
                        </w14:solidFill>
                      </w14:textFill>
                    </w:rPr>
                    <w:t>52.9</w:t>
                  </w:r>
                </w:p>
              </w:tc>
              <w:tc>
                <w:tcPr>
                  <w:tcW w:w="317" w:type="pct"/>
                  <w:noWrap w:val="0"/>
                  <w:vAlign w:val="center"/>
                </w:tcPr>
                <w:p w14:paraId="687FC5DD">
                  <w:pPr>
                    <w:pStyle w:val="11"/>
                    <w:numPr>
                      <w:ilvl w:val="0"/>
                      <w:numId w:val="0"/>
                    </w:numPr>
                    <w:spacing w:line="290" w:lineRule="exact"/>
                    <w:jc w:val="center"/>
                    <w:rPr>
                      <w:rFonts w:hint="eastAsia"/>
                      <w:color w:val="FF0000"/>
                      <w:sz w:val="21"/>
                      <w:szCs w:val="21"/>
                    </w:rPr>
                  </w:pPr>
                </w:p>
              </w:tc>
            </w:tr>
          </w:tbl>
          <w:p w14:paraId="67619026">
            <w:pPr>
              <w:pStyle w:val="44"/>
              <w:spacing w:after="0" w:line="360" w:lineRule="exact"/>
              <w:rPr>
                <w:rFonts w:hint="default" w:eastAsia="宋体"/>
                <w:color w:val="auto"/>
                <w:lang w:val="en-US" w:eastAsia="zh-CN"/>
              </w:rPr>
            </w:pPr>
            <w:r>
              <w:rPr>
                <w:rFonts w:hint="eastAsia"/>
                <w:color w:val="auto"/>
                <w:lang w:val="en-US" w:eastAsia="zh-CN"/>
              </w:rPr>
              <w:t>注：以生产车间西南角为原点，本项目室外部声源。</w:t>
            </w:r>
          </w:p>
          <w:p w14:paraId="53B34097">
            <w:pPr>
              <w:pStyle w:val="44"/>
              <w:spacing w:after="0" w:line="360" w:lineRule="exact"/>
              <w:rPr>
                <w:color w:val="auto"/>
              </w:rPr>
            </w:pPr>
          </w:p>
          <w:p w14:paraId="61E592A2">
            <w:pPr>
              <w:pStyle w:val="44"/>
              <w:spacing w:after="0" w:line="360" w:lineRule="exact"/>
              <w:rPr>
                <w:color w:val="auto"/>
              </w:rPr>
            </w:pPr>
          </w:p>
          <w:p w14:paraId="0B55A924">
            <w:pPr>
              <w:pStyle w:val="44"/>
              <w:spacing w:after="0" w:line="360" w:lineRule="exact"/>
              <w:rPr>
                <w:color w:val="auto"/>
              </w:rPr>
            </w:pPr>
          </w:p>
          <w:p w14:paraId="06C07027">
            <w:pPr>
              <w:pStyle w:val="44"/>
              <w:spacing w:after="0" w:line="360" w:lineRule="exact"/>
              <w:rPr>
                <w:color w:val="auto"/>
              </w:rPr>
            </w:pPr>
          </w:p>
          <w:p w14:paraId="38F6C322">
            <w:pPr>
              <w:pStyle w:val="44"/>
              <w:spacing w:after="0" w:line="360" w:lineRule="exact"/>
              <w:rPr>
                <w:color w:val="auto"/>
              </w:rPr>
            </w:pPr>
          </w:p>
          <w:p w14:paraId="5267C69E">
            <w:pPr>
              <w:pStyle w:val="44"/>
              <w:spacing w:after="0" w:line="360" w:lineRule="exact"/>
              <w:rPr>
                <w:color w:val="auto"/>
              </w:rPr>
            </w:pPr>
          </w:p>
          <w:p w14:paraId="6B205D0A">
            <w:pPr>
              <w:pStyle w:val="44"/>
              <w:spacing w:after="0" w:line="360" w:lineRule="exact"/>
              <w:rPr>
                <w:color w:val="auto"/>
              </w:rPr>
            </w:pPr>
          </w:p>
          <w:p w14:paraId="518580D7">
            <w:pPr>
              <w:pStyle w:val="44"/>
              <w:spacing w:after="0" w:line="360" w:lineRule="exact"/>
              <w:rPr>
                <w:color w:val="auto"/>
              </w:rPr>
            </w:pPr>
          </w:p>
        </w:tc>
      </w:tr>
    </w:tbl>
    <w:p w14:paraId="7403BC41">
      <w:pPr>
        <w:pStyle w:val="44"/>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8479"/>
      </w:tblGrid>
      <w:tr w14:paraId="52C1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noWrap w:val="0"/>
            <w:vAlign w:val="center"/>
          </w:tcPr>
          <w:p w14:paraId="02B872D3">
            <w:pPr>
              <w:adjustRightInd w:val="0"/>
              <w:snapToGrid w:val="0"/>
              <w:jc w:val="center"/>
              <w:rPr>
                <w:bCs/>
                <w:color w:val="auto"/>
                <w:sz w:val="24"/>
                <w:szCs w:val="24"/>
              </w:rPr>
            </w:pPr>
            <w:r>
              <w:rPr>
                <w:bCs/>
                <w:color w:val="auto"/>
                <w:sz w:val="24"/>
                <w:szCs w:val="24"/>
              </w:rPr>
              <w:t>运营</w:t>
            </w:r>
          </w:p>
          <w:p w14:paraId="2D7DEC9A">
            <w:pPr>
              <w:adjustRightInd w:val="0"/>
              <w:snapToGrid w:val="0"/>
              <w:jc w:val="center"/>
              <w:rPr>
                <w:bCs/>
                <w:color w:val="auto"/>
                <w:sz w:val="24"/>
                <w:szCs w:val="24"/>
              </w:rPr>
            </w:pPr>
            <w:r>
              <w:rPr>
                <w:bCs/>
                <w:color w:val="auto"/>
                <w:sz w:val="24"/>
                <w:szCs w:val="24"/>
              </w:rPr>
              <w:t>期环</w:t>
            </w:r>
          </w:p>
          <w:p w14:paraId="0EBADE21">
            <w:pPr>
              <w:adjustRightInd w:val="0"/>
              <w:snapToGrid w:val="0"/>
              <w:jc w:val="center"/>
              <w:rPr>
                <w:bCs/>
                <w:color w:val="auto"/>
                <w:sz w:val="24"/>
                <w:szCs w:val="24"/>
              </w:rPr>
            </w:pPr>
            <w:r>
              <w:rPr>
                <w:bCs/>
                <w:color w:val="auto"/>
                <w:sz w:val="24"/>
                <w:szCs w:val="24"/>
              </w:rPr>
              <w:t>境影</w:t>
            </w:r>
          </w:p>
          <w:p w14:paraId="1F596FFC">
            <w:pPr>
              <w:adjustRightInd w:val="0"/>
              <w:snapToGrid w:val="0"/>
              <w:jc w:val="center"/>
              <w:rPr>
                <w:bCs/>
                <w:color w:val="auto"/>
                <w:sz w:val="24"/>
                <w:szCs w:val="24"/>
              </w:rPr>
            </w:pPr>
            <w:r>
              <w:rPr>
                <w:bCs/>
                <w:color w:val="auto"/>
                <w:sz w:val="24"/>
                <w:szCs w:val="24"/>
              </w:rPr>
              <w:t>响和</w:t>
            </w:r>
          </w:p>
          <w:p w14:paraId="0D3BB46B">
            <w:pPr>
              <w:adjustRightInd w:val="0"/>
              <w:snapToGrid w:val="0"/>
              <w:jc w:val="center"/>
              <w:rPr>
                <w:bCs/>
                <w:color w:val="auto"/>
                <w:sz w:val="24"/>
                <w:szCs w:val="24"/>
              </w:rPr>
            </w:pPr>
            <w:r>
              <w:rPr>
                <w:bCs/>
                <w:color w:val="auto"/>
                <w:sz w:val="24"/>
                <w:szCs w:val="24"/>
              </w:rPr>
              <w:t>保护</w:t>
            </w:r>
          </w:p>
          <w:p w14:paraId="6582A6A8">
            <w:pPr>
              <w:pStyle w:val="44"/>
              <w:spacing w:after="0" w:line="360" w:lineRule="exact"/>
              <w:jc w:val="center"/>
              <w:rPr>
                <w:color w:val="auto"/>
                <w:sz w:val="24"/>
                <w:szCs w:val="24"/>
              </w:rPr>
            </w:pPr>
            <w:r>
              <w:rPr>
                <w:bCs/>
                <w:color w:val="auto"/>
                <w:sz w:val="24"/>
                <w:szCs w:val="24"/>
              </w:rPr>
              <w:t>措施</w:t>
            </w:r>
          </w:p>
        </w:tc>
        <w:tc>
          <w:tcPr>
            <w:tcW w:w="8479" w:type="dxa"/>
            <w:noWrap w:val="0"/>
            <w:vAlign w:val="center"/>
          </w:tcPr>
          <w:p w14:paraId="56CD6F95">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r>
              <w:rPr>
                <w:b/>
                <w:bCs/>
                <w:color w:val="auto"/>
                <w:sz w:val="24"/>
                <w:szCs w:val="24"/>
              </w:rPr>
              <w:t>3.2噪声防治措施</w:t>
            </w:r>
          </w:p>
          <w:p w14:paraId="6137B928">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color w:val="auto"/>
                <w:spacing w:val="-6"/>
                <w:sz w:val="24"/>
                <w:szCs w:val="24"/>
              </w:rPr>
            </w:pPr>
            <w:r>
              <w:rPr>
                <w:color w:val="auto"/>
                <w:spacing w:val="-6"/>
                <w:sz w:val="24"/>
                <w:szCs w:val="24"/>
              </w:rPr>
              <w:t>针对不同类别的噪声，本项目拟采取以下措施：</w:t>
            </w:r>
          </w:p>
          <w:p w14:paraId="74E92196">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color w:val="auto"/>
                <w:spacing w:val="-6"/>
                <w:sz w:val="24"/>
                <w:szCs w:val="24"/>
              </w:rPr>
            </w:pPr>
            <w:r>
              <w:rPr>
                <w:color w:val="auto"/>
                <w:spacing w:val="-6"/>
                <w:sz w:val="24"/>
                <w:szCs w:val="24"/>
              </w:rPr>
              <w:t>（1）首先考虑选用低噪声设备，并按照工业设备安装的有关规范进行安装，在源头上控制噪声污染；</w:t>
            </w:r>
          </w:p>
          <w:p w14:paraId="2D504F30">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color w:val="auto"/>
                <w:spacing w:val="-6"/>
                <w:sz w:val="24"/>
                <w:szCs w:val="24"/>
              </w:rPr>
            </w:pPr>
            <w:r>
              <w:rPr>
                <w:color w:val="auto"/>
                <w:spacing w:val="-6"/>
                <w:sz w:val="24"/>
                <w:szCs w:val="24"/>
              </w:rPr>
              <w:t>（2）项目各类生产设备均布置在车间内，针对较大的设备噪声源，可通过对设备安装减振座、加设减振垫等方式来进行减振处理，同时通过车间隔声可有效的减轻设备噪声影响；</w:t>
            </w:r>
          </w:p>
          <w:p w14:paraId="49618CEB">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color w:val="auto"/>
                <w:spacing w:val="-6"/>
                <w:sz w:val="24"/>
                <w:szCs w:val="24"/>
              </w:rPr>
            </w:pPr>
            <w:r>
              <w:rPr>
                <w:color w:val="auto"/>
                <w:spacing w:val="-6"/>
                <w:sz w:val="24"/>
                <w:szCs w:val="24"/>
              </w:rPr>
              <w:t>（3）对废气处理设备配套的风机可以在风机风口安装消声器和隔声罩，平时对这类动力设备注意维护，防止其故障时噪声排放；</w:t>
            </w:r>
          </w:p>
          <w:p w14:paraId="54056140">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color w:val="auto"/>
                <w:spacing w:val="-6"/>
                <w:sz w:val="24"/>
                <w:szCs w:val="24"/>
              </w:rPr>
            </w:pPr>
            <w:r>
              <w:rPr>
                <w:color w:val="auto"/>
                <w:spacing w:val="-6"/>
                <w:sz w:val="24"/>
                <w:szCs w:val="24"/>
              </w:rPr>
              <w:t>（4）保持设备处于良好的运转状态，防止因设备运转不正常而增大噪声，要经常进行保养，减少</w:t>
            </w:r>
            <w:r>
              <w:rPr>
                <w:rFonts w:hint="eastAsia"/>
                <w:color w:val="auto"/>
                <w:spacing w:val="-6"/>
                <w:sz w:val="24"/>
                <w:szCs w:val="24"/>
                <w:lang w:val="en-US" w:eastAsia="zh-CN"/>
              </w:rPr>
              <w:t>摩擦</w:t>
            </w:r>
            <w:r>
              <w:rPr>
                <w:color w:val="auto"/>
                <w:spacing w:val="-6"/>
                <w:sz w:val="24"/>
                <w:szCs w:val="24"/>
              </w:rPr>
              <w:t>力，降低噪声；</w:t>
            </w:r>
          </w:p>
          <w:p w14:paraId="38D99B10">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color w:val="auto"/>
                <w:spacing w:val="-6"/>
                <w:sz w:val="24"/>
                <w:szCs w:val="24"/>
              </w:rPr>
            </w:pPr>
            <w:r>
              <w:rPr>
                <w:color w:val="auto"/>
                <w:spacing w:val="-6"/>
                <w:sz w:val="24"/>
                <w:szCs w:val="24"/>
              </w:rPr>
              <w:t>（5）总图合理布局，在满足工艺要求的前提下，考虑将高噪声设备集中布置，在总平面布置时做到远离厂界以减少高噪声源对厂界外环境的影响；同时设计中，尽量做到高噪声车间与非噪声产生的工作场所闹静分开；</w:t>
            </w:r>
          </w:p>
          <w:p w14:paraId="4BF2EFFE">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r>
              <w:rPr>
                <w:b/>
                <w:bCs/>
                <w:color w:val="auto"/>
                <w:sz w:val="24"/>
                <w:szCs w:val="24"/>
              </w:rPr>
              <w:t>3.3厂界达标性分析</w:t>
            </w:r>
          </w:p>
          <w:p w14:paraId="01BC4C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噪声预测采用HJ2.4-2021附录B典型行业噪声预测模型。</w:t>
            </w:r>
          </w:p>
          <w:p w14:paraId="0CB6B7E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（1）室外声源</w:t>
            </w:r>
          </w:p>
          <w:p w14:paraId="59B9780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户外声传播衰减包括几何发散（A</w:t>
            </w:r>
            <w:r>
              <w:rPr>
                <w:color w:val="auto"/>
                <w:sz w:val="24"/>
                <w:szCs w:val="24"/>
                <w:vertAlign w:val="subscript"/>
              </w:rPr>
              <w:t>div</w:t>
            </w:r>
            <w:r>
              <w:rPr>
                <w:color w:val="auto"/>
                <w:sz w:val="24"/>
                <w:szCs w:val="24"/>
              </w:rPr>
              <w:t>）、大气吸收（A</w:t>
            </w:r>
            <w:r>
              <w:rPr>
                <w:color w:val="auto"/>
                <w:sz w:val="24"/>
                <w:szCs w:val="24"/>
                <w:vertAlign w:val="subscript"/>
              </w:rPr>
              <w:t>atm</w:t>
            </w:r>
            <w:r>
              <w:rPr>
                <w:color w:val="auto"/>
                <w:sz w:val="24"/>
                <w:szCs w:val="24"/>
              </w:rPr>
              <w:t>）、地面效应（A</w:t>
            </w:r>
            <w:r>
              <w:rPr>
                <w:color w:val="auto"/>
                <w:sz w:val="24"/>
                <w:szCs w:val="24"/>
                <w:vertAlign w:val="subscript"/>
              </w:rPr>
              <w:t>gr</w:t>
            </w:r>
            <w:r>
              <w:rPr>
                <w:color w:val="auto"/>
                <w:sz w:val="24"/>
                <w:szCs w:val="24"/>
              </w:rPr>
              <w:t>）、障碍物屏蔽（A</w:t>
            </w:r>
            <w:r>
              <w:rPr>
                <w:color w:val="auto"/>
                <w:sz w:val="24"/>
                <w:szCs w:val="24"/>
                <w:vertAlign w:val="subscript"/>
              </w:rPr>
              <w:t>bar</w:t>
            </w:r>
            <w:r>
              <w:rPr>
                <w:color w:val="auto"/>
                <w:sz w:val="24"/>
                <w:szCs w:val="24"/>
              </w:rPr>
              <w:t>）、其他多方面效应（A</w:t>
            </w:r>
            <w:r>
              <w:rPr>
                <w:color w:val="auto"/>
                <w:sz w:val="24"/>
                <w:szCs w:val="24"/>
                <w:vertAlign w:val="subscript"/>
              </w:rPr>
              <w:t>misc</w:t>
            </w:r>
            <w:r>
              <w:rPr>
                <w:color w:val="auto"/>
                <w:sz w:val="24"/>
                <w:szCs w:val="24"/>
              </w:rPr>
              <w:t xml:space="preserve">）引起的衰减。 </w:t>
            </w:r>
          </w:p>
          <w:p w14:paraId="3CDAC60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auto"/>
                <w:sz w:val="24"/>
                <w:szCs w:val="24"/>
                <w:lang w:eastAsia="zh-CN"/>
              </w:rPr>
            </w:pPr>
            <w:r>
              <w:rPr>
                <w:color w:val="auto"/>
                <w:sz w:val="24"/>
                <w:szCs w:val="24"/>
              </w:rPr>
              <w:t>a）在环境影响评价中，应根据声源声功率级或参考位置处的声压级、户外声传播衰减，计算预测点的声级，分别按式（A.1）或式（A.2）计算。</w:t>
            </w:r>
          </w:p>
          <w:p w14:paraId="1DD66F4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color w:val="auto"/>
                <w:sz w:val="24"/>
                <w:szCs w:val="24"/>
              </w:rPr>
            </w:pPr>
            <w:r>
              <w:rPr>
                <w:color w:val="auto"/>
                <w:sz w:val="24"/>
                <w:szCs w:val="24"/>
              </w:rPr>
              <w:t>L</w:t>
            </w:r>
            <w:r>
              <w:rPr>
                <w:color w:val="auto"/>
                <w:sz w:val="24"/>
                <w:szCs w:val="24"/>
                <w:vertAlign w:val="subscript"/>
              </w:rPr>
              <w:t>p</w:t>
            </w:r>
            <w:r>
              <w:rPr>
                <w:color w:val="auto"/>
                <w:sz w:val="24"/>
                <w:szCs w:val="24"/>
              </w:rPr>
              <w:t>(r)＝L</w:t>
            </w:r>
            <w:r>
              <w:rPr>
                <w:color w:val="auto"/>
                <w:sz w:val="24"/>
                <w:szCs w:val="24"/>
                <w:vertAlign w:val="subscript"/>
              </w:rPr>
              <w:t>w</w:t>
            </w:r>
            <w:r>
              <w:rPr>
                <w:color w:val="auto"/>
                <w:sz w:val="24"/>
                <w:szCs w:val="24"/>
              </w:rPr>
              <w:t>+D</w:t>
            </w:r>
            <w:r>
              <w:rPr>
                <w:color w:val="auto"/>
                <w:sz w:val="24"/>
                <w:szCs w:val="24"/>
                <w:vertAlign w:val="subscript"/>
              </w:rPr>
              <w:t>C</w:t>
            </w:r>
            <w:r>
              <w:rPr>
                <w:color w:val="auto"/>
                <w:sz w:val="24"/>
                <w:szCs w:val="24"/>
              </w:rPr>
              <w:t>－(A</w:t>
            </w:r>
            <w:r>
              <w:rPr>
                <w:color w:val="auto"/>
                <w:sz w:val="24"/>
                <w:szCs w:val="24"/>
                <w:vertAlign w:val="subscript"/>
              </w:rPr>
              <w:t>div</w:t>
            </w:r>
            <w:r>
              <w:rPr>
                <w:color w:val="auto"/>
                <w:sz w:val="24"/>
                <w:szCs w:val="24"/>
              </w:rPr>
              <w:t>＋A</w:t>
            </w:r>
            <w:r>
              <w:rPr>
                <w:color w:val="auto"/>
                <w:sz w:val="24"/>
                <w:szCs w:val="24"/>
                <w:vertAlign w:val="subscript"/>
              </w:rPr>
              <w:t>atm</w:t>
            </w:r>
            <w:r>
              <w:rPr>
                <w:color w:val="auto"/>
                <w:sz w:val="24"/>
                <w:szCs w:val="24"/>
              </w:rPr>
              <w:t>＋A</w:t>
            </w:r>
            <w:r>
              <w:rPr>
                <w:color w:val="auto"/>
                <w:sz w:val="24"/>
                <w:szCs w:val="24"/>
                <w:vertAlign w:val="subscript"/>
              </w:rPr>
              <w:t>gr</w:t>
            </w:r>
            <w:r>
              <w:rPr>
                <w:color w:val="auto"/>
                <w:sz w:val="24"/>
                <w:szCs w:val="24"/>
              </w:rPr>
              <w:t>＋A</w:t>
            </w:r>
            <w:r>
              <w:rPr>
                <w:color w:val="auto"/>
                <w:sz w:val="24"/>
                <w:szCs w:val="24"/>
                <w:vertAlign w:val="subscript"/>
              </w:rPr>
              <w:t>bar</w:t>
            </w:r>
            <w:r>
              <w:rPr>
                <w:color w:val="auto"/>
                <w:sz w:val="24"/>
                <w:szCs w:val="24"/>
              </w:rPr>
              <w:t>＋A</w:t>
            </w:r>
            <w:r>
              <w:rPr>
                <w:color w:val="auto"/>
                <w:sz w:val="24"/>
                <w:szCs w:val="24"/>
                <w:vertAlign w:val="subscript"/>
              </w:rPr>
              <w:t>misc</w:t>
            </w:r>
            <w:r>
              <w:rPr>
                <w:color w:val="auto"/>
                <w:sz w:val="24"/>
                <w:szCs w:val="24"/>
              </w:rPr>
              <w:t>)         （A.1）</w:t>
            </w:r>
          </w:p>
          <w:p w14:paraId="6FFAC0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式中：L</w:t>
            </w:r>
            <w:r>
              <w:rPr>
                <w:color w:val="auto"/>
                <w:sz w:val="24"/>
                <w:szCs w:val="24"/>
                <w:vertAlign w:val="subscript"/>
              </w:rPr>
              <w:t>p</w:t>
            </w:r>
            <w:r>
              <w:rPr>
                <w:color w:val="auto"/>
                <w:sz w:val="24"/>
                <w:szCs w:val="24"/>
              </w:rPr>
              <w:t>(r) ——预测点处声压级，dB；</w:t>
            </w:r>
          </w:p>
          <w:p w14:paraId="654CF9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L</w:t>
            </w:r>
            <w:r>
              <w:rPr>
                <w:color w:val="auto"/>
                <w:sz w:val="24"/>
                <w:szCs w:val="24"/>
                <w:vertAlign w:val="subscript"/>
              </w:rPr>
              <w:t>w</w:t>
            </w:r>
            <w:r>
              <w:rPr>
                <w:color w:val="auto"/>
                <w:sz w:val="24"/>
                <w:szCs w:val="24"/>
              </w:rPr>
              <w:t xml:space="preserve"> ——由点声源产生的声功率级（A计权或倍频带），dB； </w:t>
            </w:r>
          </w:p>
          <w:p w14:paraId="430C141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D</w:t>
            </w:r>
            <w:r>
              <w:rPr>
                <w:color w:val="auto"/>
                <w:sz w:val="24"/>
                <w:szCs w:val="24"/>
                <w:vertAlign w:val="subscript"/>
              </w:rPr>
              <w:t>C</w:t>
            </w:r>
            <w:r>
              <w:rPr>
                <w:color w:val="auto"/>
                <w:sz w:val="24"/>
                <w:szCs w:val="24"/>
              </w:rPr>
              <w:t xml:space="preserve"> ——指向性校正，它描述点声源的等效连续声压级与产生声功率级Lw的全向点声源在规定方向的声级的偏差程度，dB； </w:t>
            </w:r>
          </w:p>
          <w:p w14:paraId="45D9233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div</w:t>
            </w:r>
            <w:r>
              <w:rPr>
                <w:color w:val="auto"/>
                <w:sz w:val="24"/>
                <w:szCs w:val="24"/>
              </w:rPr>
              <w:t xml:space="preserve"> ——几何发散引起的衰减，dB； </w:t>
            </w:r>
          </w:p>
          <w:p w14:paraId="097DD21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atm</w:t>
            </w:r>
            <w:r>
              <w:rPr>
                <w:color w:val="auto"/>
                <w:sz w:val="24"/>
                <w:szCs w:val="24"/>
              </w:rPr>
              <w:t xml:space="preserve"> ——大气吸收引起的衰减，dB； </w:t>
            </w:r>
          </w:p>
          <w:p w14:paraId="46C7D83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gr</w:t>
            </w:r>
            <w:r>
              <w:rPr>
                <w:color w:val="auto"/>
                <w:sz w:val="24"/>
                <w:szCs w:val="24"/>
              </w:rPr>
              <w:t xml:space="preserve"> ——地面效应引起的衰减，dB； </w:t>
            </w:r>
          </w:p>
          <w:p w14:paraId="6DA92CD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bar</w:t>
            </w:r>
            <w:r>
              <w:rPr>
                <w:color w:val="auto"/>
                <w:sz w:val="24"/>
                <w:szCs w:val="24"/>
              </w:rPr>
              <w:t xml:space="preserve"> ——障碍物屏蔽引起的衰减，dB； </w:t>
            </w:r>
          </w:p>
          <w:p w14:paraId="2F31712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misc</w:t>
            </w:r>
            <w:r>
              <w:rPr>
                <w:color w:val="auto"/>
                <w:sz w:val="24"/>
                <w:szCs w:val="24"/>
              </w:rPr>
              <w:t xml:space="preserve"> ——其他多方面效应引起的衰减，dB。 </w:t>
            </w:r>
          </w:p>
          <w:p w14:paraId="6243F2C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color w:val="auto"/>
                <w:sz w:val="24"/>
                <w:szCs w:val="24"/>
              </w:rPr>
            </w:pPr>
            <w:r>
              <w:rPr>
                <w:color w:val="auto"/>
                <w:sz w:val="24"/>
                <w:szCs w:val="24"/>
              </w:rPr>
              <w:t>Lp(r)＝Lp(r0)+DC－(Adiv＋Aatm＋Agr＋Abar＋Amisc)    （A.2）</w:t>
            </w:r>
          </w:p>
          <w:p w14:paraId="3EA0A4B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式中：L</w:t>
            </w:r>
            <w:r>
              <w:rPr>
                <w:color w:val="auto"/>
                <w:sz w:val="24"/>
                <w:szCs w:val="24"/>
                <w:vertAlign w:val="subscript"/>
              </w:rPr>
              <w:t>p</w:t>
            </w:r>
            <w:r>
              <w:rPr>
                <w:color w:val="auto"/>
                <w:sz w:val="24"/>
                <w:szCs w:val="24"/>
              </w:rPr>
              <w:t xml:space="preserve">(r) ——预测点处声压级，dB； </w:t>
            </w:r>
          </w:p>
          <w:p w14:paraId="3E1E39F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L</w:t>
            </w:r>
            <w:r>
              <w:rPr>
                <w:color w:val="auto"/>
                <w:sz w:val="24"/>
                <w:szCs w:val="24"/>
                <w:vertAlign w:val="subscript"/>
              </w:rPr>
              <w:t>p</w:t>
            </w:r>
            <w:r>
              <w:rPr>
                <w:color w:val="auto"/>
                <w:sz w:val="24"/>
                <w:szCs w:val="24"/>
              </w:rPr>
              <w:t xml:space="preserve">(r0) ——参考位置r0处的声压级，dB； </w:t>
            </w:r>
          </w:p>
          <w:p w14:paraId="6AB0E15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D</w:t>
            </w:r>
            <w:r>
              <w:rPr>
                <w:color w:val="auto"/>
                <w:sz w:val="24"/>
                <w:szCs w:val="24"/>
                <w:vertAlign w:val="subscript"/>
              </w:rPr>
              <w:t>C</w:t>
            </w:r>
            <w:r>
              <w:rPr>
                <w:color w:val="auto"/>
                <w:sz w:val="24"/>
                <w:szCs w:val="24"/>
              </w:rPr>
              <w:t xml:space="preserve"> ——指向性校正，它描述点声源的等效连续声压级与产生声功率级L</w:t>
            </w:r>
            <w:r>
              <w:rPr>
                <w:color w:val="auto"/>
                <w:sz w:val="24"/>
                <w:szCs w:val="24"/>
                <w:vertAlign w:val="subscript"/>
              </w:rPr>
              <w:t>w</w:t>
            </w:r>
            <w:r>
              <w:rPr>
                <w:color w:val="auto"/>
                <w:sz w:val="24"/>
                <w:szCs w:val="24"/>
              </w:rPr>
              <w:t xml:space="preserve">的全向点声源在规定方向的声级的偏差程度，dB； </w:t>
            </w:r>
          </w:p>
          <w:p w14:paraId="1CDCCBE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 xml:space="preserve">div </w:t>
            </w:r>
            <w:r>
              <w:rPr>
                <w:color w:val="auto"/>
                <w:sz w:val="24"/>
                <w:szCs w:val="24"/>
              </w:rPr>
              <w:t xml:space="preserve">——几何发散引起的衰减，dB； </w:t>
            </w:r>
          </w:p>
          <w:p w14:paraId="68DADBE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atm</w:t>
            </w:r>
            <w:r>
              <w:rPr>
                <w:color w:val="auto"/>
                <w:sz w:val="24"/>
                <w:szCs w:val="24"/>
              </w:rPr>
              <w:t xml:space="preserve"> ——大气吸收引起的衰减，dB； </w:t>
            </w:r>
          </w:p>
          <w:p w14:paraId="39B5D7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gr</w:t>
            </w:r>
            <w:r>
              <w:rPr>
                <w:color w:val="auto"/>
                <w:sz w:val="24"/>
                <w:szCs w:val="24"/>
              </w:rPr>
              <w:t xml:space="preserve"> ——地面效应引起的衰减，dB； </w:t>
            </w:r>
          </w:p>
          <w:p w14:paraId="6B6621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bar</w:t>
            </w:r>
            <w:r>
              <w:rPr>
                <w:color w:val="auto"/>
                <w:sz w:val="24"/>
                <w:szCs w:val="24"/>
              </w:rPr>
              <w:t xml:space="preserve"> ——障碍物屏蔽引起的衰减，dB； </w:t>
            </w:r>
          </w:p>
          <w:p w14:paraId="765E9AB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A</w:t>
            </w:r>
            <w:r>
              <w:rPr>
                <w:color w:val="auto"/>
                <w:sz w:val="24"/>
                <w:szCs w:val="24"/>
                <w:vertAlign w:val="subscript"/>
              </w:rPr>
              <w:t>misc</w:t>
            </w:r>
            <w:r>
              <w:rPr>
                <w:color w:val="auto"/>
                <w:sz w:val="24"/>
                <w:szCs w:val="24"/>
              </w:rPr>
              <w:t xml:space="preserve"> ——其他多方面效应引起的衰减，dB。 </w:t>
            </w:r>
          </w:p>
          <w:p w14:paraId="613290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（2）室内点声源</w:t>
            </w:r>
          </w:p>
          <w:p w14:paraId="165126B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室内声源等效室外声源声功率级计算方法可按下式计算某一室内声源靠近围护结构处产生的倍频带声压级或A声级。</w:t>
            </w:r>
          </w:p>
          <w:p w14:paraId="2D43735B">
            <w:pPr>
              <w:pStyle w:val="7"/>
            </w:pPr>
          </w:p>
          <w:p w14:paraId="6ED3BFD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auto"/>
                <w:sz w:val="24"/>
                <w:szCs w:val="24"/>
              </w:rPr>
            </w:pPr>
            <w:r>
              <w:rPr>
                <w:color w:val="auto"/>
                <w:sz w:val="24"/>
                <w:szCs w:val="24"/>
              </w:rPr>
              <w:object>
                <v:shape id="_x0000_i1028" o:spt="75" type="#_x0000_t75" style="height:34pt;width:137pt;" o:ole="t" filled="f" o:preferrelative="t" stroked="f" coordsize="21600,21600">
                  <v:path/>
                  <v:fill on="f" focussize="0,0"/>
                  <v:stroke on="f"/>
                  <v:imagedata r:id="rId21" o:title=""/>
                  <o:lock v:ext="edit" aspectratio="t"/>
                  <w10:wrap type="none"/>
                  <w10:anchorlock/>
                </v:shape>
                <o:OLEObject Type="Embed" ProgID="Equation.DSMT4" ShapeID="_x0000_i1028" DrawAspect="Content" ObjectID="_1468075728" r:id="rId20">
                  <o:LockedField>false</o:LockedField>
                </o:OLEObject>
              </w:object>
            </w:r>
            <w:r>
              <w:rPr>
                <w:color w:val="auto"/>
                <w:sz w:val="24"/>
                <w:szCs w:val="24"/>
              </w:rPr>
              <w:t xml:space="preserve">       （B.2）</w:t>
            </w:r>
          </w:p>
          <w:p w14:paraId="74054FB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式中：L</w:t>
            </w:r>
            <w:r>
              <w:rPr>
                <w:color w:val="auto"/>
                <w:sz w:val="24"/>
                <w:szCs w:val="24"/>
                <w:vertAlign w:val="subscript"/>
              </w:rPr>
              <w:t>p1</w:t>
            </w:r>
            <w:r>
              <w:rPr>
                <w:color w:val="auto"/>
                <w:sz w:val="24"/>
                <w:szCs w:val="24"/>
              </w:rPr>
              <w:t xml:space="preserve">——靠近开口处（或窗户）室内某倍频带的声压级或A声级，dB； </w:t>
            </w:r>
          </w:p>
          <w:p w14:paraId="7B9DBD1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L</w:t>
            </w:r>
            <w:r>
              <w:rPr>
                <w:color w:val="auto"/>
                <w:sz w:val="24"/>
                <w:szCs w:val="24"/>
                <w:vertAlign w:val="subscript"/>
              </w:rPr>
              <w:t>w</w:t>
            </w:r>
            <w:r>
              <w:rPr>
                <w:color w:val="auto"/>
                <w:sz w:val="24"/>
                <w:szCs w:val="24"/>
              </w:rPr>
              <w:t xml:space="preserve"> ——点声源声功率级（A 计权或倍频带），dB； </w:t>
            </w:r>
          </w:p>
          <w:p w14:paraId="36CF300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 xml:space="preserve">Q——指向性因数；通常对无指向性声源，当声源放在房间中心时，Q=1；当放在一面墙的中心时，Q=2；当放在两面墙夹角处时，Q=4；当放在三面墙夹角处时，Q=8； </w:t>
            </w:r>
          </w:p>
          <w:p w14:paraId="69722AD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R——房间常数；R=Sa/（1-α），S为房间内表面面积，m</w:t>
            </w:r>
            <w:r>
              <w:rPr>
                <w:color w:val="auto"/>
                <w:sz w:val="24"/>
                <w:szCs w:val="24"/>
                <w:vertAlign w:val="superscript"/>
              </w:rPr>
              <w:t>2</w:t>
            </w:r>
            <w:r>
              <w:rPr>
                <w:color w:val="auto"/>
                <w:sz w:val="24"/>
                <w:szCs w:val="24"/>
              </w:rPr>
              <w:t>；α为平均吸声系数；</w:t>
            </w:r>
          </w:p>
          <w:p w14:paraId="7C88D57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 xml:space="preserve">r ——声源到靠近围护结构某点处的距离，m。 </w:t>
            </w:r>
          </w:p>
          <w:p w14:paraId="5FF7C0F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然后按式（B.3）计算出所有室内声源在围护结构处产生的i倍频带叠加声压级：</w:t>
            </w:r>
          </w:p>
          <w:p w14:paraId="7C51015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auto"/>
                <w:sz w:val="24"/>
                <w:szCs w:val="24"/>
              </w:rPr>
            </w:pPr>
            <w:r>
              <w:rPr>
                <w:color w:val="auto"/>
                <w:sz w:val="24"/>
                <w:szCs w:val="24"/>
              </w:rPr>
              <w:object>
                <v:shape id="_x0000_i1029" o:spt="75" type="#_x0000_t75" style="height:38pt;width:135pt;" o:ole="t" filled="f" o:preferrelative="t" stroked="f" coordsize="21600,21600">
                  <v:path/>
                  <v:fill on="f" focussize="0,0"/>
                  <v:stroke on="f"/>
                  <v:imagedata r:id="rId23" o:title=""/>
                  <o:lock v:ext="edit" grouping="f" rotation="f" text="f" aspectratio="t"/>
                  <w10:wrap type="none"/>
                  <w10:anchorlock/>
                </v:shape>
                <o:OLEObject Type="Embed" ProgID="Equation.DSMT4" ShapeID="_x0000_i1029" DrawAspect="Content" ObjectID="_1468075729" r:id="rId22">
                  <o:LockedField>false</o:LockedField>
                </o:OLEObject>
              </w:object>
            </w:r>
            <w:r>
              <w:rPr>
                <w:color w:val="auto"/>
                <w:sz w:val="24"/>
                <w:szCs w:val="24"/>
              </w:rPr>
              <w:t xml:space="preserve">        （B.3）</w:t>
            </w:r>
          </w:p>
          <w:p w14:paraId="5AD082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auto"/>
                <w:sz w:val="24"/>
                <w:szCs w:val="24"/>
                <w:lang w:eastAsia="zh-CN"/>
              </w:rPr>
            </w:pPr>
            <w:r>
              <w:rPr>
                <w:color w:val="auto"/>
                <w:sz w:val="24"/>
                <w:szCs w:val="24"/>
              </w:rPr>
              <w:t>式中：L</w:t>
            </w:r>
            <w:r>
              <w:rPr>
                <w:color w:val="auto"/>
                <w:sz w:val="24"/>
                <w:szCs w:val="24"/>
                <w:vertAlign w:val="subscript"/>
              </w:rPr>
              <w:t>pli</w:t>
            </w:r>
            <w:r>
              <w:rPr>
                <w:color w:val="auto"/>
                <w:sz w:val="24"/>
                <w:szCs w:val="24"/>
              </w:rPr>
              <w:t>（T）—靠近围护结构处室内N个声源i倍频带的叠加声压级，dB；</w:t>
            </w:r>
          </w:p>
          <w:p w14:paraId="48B105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 xml:space="preserve"> L</w:t>
            </w:r>
            <w:r>
              <w:rPr>
                <w:color w:val="auto"/>
                <w:sz w:val="24"/>
                <w:szCs w:val="24"/>
                <w:vertAlign w:val="subscript"/>
              </w:rPr>
              <w:t>plij</w:t>
            </w:r>
            <w:r>
              <w:rPr>
                <w:color w:val="auto"/>
                <w:sz w:val="24"/>
                <w:szCs w:val="24"/>
              </w:rPr>
              <w:t xml:space="preserve">——室内j声源i倍频带的声压级，dB； </w:t>
            </w:r>
          </w:p>
          <w:p w14:paraId="6DB9A26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 xml:space="preserve">N——室内声源总数。 </w:t>
            </w:r>
          </w:p>
          <w:p w14:paraId="5B1015E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 xml:space="preserve">在室内近似为扩散声场时，按式（B.4）计算出靠近室外围护结构处的声压级： </w:t>
            </w:r>
          </w:p>
          <w:p w14:paraId="7A277DF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auto"/>
                <w:sz w:val="24"/>
                <w:szCs w:val="24"/>
              </w:rPr>
            </w:pPr>
            <w:r>
              <w:rPr>
                <w:color w:val="auto"/>
                <w:sz w:val="24"/>
                <w:szCs w:val="24"/>
              </w:rPr>
              <w:object>
                <v:shape id="_x0000_i1030" o:spt="75" type="#_x0000_t75" style="height:20pt;width:139.95pt;" o:ole="t" filled="f" o:preferrelative="t" stroked="f" coordsize="21600,21600">
                  <v:path/>
                  <v:fill on="f" focussize="0,0"/>
                  <v:stroke on="f"/>
                  <v:imagedata r:id="rId25" o:title=""/>
                  <o:lock v:ext="edit" grouping="f" rotation="f" text="f" aspectratio="t"/>
                  <w10:wrap type="none"/>
                  <w10:anchorlock/>
                </v:shape>
                <o:OLEObject Type="Embed" ProgID="Equation.DSMT4" ShapeID="_x0000_i1030" DrawAspect="Content" ObjectID="_1468075730" r:id="rId24">
                  <o:LockedField>false</o:LockedField>
                </o:OLEObject>
              </w:object>
            </w:r>
            <w:r>
              <w:rPr>
                <w:color w:val="auto"/>
                <w:sz w:val="24"/>
                <w:szCs w:val="24"/>
              </w:rPr>
              <w:t xml:space="preserve">        （B.4）</w:t>
            </w:r>
          </w:p>
          <w:p w14:paraId="129970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式中：L</w:t>
            </w:r>
            <w:r>
              <w:rPr>
                <w:color w:val="auto"/>
                <w:sz w:val="24"/>
                <w:szCs w:val="24"/>
                <w:vertAlign w:val="subscript"/>
              </w:rPr>
              <w:t xml:space="preserve">p2i </w:t>
            </w:r>
            <w:r>
              <w:rPr>
                <w:color w:val="auto"/>
                <w:sz w:val="24"/>
                <w:szCs w:val="24"/>
              </w:rPr>
              <w:t xml:space="preserve">(T)——靠近围护结构处室外N个声源i倍频带的叠加声压级，dB； </w:t>
            </w:r>
          </w:p>
          <w:p w14:paraId="3B4A033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L</w:t>
            </w:r>
            <w:r>
              <w:rPr>
                <w:color w:val="auto"/>
                <w:sz w:val="24"/>
                <w:szCs w:val="24"/>
                <w:vertAlign w:val="subscript"/>
              </w:rPr>
              <w:t xml:space="preserve">p1i </w:t>
            </w:r>
            <w:r>
              <w:rPr>
                <w:color w:val="auto"/>
                <w:sz w:val="24"/>
                <w:szCs w:val="24"/>
              </w:rPr>
              <w:t xml:space="preserve">(T)——靠近围护结构处室内N个声源i倍频带的叠加声压级，dB； </w:t>
            </w:r>
          </w:p>
          <w:p w14:paraId="5A0FA7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T</w:t>
            </w:r>
            <w:r>
              <w:rPr>
                <w:color w:val="auto"/>
                <w:sz w:val="24"/>
                <w:szCs w:val="24"/>
                <w:vertAlign w:val="subscript"/>
              </w:rPr>
              <w:t>Li</w:t>
            </w:r>
            <w:r>
              <w:rPr>
                <w:color w:val="auto"/>
                <w:sz w:val="24"/>
                <w:szCs w:val="24"/>
              </w:rPr>
              <w:t xml:space="preserve"> ——围护结构i倍频带的隔声量，dB。 </w:t>
            </w:r>
          </w:p>
          <w:p w14:paraId="1FFE334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 xml:space="preserve">然后按式（B.5）将室外声源的声压级和透过面积换算成等效的室外声源，计算出中心位置位于透声面积（S）处的等效声源的倍频带声功率级。 </w:t>
            </w:r>
          </w:p>
          <w:p w14:paraId="7B6795F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auto"/>
                <w:sz w:val="24"/>
                <w:szCs w:val="24"/>
              </w:rPr>
            </w:pPr>
            <w:r>
              <w:rPr>
                <w:color w:val="auto"/>
                <w:sz w:val="24"/>
                <w:szCs w:val="24"/>
              </w:rPr>
              <w:object>
                <v:shape id="_x0000_i1031" o:spt="75" type="#_x0000_t75" style="height:20pt;width:103.95pt;" o:ole="t" filled="f" o:preferrelative="t" stroked="f" coordsize="21600,21600">
                  <v:path/>
                  <v:fill on="f" focussize="0,0"/>
                  <v:stroke on="f"/>
                  <v:imagedata r:id="rId27" o:title=""/>
                  <o:lock v:ext="edit" grouping="f" rotation="f" text="f" aspectratio="t"/>
                  <w10:wrap type="none"/>
                  <w10:anchorlock/>
                </v:shape>
                <o:OLEObject Type="Embed" ProgID="Equation.DSMT4" ShapeID="_x0000_i1031" DrawAspect="Content" ObjectID="_1468075731" r:id="rId26">
                  <o:LockedField>false</o:LockedField>
                </o:OLEObject>
              </w:object>
            </w:r>
            <w:r>
              <w:rPr>
                <w:color w:val="auto"/>
                <w:sz w:val="24"/>
                <w:szCs w:val="24"/>
              </w:rPr>
              <w:t xml:space="preserve">        （B.5）</w:t>
            </w:r>
          </w:p>
          <w:p w14:paraId="3259443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式中：L</w:t>
            </w:r>
            <w:r>
              <w:rPr>
                <w:color w:val="auto"/>
                <w:sz w:val="24"/>
                <w:szCs w:val="24"/>
                <w:vertAlign w:val="subscript"/>
              </w:rPr>
              <w:t>w</w:t>
            </w:r>
            <w:r>
              <w:rPr>
                <w:color w:val="auto"/>
                <w:sz w:val="24"/>
                <w:szCs w:val="24"/>
              </w:rPr>
              <w:t xml:space="preserve"> —中心位置位于透声面积（S）处的等效声源的倍频带声功率级，dB； </w:t>
            </w:r>
          </w:p>
          <w:p w14:paraId="34271B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L</w:t>
            </w:r>
            <w:r>
              <w:rPr>
                <w:color w:val="auto"/>
                <w:sz w:val="24"/>
                <w:szCs w:val="24"/>
                <w:vertAlign w:val="subscript"/>
              </w:rPr>
              <w:t>p2</w:t>
            </w:r>
            <w:r>
              <w:rPr>
                <w:color w:val="auto"/>
                <w:sz w:val="24"/>
                <w:szCs w:val="24"/>
              </w:rPr>
              <w:t xml:space="preserve">(T)——靠近围护结构处室外声源的声压级，dB； </w:t>
            </w:r>
          </w:p>
          <w:p w14:paraId="6423891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S——透声面积，m</w:t>
            </w:r>
            <w:r>
              <w:rPr>
                <w:color w:val="auto"/>
                <w:sz w:val="24"/>
                <w:szCs w:val="24"/>
                <w:vertAlign w:val="superscript"/>
              </w:rPr>
              <w:t>2</w:t>
            </w:r>
            <w:r>
              <w:rPr>
                <w:color w:val="auto"/>
                <w:sz w:val="24"/>
                <w:szCs w:val="24"/>
              </w:rPr>
              <w:t xml:space="preserve">。 </w:t>
            </w:r>
          </w:p>
          <w:p w14:paraId="541BAB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 xml:space="preserve">然后按室外声源预测方法计算预测点处的A声级。 </w:t>
            </w:r>
          </w:p>
          <w:p w14:paraId="15CB829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（3）工业企业噪声计算</w:t>
            </w:r>
          </w:p>
          <w:p w14:paraId="4ABFA87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设第</w:t>
            </w:r>
            <w:r>
              <w:rPr>
                <w:i/>
                <w:color w:val="auto"/>
                <w:sz w:val="24"/>
                <w:szCs w:val="24"/>
              </w:rPr>
              <w:t>i</w:t>
            </w:r>
            <w:r>
              <w:rPr>
                <w:color w:val="auto"/>
                <w:sz w:val="24"/>
                <w:szCs w:val="24"/>
              </w:rPr>
              <w:t>个室外声源在预测点产生的A声级为</w:t>
            </w:r>
            <w:r>
              <w:rPr>
                <w:i/>
                <w:color w:val="auto"/>
                <w:sz w:val="24"/>
                <w:szCs w:val="24"/>
              </w:rPr>
              <w:t>L</w:t>
            </w:r>
            <w:r>
              <w:rPr>
                <w:i/>
                <w:color w:val="auto"/>
                <w:sz w:val="24"/>
                <w:szCs w:val="24"/>
                <w:vertAlign w:val="subscript"/>
              </w:rPr>
              <w:t>Ai</w:t>
            </w:r>
            <w:r>
              <w:rPr>
                <w:color w:val="auto"/>
                <w:sz w:val="24"/>
                <w:szCs w:val="24"/>
              </w:rPr>
              <w:t>，在</w:t>
            </w:r>
            <w:r>
              <w:rPr>
                <w:i/>
                <w:color w:val="auto"/>
                <w:sz w:val="24"/>
                <w:szCs w:val="24"/>
              </w:rPr>
              <w:t>T</w:t>
            </w:r>
            <w:r>
              <w:rPr>
                <w:color w:val="auto"/>
                <w:sz w:val="24"/>
                <w:szCs w:val="24"/>
              </w:rPr>
              <w:t>时间内该声源工作时间为</w:t>
            </w:r>
            <w:r>
              <w:rPr>
                <w:i/>
                <w:color w:val="auto"/>
                <w:sz w:val="24"/>
                <w:szCs w:val="24"/>
              </w:rPr>
              <w:t>t</w:t>
            </w:r>
            <w:r>
              <w:rPr>
                <w:i/>
                <w:color w:val="auto"/>
                <w:sz w:val="24"/>
                <w:szCs w:val="24"/>
                <w:vertAlign w:val="subscript"/>
              </w:rPr>
              <w:t>i</w:t>
            </w:r>
            <w:r>
              <w:rPr>
                <w:color w:val="auto"/>
                <w:sz w:val="24"/>
                <w:szCs w:val="24"/>
              </w:rPr>
              <w:t>；第</w:t>
            </w:r>
            <w:r>
              <w:rPr>
                <w:i/>
                <w:color w:val="auto"/>
                <w:sz w:val="24"/>
                <w:szCs w:val="24"/>
              </w:rPr>
              <w:t>j</w:t>
            </w:r>
            <w:r>
              <w:rPr>
                <w:color w:val="auto"/>
                <w:sz w:val="24"/>
                <w:szCs w:val="24"/>
              </w:rPr>
              <w:t>个等效室外声源在预测点产生的A声级为L</w:t>
            </w:r>
            <w:r>
              <w:rPr>
                <w:i/>
                <w:color w:val="auto"/>
                <w:sz w:val="24"/>
                <w:szCs w:val="24"/>
                <w:vertAlign w:val="subscript"/>
              </w:rPr>
              <w:t>Aj</w:t>
            </w:r>
            <w:r>
              <w:rPr>
                <w:color w:val="auto"/>
                <w:sz w:val="24"/>
                <w:szCs w:val="24"/>
              </w:rPr>
              <w:t>，在</w:t>
            </w:r>
            <w:r>
              <w:rPr>
                <w:i/>
                <w:color w:val="auto"/>
                <w:sz w:val="24"/>
                <w:szCs w:val="24"/>
              </w:rPr>
              <w:t>T</w:t>
            </w:r>
            <w:r>
              <w:rPr>
                <w:color w:val="auto"/>
                <w:sz w:val="24"/>
                <w:szCs w:val="24"/>
              </w:rPr>
              <w:t>时间内该声源工作时间为</w:t>
            </w:r>
            <w:r>
              <w:rPr>
                <w:i/>
                <w:color w:val="auto"/>
                <w:sz w:val="24"/>
                <w:szCs w:val="24"/>
              </w:rPr>
              <w:t>t</w:t>
            </w:r>
            <w:r>
              <w:rPr>
                <w:i/>
                <w:color w:val="auto"/>
                <w:sz w:val="24"/>
                <w:szCs w:val="24"/>
                <w:vertAlign w:val="subscript"/>
              </w:rPr>
              <w:t>j</w:t>
            </w:r>
            <w:r>
              <w:rPr>
                <w:color w:val="auto"/>
                <w:sz w:val="24"/>
                <w:szCs w:val="24"/>
              </w:rPr>
              <w:t>，则拟建工程声源对预测点产生的贡献值为：</w:t>
            </w:r>
          </w:p>
          <w:p w14:paraId="74756968">
            <w:pPr>
              <w:pStyle w:val="7"/>
            </w:pPr>
          </w:p>
          <w:p w14:paraId="41E5021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auto"/>
                <w:sz w:val="24"/>
                <w:szCs w:val="24"/>
              </w:rPr>
            </w:pPr>
            <w:r>
              <w:rPr>
                <w:color w:val="auto"/>
                <w:sz w:val="24"/>
                <w:szCs w:val="24"/>
              </w:rPr>
              <w:object>
                <v:shape id="_x0000_i1032" o:spt="75" type="#_x0000_t75" style="height:37.1pt;width:192.6pt;" o:ole="t" filled="f" o:preferrelative="t" stroked="f" coordsize="21600,21600">
                  <v:path/>
                  <v:fill on="f" focussize="0,0"/>
                  <v:stroke on="f"/>
                  <v:imagedata r:id="rId29" o:title=""/>
                  <o:lock v:ext="edit" grouping="f" rotation="f" text="f" aspectratio="t"/>
                  <w10:wrap type="none"/>
                  <w10:anchorlock/>
                </v:shape>
                <o:OLEObject Type="Embed" ProgID="Equation.DSMT4" ShapeID="_x0000_i1032" DrawAspect="Content" ObjectID="_1468075732" r:id="rId28">
                  <o:LockedField>false</o:LockedField>
                </o:OLEObject>
              </w:object>
            </w:r>
          </w:p>
          <w:p w14:paraId="43EDF6F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（4）预测值计算</w:t>
            </w:r>
          </w:p>
          <w:p w14:paraId="57F760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预测点的预测等效声级为：</w:t>
            </w:r>
          </w:p>
          <w:p w14:paraId="74A110C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color w:val="auto"/>
                <w:sz w:val="24"/>
                <w:szCs w:val="24"/>
              </w:rPr>
            </w:pPr>
            <w:r>
              <w:rPr>
                <w:color w:val="auto"/>
                <w:sz w:val="24"/>
                <w:szCs w:val="24"/>
              </w:rPr>
              <w:object>
                <v:shape id="_x0000_i1033" o:spt="75" type="#_x0000_t75" style="height:21.25pt;width:122.9pt;" o:ole="t" filled="f" o:preferrelative="t" stroked="f" coordsize="21600,21600">
                  <v:path/>
                  <v:fill on="f" focussize="0,0"/>
                  <v:stroke on="f"/>
                  <v:imagedata r:id="rId31" o:title=""/>
                  <o:lock v:ext="edit" grouping="f" rotation="f" text="f" aspectratio="t"/>
                  <w10:wrap type="none"/>
                  <w10:anchorlock/>
                </v:shape>
                <o:OLEObject Type="Embed" ProgID="Equation.DSMT4" ShapeID="_x0000_i1033" DrawAspect="Content" ObjectID="_1468075733" r:id="rId30">
                  <o:LockedField>false</o:LockedField>
                </o:OLEObject>
              </w:object>
            </w:r>
          </w:p>
          <w:p w14:paraId="6151BD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Cs/>
                <w:color w:val="auto"/>
                <w:sz w:val="24"/>
                <w:szCs w:val="24"/>
              </w:rPr>
            </w:pPr>
            <w:r>
              <w:rPr>
                <w:bCs/>
                <w:color w:val="auto"/>
                <w:sz w:val="24"/>
                <w:szCs w:val="24"/>
              </w:rPr>
              <w:t>（5）预测结果</w:t>
            </w:r>
          </w:p>
          <w:p w14:paraId="7C2588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根据HJ2.4-2021“工业噪声预测模式”对本次噪声影响进行预测，各厂界噪声预测结果见表4-</w:t>
            </w:r>
            <w:r>
              <w:rPr>
                <w:rFonts w:hint="eastAsia"/>
                <w:color w:val="auto"/>
                <w:sz w:val="24"/>
                <w:szCs w:val="24"/>
                <w:lang w:val="en-US" w:eastAsia="zh-CN"/>
              </w:rPr>
              <w:t>16</w:t>
            </w:r>
            <w:r>
              <w:rPr>
                <w:color w:val="auto"/>
                <w:sz w:val="24"/>
                <w:szCs w:val="24"/>
              </w:rPr>
              <w:t>。</w:t>
            </w:r>
          </w:p>
          <w:p w14:paraId="410F7996">
            <w:pPr>
              <w:spacing w:line="360" w:lineRule="exact"/>
              <w:jc w:val="center"/>
              <w:rPr>
                <w:b/>
                <w:color w:val="auto"/>
                <w:sz w:val="21"/>
                <w:szCs w:val="21"/>
              </w:rPr>
            </w:pPr>
            <w:r>
              <w:rPr>
                <w:b/>
                <w:color w:val="auto"/>
                <w:sz w:val="21"/>
                <w:szCs w:val="21"/>
              </w:rPr>
              <w:t>表4-</w:t>
            </w:r>
            <w:r>
              <w:rPr>
                <w:rFonts w:hint="eastAsia"/>
                <w:b/>
                <w:color w:val="auto"/>
                <w:sz w:val="21"/>
                <w:szCs w:val="21"/>
                <w:lang w:val="en-US" w:eastAsia="zh-CN"/>
              </w:rPr>
              <w:t>16</w:t>
            </w:r>
            <w:r>
              <w:rPr>
                <w:b/>
                <w:color w:val="auto"/>
                <w:sz w:val="21"/>
                <w:szCs w:val="21"/>
              </w:rPr>
              <w:t xml:space="preserve"> 项目噪声源强预测结果一览表    单位：dB（A）</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48"/>
              <w:gridCol w:w="2135"/>
              <w:gridCol w:w="1390"/>
              <w:gridCol w:w="1387"/>
            </w:tblGrid>
            <w:tr w14:paraId="54C88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026" w:type="pct"/>
                  <w:vMerge w:val="restart"/>
                  <w:noWrap w:val="0"/>
                  <w:vAlign w:val="center"/>
                </w:tcPr>
                <w:p w14:paraId="460145B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color w:val="FF0000"/>
                      <w:sz w:val="21"/>
                      <w:szCs w:val="21"/>
                    </w:rPr>
                  </w:pPr>
                  <w:r>
                    <w:rPr>
                      <w:b/>
                      <w:color w:val="000000" w:themeColor="text1"/>
                      <w:sz w:val="21"/>
                      <w:szCs w:val="21"/>
                      <w14:textFill>
                        <w14:solidFill>
                          <w14:schemeClr w14:val="tx1"/>
                        </w14:solidFill>
                      </w14:textFill>
                    </w:rPr>
                    <w:t>预测点</w:t>
                  </w:r>
                </w:p>
              </w:tc>
              <w:tc>
                <w:tcPr>
                  <w:tcW w:w="1292" w:type="pct"/>
                  <w:vMerge w:val="restart"/>
                  <w:noWrap w:val="0"/>
                  <w:vAlign w:val="center"/>
                </w:tcPr>
                <w:p w14:paraId="2FA6A6C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宋体"/>
                      <w:b/>
                      <w:color w:val="FF0000"/>
                      <w:sz w:val="21"/>
                      <w:szCs w:val="21"/>
                      <w:lang w:eastAsia="zh-CN"/>
                    </w:rPr>
                  </w:pPr>
                  <w:r>
                    <w:rPr>
                      <w:b/>
                      <w:color w:val="000000" w:themeColor="text1"/>
                      <w:sz w:val="21"/>
                      <w:szCs w:val="21"/>
                      <w14:textFill>
                        <w14:solidFill>
                          <w14:schemeClr w14:val="tx1"/>
                        </w14:solidFill>
                      </w14:textFill>
                    </w:rPr>
                    <w:t>贡献值</w:t>
                  </w:r>
                  <w:r>
                    <w:rPr>
                      <w:rFonts w:hint="eastAsia"/>
                      <w:b/>
                      <w:color w:val="000000" w:themeColor="text1"/>
                      <w:sz w:val="21"/>
                      <w:szCs w:val="21"/>
                      <w:lang w:eastAsia="zh-CN"/>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昼</w:t>
                  </w:r>
                  <w:r>
                    <w:rPr>
                      <w:rFonts w:hint="eastAsia"/>
                      <w:b/>
                      <w:color w:val="000000" w:themeColor="text1"/>
                      <w:sz w:val="21"/>
                      <w:szCs w:val="21"/>
                      <w:lang w:eastAsia="zh-CN"/>
                      <w14:textFill>
                        <w14:solidFill>
                          <w14:schemeClr w14:val="tx1"/>
                        </w14:solidFill>
                      </w14:textFill>
                    </w:rPr>
                    <w:t>）</w:t>
                  </w:r>
                </w:p>
              </w:tc>
              <w:tc>
                <w:tcPr>
                  <w:tcW w:w="841" w:type="pct"/>
                  <w:noWrap w:val="0"/>
                  <w:vAlign w:val="center"/>
                </w:tcPr>
                <w:p w14:paraId="0A6612A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color w:val="FF0000"/>
                      <w:sz w:val="21"/>
                      <w:szCs w:val="21"/>
                    </w:rPr>
                  </w:pPr>
                  <w:r>
                    <w:rPr>
                      <w:b/>
                      <w:color w:val="000000" w:themeColor="text1"/>
                      <w:sz w:val="21"/>
                      <w:szCs w:val="21"/>
                      <w14:textFill>
                        <w14:solidFill>
                          <w14:schemeClr w14:val="tx1"/>
                        </w14:solidFill>
                      </w14:textFill>
                    </w:rPr>
                    <w:t>标准</w:t>
                  </w:r>
                </w:p>
              </w:tc>
              <w:tc>
                <w:tcPr>
                  <w:tcW w:w="839" w:type="pct"/>
                  <w:noWrap w:val="0"/>
                  <w:vAlign w:val="center"/>
                </w:tcPr>
                <w:p w14:paraId="6719F51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color w:val="FF0000"/>
                      <w:sz w:val="21"/>
                      <w:szCs w:val="21"/>
                    </w:rPr>
                  </w:pPr>
                  <w:r>
                    <w:rPr>
                      <w:b/>
                      <w:color w:val="000000" w:themeColor="text1"/>
                      <w:sz w:val="21"/>
                      <w:szCs w:val="21"/>
                      <w14:textFill>
                        <w14:solidFill>
                          <w14:schemeClr w14:val="tx1"/>
                        </w14:solidFill>
                      </w14:textFill>
                    </w:rPr>
                    <w:t>超标情况</w:t>
                  </w:r>
                </w:p>
              </w:tc>
            </w:tr>
            <w:tr w14:paraId="0B549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26" w:type="pct"/>
                  <w:vMerge w:val="continue"/>
                  <w:noWrap w:val="0"/>
                  <w:vAlign w:val="center"/>
                </w:tcPr>
                <w:p w14:paraId="3F2B964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color w:val="FF0000"/>
                      <w:sz w:val="21"/>
                      <w:szCs w:val="21"/>
                    </w:rPr>
                  </w:pPr>
                </w:p>
              </w:tc>
              <w:tc>
                <w:tcPr>
                  <w:tcW w:w="1292" w:type="pct"/>
                  <w:vMerge w:val="continue"/>
                  <w:noWrap w:val="0"/>
                  <w:vAlign w:val="center"/>
                </w:tcPr>
                <w:p w14:paraId="60E7BE8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color w:val="FF0000"/>
                      <w:sz w:val="21"/>
                      <w:szCs w:val="21"/>
                    </w:rPr>
                  </w:pPr>
                </w:p>
              </w:tc>
              <w:tc>
                <w:tcPr>
                  <w:tcW w:w="841" w:type="pct"/>
                  <w:tcBorders>
                    <w:right w:val="single" w:color="auto" w:sz="2" w:space="0"/>
                  </w:tcBorders>
                  <w:noWrap w:val="0"/>
                  <w:vAlign w:val="center"/>
                </w:tcPr>
                <w:p w14:paraId="56C1F30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color w:val="FF0000"/>
                      <w:sz w:val="21"/>
                      <w:szCs w:val="21"/>
                    </w:rPr>
                  </w:pPr>
                  <w:r>
                    <w:rPr>
                      <w:b/>
                      <w:color w:val="000000" w:themeColor="text1"/>
                      <w:sz w:val="21"/>
                      <w:szCs w:val="21"/>
                      <w14:textFill>
                        <w14:solidFill>
                          <w14:schemeClr w14:val="tx1"/>
                        </w14:solidFill>
                      </w14:textFill>
                    </w:rPr>
                    <w:t>昼</w:t>
                  </w:r>
                </w:p>
              </w:tc>
              <w:tc>
                <w:tcPr>
                  <w:tcW w:w="839" w:type="pct"/>
                  <w:tcBorders>
                    <w:right w:val="single" w:color="auto" w:sz="2" w:space="0"/>
                  </w:tcBorders>
                  <w:noWrap w:val="0"/>
                  <w:vAlign w:val="center"/>
                </w:tcPr>
                <w:p w14:paraId="0046619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color w:val="FF0000"/>
                      <w:sz w:val="21"/>
                      <w:szCs w:val="21"/>
                    </w:rPr>
                  </w:pPr>
                  <w:r>
                    <w:rPr>
                      <w:b/>
                      <w:color w:val="000000" w:themeColor="text1"/>
                      <w:sz w:val="21"/>
                      <w:szCs w:val="21"/>
                      <w14:textFill>
                        <w14:solidFill>
                          <w14:schemeClr w14:val="tx1"/>
                        </w14:solidFill>
                      </w14:textFill>
                    </w:rPr>
                    <w:t>昼</w:t>
                  </w:r>
                </w:p>
              </w:tc>
            </w:tr>
            <w:tr w14:paraId="73C94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9" w:hRule="atLeast"/>
                <w:jc w:val="center"/>
              </w:trPr>
              <w:tc>
                <w:tcPr>
                  <w:tcW w:w="2026" w:type="pct"/>
                  <w:noWrap w:val="0"/>
                  <w:vAlign w:val="center"/>
                </w:tcPr>
                <w:p w14:paraId="7C739E1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N1（东</w:t>
                  </w:r>
                  <w:r>
                    <w:rPr>
                      <w:color w:val="000000" w:themeColor="text1"/>
                      <w:kern w:val="0"/>
                      <w:sz w:val="21"/>
                      <w:szCs w:val="21"/>
                      <w14:textFill>
                        <w14:solidFill>
                          <w14:schemeClr w14:val="tx1"/>
                        </w14:solidFill>
                      </w14:textFill>
                    </w:rPr>
                    <w:t>厂界）</w:t>
                  </w:r>
                </w:p>
              </w:tc>
              <w:tc>
                <w:tcPr>
                  <w:tcW w:w="1292" w:type="pct"/>
                  <w:noWrap w:val="0"/>
                  <w:vAlign w:val="center"/>
                </w:tcPr>
                <w:p w14:paraId="7AD02D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宋体"/>
                      <w:color w:val="FF0000"/>
                      <w:sz w:val="21"/>
                      <w:szCs w:val="21"/>
                      <w:lang w:val="en-US" w:eastAsia="zh-CN"/>
                    </w:rPr>
                  </w:pPr>
                  <w:r>
                    <w:rPr>
                      <w:rFonts w:hint="eastAsia"/>
                      <w:color w:val="000000" w:themeColor="text1"/>
                      <w:lang w:val="en-US" w:eastAsia="zh-CN"/>
                      <w14:textFill>
                        <w14:solidFill>
                          <w14:schemeClr w14:val="tx1"/>
                        </w14:solidFill>
                      </w14:textFill>
                    </w:rPr>
                    <w:t>55.15</w:t>
                  </w:r>
                </w:p>
              </w:tc>
              <w:tc>
                <w:tcPr>
                  <w:tcW w:w="841" w:type="pct"/>
                  <w:tcBorders>
                    <w:right w:val="single" w:color="auto" w:sz="2" w:space="0"/>
                  </w:tcBorders>
                  <w:noWrap w:val="0"/>
                  <w:vAlign w:val="center"/>
                </w:tcPr>
                <w:p w14:paraId="6FC103F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65</w:t>
                  </w:r>
                </w:p>
              </w:tc>
              <w:tc>
                <w:tcPr>
                  <w:tcW w:w="839" w:type="pct"/>
                  <w:tcBorders>
                    <w:right w:val="single" w:color="auto" w:sz="2" w:space="0"/>
                  </w:tcBorders>
                  <w:noWrap w:val="0"/>
                  <w:vAlign w:val="center"/>
                </w:tcPr>
                <w:p w14:paraId="7F1C1F3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达标</w:t>
                  </w:r>
                </w:p>
              </w:tc>
            </w:tr>
            <w:tr w14:paraId="79CEA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2026" w:type="pct"/>
                  <w:noWrap w:val="0"/>
                  <w:vAlign w:val="center"/>
                </w:tcPr>
                <w:p w14:paraId="7F98959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N2（南</w:t>
                  </w:r>
                  <w:r>
                    <w:rPr>
                      <w:color w:val="000000" w:themeColor="text1"/>
                      <w:kern w:val="0"/>
                      <w:sz w:val="21"/>
                      <w:szCs w:val="21"/>
                      <w14:textFill>
                        <w14:solidFill>
                          <w14:schemeClr w14:val="tx1"/>
                        </w14:solidFill>
                      </w14:textFill>
                    </w:rPr>
                    <w:t>厂界</w:t>
                  </w:r>
                  <w:r>
                    <w:rPr>
                      <w:color w:val="000000" w:themeColor="text1"/>
                      <w:sz w:val="21"/>
                      <w:szCs w:val="21"/>
                      <w14:textFill>
                        <w14:solidFill>
                          <w14:schemeClr w14:val="tx1"/>
                        </w14:solidFill>
                      </w14:textFill>
                    </w:rPr>
                    <w:t>）</w:t>
                  </w:r>
                </w:p>
              </w:tc>
              <w:tc>
                <w:tcPr>
                  <w:tcW w:w="1292" w:type="pct"/>
                  <w:noWrap w:val="0"/>
                  <w:vAlign w:val="center"/>
                </w:tcPr>
                <w:p w14:paraId="376F789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宋体"/>
                      <w:color w:val="FF0000"/>
                      <w:sz w:val="21"/>
                      <w:szCs w:val="21"/>
                      <w:lang w:val="en-US" w:eastAsia="zh-CN"/>
                    </w:rPr>
                  </w:pPr>
                  <w:r>
                    <w:rPr>
                      <w:rFonts w:hint="eastAsia"/>
                      <w:color w:val="000000" w:themeColor="text1"/>
                      <w:lang w:val="en-US" w:eastAsia="zh-CN"/>
                      <w14:textFill>
                        <w14:solidFill>
                          <w14:schemeClr w14:val="tx1"/>
                        </w14:solidFill>
                      </w14:textFill>
                    </w:rPr>
                    <w:t>45.16</w:t>
                  </w:r>
                </w:p>
              </w:tc>
              <w:tc>
                <w:tcPr>
                  <w:tcW w:w="841" w:type="pct"/>
                  <w:tcBorders>
                    <w:right w:val="single" w:color="auto" w:sz="2" w:space="0"/>
                  </w:tcBorders>
                  <w:noWrap w:val="0"/>
                  <w:vAlign w:val="center"/>
                </w:tcPr>
                <w:p w14:paraId="1EF1454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65</w:t>
                  </w:r>
                </w:p>
              </w:tc>
              <w:tc>
                <w:tcPr>
                  <w:tcW w:w="839" w:type="pct"/>
                  <w:tcBorders>
                    <w:right w:val="single" w:color="auto" w:sz="2" w:space="0"/>
                  </w:tcBorders>
                  <w:noWrap w:val="0"/>
                  <w:vAlign w:val="center"/>
                </w:tcPr>
                <w:p w14:paraId="2C1A8E7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达标</w:t>
                  </w:r>
                </w:p>
              </w:tc>
            </w:tr>
            <w:tr w14:paraId="25FE7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2026" w:type="pct"/>
                  <w:noWrap w:val="0"/>
                  <w:vAlign w:val="center"/>
                </w:tcPr>
                <w:p w14:paraId="4997D24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N3（西</w:t>
                  </w:r>
                  <w:r>
                    <w:rPr>
                      <w:color w:val="000000" w:themeColor="text1"/>
                      <w:kern w:val="0"/>
                      <w:sz w:val="21"/>
                      <w:szCs w:val="21"/>
                      <w14:textFill>
                        <w14:solidFill>
                          <w14:schemeClr w14:val="tx1"/>
                        </w14:solidFill>
                      </w14:textFill>
                    </w:rPr>
                    <w:t>厂界</w:t>
                  </w:r>
                  <w:r>
                    <w:rPr>
                      <w:color w:val="000000" w:themeColor="text1"/>
                      <w:sz w:val="21"/>
                      <w:szCs w:val="21"/>
                      <w14:textFill>
                        <w14:solidFill>
                          <w14:schemeClr w14:val="tx1"/>
                        </w14:solidFill>
                      </w14:textFill>
                    </w:rPr>
                    <w:t>）</w:t>
                  </w:r>
                </w:p>
              </w:tc>
              <w:tc>
                <w:tcPr>
                  <w:tcW w:w="1292" w:type="pct"/>
                  <w:noWrap w:val="0"/>
                  <w:vAlign w:val="center"/>
                </w:tcPr>
                <w:p w14:paraId="2106D84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宋体"/>
                      <w:color w:val="FF0000"/>
                      <w:sz w:val="21"/>
                      <w:szCs w:val="21"/>
                      <w:lang w:val="en-US" w:eastAsia="zh-CN"/>
                    </w:rPr>
                  </w:pPr>
                  <w:r>
                    <w:rPr>
                      <w:rFonts w:hint="eastAsia"/>
                      <w:color w:val="000000" w:themeColor="text1"/>
                      <w:lang w:val="en-US" w:eastAsia="zh-CN"/>
                      <w14:textFill>
                        <w14:solidFill>
                          <w14:schemeClr w14:val="tx1"/>
                        </w14:solidFill>
                      </w14:textFill>
                    </w:rPr>
                    <w:t>54.24</w:t>
                  </w:r>
                </w:p>
              </w:tc>
              <w:tc>
                <w:tcPr>
                  <w:tcW w:w="841" w:type="pct"/>
                  <w:tcBorders>
                    <w:right w:val="single" w:color="auto" w:sz="2" w:space="0"/>
                  </w:tcBorders>
                  <w:noWrap w:val="0"/>
                  <w:vAlign w:val="center"/>
                </w:tcPr>
                <w:p w14:paraId="7580481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65</w:t>
                  </w:r>
                </w:p>
              </w:tc>
              <w:tc>
                <w:tcPr>
                  <w:tcW w:w="839" w:type="pct"/>
                  <w:tcBorders>
                    <w:right w:val="single" w:color="auto" w:sz="2" w:space="0"/>
                  </w:tcBorders>
                  <w:noWrap w:val="0"/>
                  <w:vAlign w:val="center"/>
                </w:tcPr>
                <w:p w14:paraId="450B243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达标</w:t>
                  </w:r>
                </w:p>
              </w:tc>
            </w:tr>
            <w:tr w14:paraId="037AE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026" w:type="pct"/>
                  <w:noWrap w:val="0"/>
                  <w:vAlign w:val="center"/>
                </w:tcPr>
                <w:p w14:paraId="45CEC3E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N4（北</w:t>
                  </w:r>
                  <w:r>
                    <w:rPr>
                      <w:color w:val="000000" w:themeColor="text1"/>
                      <w:kern w:val="0"/>
                      <w:sz w:val="21"/>
                      <w:szCs w:val="21"/>
                      <w14:textFill>
                        <w14:solidFill>
                          <w14:schemeClr w14:val="tx1"/>
                        </w14:solidFill>
                      </w14:textFill>
                    </w:rPr>
                    <w:t>厂界</w:t>
                  </w:r>
                  <w:r>
                    <w:rPr>
                      <w:color w:val="000000" w:themeColor="text1"/>
                      <w:sz w:val="21"/>
                      <w:szCs w:val="21"/>
                      <w14:textFill>
                        <w14:solidFill>
                          <w14:schemeClr w14:val="tx1"/>
                        </w14:solidFill>
                      </w14:textFill>
                    </w:rPr>
                    <w:t>）</w:t>
                  </w:r>
                </w:p>
              </w:tc>
              <w:tc>
                <w:tcPr>
                  <w:tcW w:w="1292" w:type="pct"/>
                  <w:noWrap w:val="0"/>
                  <w:vAlign w:val="center"/>
                </w:tcPr>
                <w:p w14:paraId="12D934A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宋体"/>
                      <w:color w:val="FF0000"/>
                      <w:sz w:val="21"/>
                      <w:szCs w:val="21"/>
                      <w:lang w:val="en-US" w:eastAsia="zh-CN"/>
                    </w:rPr>
                  </w:pPr>
                  <w:r>
                    <w:rPr>
                      <w:rFonts w:hint="eastAsia"/>
                      <w:color w:val="000000" w:themeColor="text1"/>
                      <w:lang w:val="en-US" w:eastAsia="zh-CN"/>
                      <w14:textFill>
                        <w14:solidFill>
                          <w14:schemeClr w14:val="tx1"/>
                        </w14:solidFill>
                      </w14:textFill>
                    </w:rPr>
                    <w:t>54.04</w:t>
                  </w:r>
                </w:p>
              </w:tc>
              <w:tc>
                <w:tcPr>
                  <w:tcW w:w="841" w:type="pct"/>
                  <w:tcBorders>
                    <w:right w:val="single" w:color="auto" w:sz="2" w:space="0"/>
                  </w:tcBorders>
                  <w:noWrap w:val="0"/>
                  <w:vAlign w:val="center"/>
                </w:tcPr>
                <w:p w14:paraId="4899DD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65</w:t>
                  </w:r>
                </w:p>
              </w:tc>
              <w:tc>
                <w:tcPr>
                  <w:tcW w:w="839" w:type="pct"/>
                  <w:tcBorders>
                    <w:right w:val="single" w:color="auto" w:sz="2" w:space="0"/>
                  </w:tcBorders>
                  <w:noWrap w:val="0"/>
                  <w:vAlign w:val="center"/>
                </w:tcPr>
                <w:p w14:paraId="18D7A8C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color w:val="FF0000"/>
                      <w:sz w:val="21"/>
                      <w:szCs w:val="21"/>
                    </w:rPr>
                  </w:pPr>
                  <w:r>
                    <w:rPr>
                      <w:color w:val="000000" w:themeColor="text1"/>
                      <w:sz w:val="21"/>
                      <w:szCs w:val="21"/>
                      <w14:textFill>
                        <w14:solidFill>
                          <w14:schemeClr w14:val="tx1"/>
                        </w14:solidFill>
                      </w14:textFill>
                    </w:rPr>
                    <w:t>达标</w:t>
                  </w:r>
                </w:p>
              </w:tc>
            </w:tr>
          </w:tbl>
          <w:p w14:paraId="6656A62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在采取噪声防治措施的前提下，四周厂界噪声均符合《工业企业厂界环境噪声排放标准》（GB12348-2008）中的3类标准。因此，本项目噪声源对周围环境影响较小。</w:t>
            </w:r>
          </w:p>
          <w:p w14:paraId="60097B3C">
            <w:pPr>
              <w:tabs>
                <w:tab w:val="left" w:pos="1684"/>
              </w:tabs>
              <w:spacing w:before="120" w:beforeLines="50" w:after="120" w:afterLines="50" w:line="360" w:lineRule="exact"/>
              <w:rPr>
                <w:b/>
                <w:bCs/>
                <w:color w:val="auto"/>
                <w:sz w:val="24"/>
                <w:szCs w:val="24"/>
              </w:rPr>
            </w:pPr>
            <w:r>
              <w:rPr>
                <w:b/>
                <w:bCs/>
                <w:color w:val="auto"/>
                <w:sz w:val="24"/>
                <w:szCs w:val="24"/>
              </w:rPr>
              <w:t>3.4噪声监测计划</w:t>
            </w:r>
          </w:p>
          <w:p w14:paraId="2C3B770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监测点位：厂界四周布设4个点位；</w:t>
            </w:r>
          </w:p>
          <w:p w14:paraId="5D74C6F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监测频次：《排污单位自行监测技术指南 总则》（HJ819-2017）要求每</w:t>
            </w:r>
            <w:r>
              <w:rPr>
                <w:rFonts w:hint="eastAsia"/>
                <w:color w:val="auto"/>
                <w:sz w:val="24"/>
                <w:szCs w:val="24"/>
              </w:rPr>
              <w:t>季度</w:t>
            </w:r>
            <w:r>
              <w:rPr>
                <w:color w:val="auto"/>
                <w:sz w:val="24"/>
                <w:szCs w:val="24"/>
              </w:rPr>
              <w:t>监测一次。</w:t>
            </w:r>
          </w:p>
          <w:p w14:paraId="74A6DD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监测因子：</w:t>
            </w:r>
            <w:r>
              <w:rPr>
                <w:bCs/>
                <w:color w:val="auto"/>
                <w:sz w:val="24"/>
                <w:szCs w:val="24"/>
              </w:rPr>
              <w:t>厂界噪声</w:t>
            </w:r>
            <w:r>
              <w:rPr>
                <w:color w:val="auto"/>
                <w:sz w:val="24"/>
                <w:szCs w:val="24"/>
              </w:rPr>
              <w:t>昼</w:t>
            </w:r>
            <w:r>
              <w:rPr>
                <w:rFonts w:hint="eastAsia"/>
                <w:color w:val="auto"/>
                <w:sz w:val="24"/>
                <w:szCs w:val="24"/>
              </w:rPr>
              <w:t>/夜</w:t>
            </w:r>
            <w:r>
              <w:rPr>
                <w:color w:val="auto"/>
                <w:sz w:val="24"/>
                <w:szCs w:val="24"/>
              </w:rPr>
              <w:t>间</w:t>
            </w:r>
            <w:r>
              <w:rPr>
                <w:bCs/>
                <w:color w:val="auto"/>
                <w:sz w:val="24"/>
                <w:szCs w:val="24"/>
              </w:rPr>
              <w:t>等效连续A声级</w:t>
            </w:r>
            <w:r>
              <w:rPr>
                <w:color w:val="auto"/>
                <w:sz w:val="24"/>
                <w:szCs w:val="24"/>
              </w:rPr>
              <w:t>Leq(A)。</w:t>
            </w:r>
          </w:p>
          <w:p w14:paraId="1A07E2AD">
            <w:pPr>
              <w:keepNext w:val="0"/>
              <w:keepLines w:val="0"/>
              <w:pageBreakBefore w:val="0"/>
              <w:widowControl w:val="0"/>
              <w:tabs>
                <w:tab w:val="left" w:pos="2160"/>
              </w:tabs>
              <w:kinsoku/>
              <w:wordWrap/>
              <w:overflowPunct/>
              <w:topLinePunct w:val="0"/>
              <w:autoSpaceDE/>
              <w:autoSpaceDN/>
              <w:bidi w:val="0"/>
              <w:adjustRightInd/>
              <w:snapToGrid/>
              <w:spacing w:line="480" w:lineRule="exact"/>
              <w:ind w:firstLine="480" w:firstLineChars="200"/>
              <w:textAlignment w:val="auto"/>
              <w:rPr>
                <w:b/>
                <w:color w:val="auto"/>
                <w:sz w:val="24"/>
                <w:szCs w:val="24"/>
                <w:lang w:val="en-US" w:eastAsia="zh-CN"/>
              </w:rPr>
            </w:pPr>
            <w:r>
              <w:rPr>
                <w:color w:val="auto"/>
                <w:sz w:val="24"/>
                <w:szCs w:val="24"/>
              </w:rPr>
              <w:t>噪声监测位置、监测因子、频率等详见表4-</w:t>
            </w:r>
            <w:r>
              <w:rPr>
                <w:rFonts w:hint="eastAsia"/>
                <w:color w:val="auto"/>
                <w:sz w:val="24"/>
                <w:szCs w:val="24"/>
                <w:lang w:val="en-US" w:eastAsia="zh-CN"/>
              </w:rPr>
              <w:t>17</w:t>
            </w:r>
            <w:r>
              <w:rPr>
                <w:color w:val="auto"/>
                <w:sz w:val="24"/>
                <w:szCs w:val="24"/>
              </w:rPr>
              <w:t>。</w:t>
            </w:r>
          </w:p>
          <w:p w14:paraId="1BE37CCF">
            <w:pPr>
              <w:pStyle w:val="56"/>
              <w:spacing w:before="0" w:beforeLines="0" w:line="360" w:lineRule="exact"/>
              <w:ind w:firstLine="0" w:firstLineChars="0"/>
              <w:jc w:val="center"/>
              <w:rPr>
                <w:b/>
                <w:color w:val="auto"/>
                <w:sz w:val="21"/>
                <w:szCs w:val="21"/>
                <w:lang w:val="en-US" w:eastAsia="zh-CN"/>
              </w:rPr>
            </w:pPr>
            <w:r>
              <w:rPr>
                <w:b/>
                <w:color w:val="auto"/>
                <w:sz w:val="21"/>
                <w:szCs w:val="21"/>
                <w:lang w:val="en-US" w:eastAsia="zh-CN"/>
              </w:rPr>
              <w:t>表4-</w:t>
            </w:r>
            <w:r>
              <w:rPr>
                <w:rFonts w:hint="eastAsia"/>
                <w:b/>
                <w:color w:val="auto"/>
                <w:sz w:val="21"/>
                <w:szCs w:val="21"/>
                <w:lang w:val="en-US" w:eastAsia="zh-CN"/>
              </w:rPr>
              <w:t>78</w:t>
            </w:r>
            <w:r>
              <w:rPr>
                <w:b/>
                <w:color w:val="auto"/>
                <w:sz w:val="21"/>
                <w:szCs w:val="21"/>
                <w:lang w:val="en-US" w:eastAsia="zh-CN"/>
              </w:rPr>
              <w:t>噪声监测因子及频次表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903"/>
              <w:gridCol w:w="1926"/>
              <w:gridCol w:w="4431"/>
            </w:tblGrid>
            <w:tr w14:paraId="0DCD0D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2" w:type="pct"/>
                  <w:noWrap w:val="0"/>
                  <w:vAlign w:val="center"/>
                </w:tcPr>
                <w:p w14:paraId="4C50D307">
                  <w:pPr>
                    <w:snapToGrid w:val="0"/>
                    <w:spacing w:line="280" w:lineRule="exact"/>
                    <w:jc w:val="center"/>
                    <w:rPr>
                      <w:b/>
                      <w:color w:val="auto"/>
                      <w:sz w:val="21"/>
                      <w:szCs w:val="21"/>
                    </w:rPr>
                  </w:pPr>
                  <w:r>
                    <w:rPr>
                      <w:b/>
                      <w:color w:val="auto"/>
                      <w:sz w:val="21"/>
                      <w:szCs w:val="21"/>
                    </w:rPr>
                    <w:t>监测点位</w:t>
                  </w:r>
                </w:p>
              </w:tc>
              <w:tc>
                <w:tcPr>
                  <w:tcW w:w="1166" w:type="pct"/>
                  <w:noWrap w:val="0"/>
                  <w:vAlign w:val="center"/>
                </w:tcPr>
                <w:p w14:paraId="12B43CED">
                  <w:pPr>
                    <w:snapToGrid w:val="0"/>
                    <w:spacing w:line="280" w:lineRule="exact"/>
                    <w:jc w:val="center"/>
                    <w:rPr>
                      <w:b/>
                      <w:color w:val="auto"/>
                      <w:sz w:val="21"/>
                      <w:szCs w:val="21"/>
                    </w:rPr>
                  </w:pPr>
                  <w:r>
                    <w:rPr>
                      <w:b/>
                      <w:color w:val="auto"/>
                      <w:sz w:val="21"/>
                      <w:szCs w:val="21"/>
                    </w:rPr>
                    <w:t>监测因子</w:t>
                  </w:r>
                </w:p>
              </w:tc>
              <w:tc>
                <w:tcPr>
                  <w:tcW w:w="2682" w:type="pct"/>
                  <w:noWrap w:val="0"/>
                  <w:vAlign w:val="center"/>
                </w:tcPr>
                <w:p w14:paraId="665620AB">
                  <w:pPr>
                    <w:snapToGrid w:val="0"/>
                    <w:spacing w:line="280" w:lineRule="exact"/>
                    <w:jc w:val="center"/>
                    <w:rPr>
                      <w:b/>
                      <w:color w:val="auto"/>
                      <w:sz w:val="21"/>
                      <w:szCs w:val="21"/>
                    </w:rPr>
                  </w:pPr>
                  <w:r>
                    <w:rPr>
                      <w:b/>
                      <w:color w:val="auto"/>
                      <w:sz w:val="21"/>
                      <w:szCs w:val="21"/>
                    </w:rPr>
                    <w:t>监测频次</w:t>
                  </w:r>
                </w:p>
              </w:tc>
            </w:tr>
            <w:tr w14:paraId="7C69B3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2" w:type="pct"/>
                  <w:noWrap w:val="0"/>
                  <w:vAlign w:val="center"/>
                </w:tcPr>
                <w:p w14:paraId="50DABBB1">
                  <w:pPr>
                    <w:snapToGrid w:val="0"/>
                    <w:spacing w:line="280" w:lineRule="exact"/>
                    <w:jc w:val="center"/>
                    <w:rPr>
                      <w:color w:val="auto"/>
                      <w:sz w:val="21"/>
                      <w:szCs w:val="21"/>
                    </w:rPr>
                  </w:pPr>
                  <w:r>
                    <w:rPr>
                      <w:color w:val="auto"/>
                      <w:sz w:val="21"/>
                      <w:szCs w:val="21"/>
                    </w:rPr>
                    <w:t>厂界四周</w:t>
                  </w:r>
                </w:p>
              </w:tc>
              <w:tc>
                <w:tcPr>
                  <w:tcW w:w="1166" w:type="pct"/>
                  <w:noWrap w:val="0"/>
                  <w:vAlign w:val="center"/>
                </w:tcPr>
                <w:p w14:paraId="6CFDF8FF">
                  <w:pPr>
                    <w:snapToGrid w:val="0"/>
                    <w:spacing w:line="280" w:lineRule="exact"/>
                    <w:jc w:val="center"/>
                    <w:rPr>
                      <w:color w:val="auto"/>
                      <w:sz w:val="21"/>
                      <w:szCs w:val="21"/>
                    </w:rPr>
                  </w:pPr>
                  <w:r>
                    <w:rPr>
                      <w:bCs/>
                      <w:color w:val="auto"/>
                      <w:sz w:val="21"/>
                      <w:szCs w:val="21"/>
                    </w:rPr>
                    <w:t>等效连续A声级</w:t>
                  </w:r>
                </w:p>
              </w:tc>
              <w:tc>
                <w:tcPr>
                  <w:tcW w:w="2682" w:type="pct"/>
                  <w:noWrap w:val="0"/>
                  <w:vAlign w:val="center"/>
                </w:tcPr>
                <w:p w14:paraId="2DA2FEDB">
                  <w:pPr>
                    <w:snapToGrid w:val="0"/>
                    <w:spacing w:line="280" w:lineRule="exact"/>
                    <w:jc w:val="center"/>
                    <w:rPr>
                      <w:color w:val="auto"/>
                      <w:sz w:val="21"/>
                      <w:szCs w:val="21"/>
                    </w:rPr>
                  </w:pPr>
                  <w:r>
                    <w:rPr>
                      <w:color w:val="auto"/>
                      <w:sz w:val="21"/>
                      <w:szCs w:val="21"/>
                    </w:rPr>
                    <w:t>根据《排污单位自行监测技术指南 总则》（HJ819-2017）要求每</w:t>
                  </w:r>
                  <w:r>
                    <w:rPr>
                      <w:rFonts w:hint="eastAsia"/>
                      <w:color w:val="auto"/>
                      <w:sz w:val="21"/>
                      <w:szCs w:val="21"/>
                    </w:rPr>
                    <w:t>季度</w:t>
                  </w:r>
                  <w:r>
                    <w:rPr>
                      <w:color w:val="auto"/>
                      <w:sz w:val="21"/>
                      <w:szCs w:val="21"/>
                    </w:rPr>
                    <w:t>监测一次</w:t>
                  </w:r>
                </w:p>
              </w:tc>
            </w:tr>
          </w:tbl>
          <w:p w14:paraId="3B62E26A">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pacing w:val="-4"/>
                <w:sz w:val="24"/>
                <w:szCs w:val="24"/>
              </w:rPr>
            </w:pPr>
            <w:r>
              <w:rPr>
                <w:b/>
                <w:bCs/>
                <w:color w:val="auto"/>
                <w:spacing w:val="-4"/>
                <w:sz w:val="24"/>
                <w:szCs w:val="24"/>
              </w:rPr>
              <w:t>4、固体废物</w:t>
            </w:r>
          </w:p>
          <w:p w14:paraId="581F06A3">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b/>
                <w:bCs/>
                <w:color w:val="auto"/>
                <w:sz w:val="24"/>
                <w:szCs w:val="24"/>
              </w:rPr>
            </w:pPr>
            <w:r>
              <w:rPr>
                <w:b/>
                <w:bCs/>
                <w:color w:val="auto"/>
                <w:sz w:val="24"/>
                <w:szCs w:val="24"/>
              </w:rPr>
              <w:t>4.1产生源强核算</w:t>
            </w:r>
          </w:p>
          <w:p w14:paraId="2D0D84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bCs/>
                <w:color w:val="auto"/>
                <w:sz w:val="24"/>
                <w:szCs w:val="24"/>
                <w:lang w:val="en-US" w:eastAsia="zh-CN"/>
              </w:rPr>
            </w:pPr>
            <w:r>
              <w:rPr>
                <w:rFonts w:hint="eastAsia" w:cs="Times New Roman"/>
                <w:bCs/>
                <w:color w:val="auto"/>
                <w:sz w:val="24"/>
                <w:szCs w:val="24"/>
                <w:lang w:val="en-US" w:eastAsia="zh-CN"/>
              </w:rPr>
              <w:t>本项目产生的固废为一般固废、危险废物、生活垃圾等</w:t>
            </w:r>
          </w:p>
          <w:p w14:paraId="128138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bCs/>
                <w:color w:val="auto"/>
                <w:sz w:val="24"/>
                <w:szCs w:val="24"/>
                <w:lang w:val="en-US" w:eastAsia="zh-CN"/>
              </w:rPr>
            </w:pPr>
            <w:r>
              <w:rPr>
                <w:rFonts w:hint="eastAsia" w:cs="Times New Roman"/>
                <w:bCs/>
                <w:color w:val="auto"/>
                <w:sz w:val="24"/>
                <w:szCs w:val="24"/>
                <w:lang w:val="en-US" w:eastAsia="zh-CN"/>
              </w:rPr>
              <w:t>（1）试剂废包装纸箱</w:t>
            </w:r>
          </w:p>
          <w:p w14:paraId="34361C7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Cs/>
                <w:color w:val="auto"/>
                <w:sz w:val="24"/>
                <w:szCs w:val="24"/>
                <w:lang w:val="en-US" w:eastAsia="zh-CN"/>
              </w:rPr>
            </w:pPr>
            <w:r>
              <w:rPr>
                <w:rFonts w:hint="eastAsia" w:ascii="Times New Roman" w:hAnsi="Times New Roman" w:cs="Times New Roman"/>
                <w:bCs/>
                <w:color w:val="auto"/>
                <w:sz w:val="24"/>
                <w:szCs w:val="24"/>
                <w:lang w:val="en-US" w:eastAsia="zh-CN"/>
              </w:rPr>
              <w:t>根据企业提供资料，废包装的产生量为</w:t>
            </w:r>
            <w:r>
              <w:rPr>
                <w:rFonts w:hint="eastAsia" w:cs="Times New Roman"/>
                <w:bCs/>
                <w:color w:val="auto"/>
                <w:sz w:val="24"/>
                <w:szCs w:val="24"/>
                <w:lang w:val="en-US" w:eastAsia="zh-CN"/>
              </w:rPr>
              <w:t>0.05t/a。</w:t>
            </w:r>
          </w:p>
          <w:p w14:paraId="77F70EF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bCs/>
                <w:color w:val="auto"/>
                <w:sz w:val="24"/>
                <w:szCs w:val="24"/>
                <w:lang w:val="en-US" w:eastAsia="zh-CN"/>
              </w:rPr>
            </w:pPr>
            <w:r>
              <w:rPr>
                <w:rFonts w:hint="eastAsia" w:cs="Times New Roman"/>
                <w:bCs/>
                <w:color w:val="auto"/>
                <w:sz w:val="24"/>
                <w:szCs w:val="24"/>
                <w:lang w:val="en-US" w:eastAsia="zh-CN"/>
              </w:rPr>
              <w:t>（1）纯水废瓶</w:t>
            </w:r>
          </w:p>
          <w:p w14:paraId="191B7B8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bCs/>
                <w:color w:val="auto"/>
                <w:sz w:val="24"/>
                <w:szCs w:val="24"/>
                <w:lang w:val="en-US" w:eastAsia="zh-CN"/>
              </w:rPr>
            </w:pPr>
            <w:r>
              <w:rPr>
                <w:rFonts w:hint="eastAsia" w:ascii="Times New Roman" w:hAnsi="Times New Roman" w:cs="Times New Roman"/>
                <w:bCs/>
                <w:color w:val="auto"/>
                <w:sz w:val="24"/>
                <w:szCs w:val="24"/>
                <w:lang w:val="en-US" w:eastAsia="zh-CN"/>
              </w:rPr>
              <w:t>根据企业提供资料，废包装的产生量为</w:t>
            </w:r>
            <w:r>
              <w:rPr>
                <w:rFonts w:hint="eastAsia" w:cs="Times New Roman"/>
                <w:bCs/>
                <w:color w:val="auto"/>
                <w:sz w:val="24"/>
                <w:szCs w:val="24"/>
                <w:lang w:val="en-US" w:eastAsia="zh-CN"/>
              </w:rPr>
              <w:t>0.02t/a</w:t>
            </w:r>
          </w:p>
          <w:p w14:paraId="7BB49DD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3</w:t>
            </w:r>
            <w:r>
              <w:rPr>
                <w:rFonts w:hint="eastAsia" w:ascii="Times New Roman" w:hAnsi="Times New Roman" w:cs="Times New Roman"/>
                <w:bCs/>
                <w:color w:val="auto"/>
                <w:sz w:val="24"/>
                <w:szCs w:val="24"/>
                <w:lang w:val="en-US" w:eastAsia="zh-CN"/>
              </w:rPr>
              <w:t>）试剂</w:t>
            </w:r>
            <w:r>
              <w:rPr>
                <w:rFonts w:hint="eastAsia" w:cs="Times New Roman"/>
                <w:bCs/>
                <w:color w:val="auto"/>
                <w:sz w:val="24"/>
                <w:szCs w:val="24"/>
                <w:lang w:val="en-US" w:eastAsia="zh-CN"/>
              </w:rPr>
              <w:t>废瓶</w:t>
            </w:r>
          </w:p>
          <w:p w14:paraId="5AA9E1D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根据企业提供资料，试剂</w:t>
            </w:r>
            <w:r>
              <w:rPr>
                <w:rFonts w:hint="eastAsia" w:cs="Times New Roman"/>
                <w:bCs/>
                <w:color w:val="auto"/>
                <w:sz w:val="24"/>
                <w:szCs w:val="24"/>
                <w:lang w:val="en-US" w:eastAsia="zh-CN"/>
              </w:rPr>
              <w:t>废瓶</w:t>
            </w:r>
            <w:r>
              <w:rPr>
                <w:rFonts w:hint="eastAsia" w:ascii="Times New Roman" w:hAnsi="Times New Roman" w:cs="Times New Roman"/>
                <w:bCs/>
                <w:color w:val="auto"/>
                <w:sz w:val="24"/>
                <w:szCs w:val="24"/>
                <w:lang w:val="en-US" w:eastAsia="zh-CN"/>
              </w:rPr>
              <w:t>产生量为</w:t>
            </w:r>
            <w:r>
              <w:rPr>
                <w:rFonts w:hint="eastAsia" w:cs="Times New Roman"/>
                <w:bCs/>
                <w:color w:val="auto"/>
                <w:sz w:val="24"/>
                <w:szCs w:val="24"/>
                <w:lang w:val="en-US" w:eastAsia="zh-CN"/>
              </w:rPr>
              <w:t>0.05t/a。</w:t>
            </w:r>
          </w:p>
          <w:p w14:paraId="082CC43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4</w:t>
            </w:r>
            <w:r>
              <w:rPr>
                <w:rFonts w:hint="eastAsia" w:ascii="Times New Roman" w:hAnsi="Times New Roman" w:cs="Times New Roman"/>
                <w:bCs/>
                <w:color w:val="auto"/>
                <w:sz w:val="24"/>
                <w:szCs w:val="24"/>
                <w:lang w:val="en-US" w:eastAsia="zh-CN"/>
              </w:rPr>
              <w:t>）废液</w:t>
            </w:r>
          </w:p>
          <w:p w14:paraId="6C7595D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z w:val="24"/>
                <w:szCs w:val="24"/>
                <w:lang w:val="en-US" w:eastAsia="zh-CN"/>
              </w:rPr>
            </w:pPr>
            <w:r>
              <w:rPr>
                <w:rFonts w:hint="eastAsia" w:cs="Times New Roman"/>
                <w:bCs/>
                <w:color w:val="auto"/>
                <w:sz w:val="24"/>
                <w:szCs w:val="24"/>
                <w:lang w:val="en-US" w:eastAsia="zh-CN"/>
              </w:rPr>
              <w:t>根据工程核算，</w:t>
            </w:r>
            <w:r>
              <w:rPr>
                <w:rFonts w:hint="eastAsia" w:ascii="Times New Roman" w:hAnsi="Times New Roman" w:cs="Times New Roman"/>
                <w:bCs/>
                <w:color w:val="auto"/>
                <w:sz w:val="24"/>
                <w:szCs w:val="24"/>
                <w:lang w:val="en-US" w:eastAsia="zh-CN"/>
              </w:rPr>
              <w:t>本项目产生的废液包括地面清洗废液、设备容器清洗废液、</w:t>
            </w:r>
            <w:r>
              <w:rPr>
                <w:rFonts w:hint="eastAsia" w:cs="Times New Roman"/>
                <w:bCs/>
                <w:color w:val="auto"/>
                <w:sz w:val="24"/>
                <w:szCs w:val="24"/>
                <w:lang w:val="en-US" w:eastAsia="zh-CN"/>
              </w:rPr>
              <w:t>发酵检测废液、不合格品废液、合格品废液</w:t>
            </w:r>
            <w:r>
              <w:rPr>
                <w:rFonts w:hint="eastAsia" w:ascii="Times New Roman" w:hAnsi="Times New Roman" w:cs="Times New Roman"/>
                <w:bCs/>
                <w:color w:val="auto"/>
                <w:sz w:val="24"/>
                <w:szCs w:val="24"/>
                <w:lang w:val="en-US" w:eastAsia="zh-CN"/>
              </w:rPr>
              <w:t>，产生量为</w:t>
            </w:r>
            <w:r>
              <w:rPr>
                <w:rFonts w:hint="eastAsia" w:cs="Times New Roman"/>
                <w:bCs/>
                <w:color w:val="000000" w:themeColor="text1"/>
                <w:sz w:val="24"/>
                <w:szCs w:val="24"/>
                <w:lang w:val="en-US" w:eastAsia="zh-CN"/>
                <w14:textFill>
                  <w14:solidFill>
                    <w14:schemeClr w14:val="tx1"/>
                  </w14:solidFill>
                </w14:textFill>
              </w:rPr>
              <w:t>7.588</w:t>
            </w:r>
            <w:r>
              <w:rPr>
                <w:rFonts w:hint="eastAsia" w:ascii="Times New Roman" w:hAnsi="Times New Roman" w:cs="Times New Roman"/>
                <w:bCs/>
                <w:color w:val="000000" w:themeColor="text1"/>
                <w:sz w:val="24"/>
                <w:szCs w:val="24"/>
                <w:lang w:val="en-US" w:eastAsia="zh-CN"/>
                <w14:textFill>
                  <w14:solidFill>
                    <w14:schemeClr w14:val="tx1"/>
                  </w14:solidFill>
                </w14:textFill>
              </w:rPr>
              <w:t>t/a</w:t>
            </w:r>
            <w:r>
              <w:rPr>
                <w:rFonts w:hint="eastAsia" w:cs="Times New Roman"/>
                <w:bCs/>
                <w:color w:val="000000" w:themeColor="text1"/>
                <w:sz w:val="24"/>
                <w:szCs w:val="24"/>
                <w:lang w:val="en-US" w:eastAsia="zh-CN"/>
                <w14:textFill>
                  <w14:solidFill>
                    <w14:schemeClr w14:val="tx1"/>
                  </w14:solidFill>
                </w14:textFill>
              </w:rPr>
              <w:t>；地面清洗废水产生量1.5t/a，容器清洗废水5.5t/a，不合格品废液、合格品废液产生量0.588t/a。</w:t>
            </w:r>
          </w:p>
          <w:p w14:paraId="1CD2F38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bCs/>
                <w:color w:val="auto"/>
                <w:sz w:val="24"/>
                <w:szCs w:val="24"/>
                <w:lang w:val="en-US" w:eastAsia="zh-CN"/>
              </w:rPr>
            </w:pPr>
            <w:r>
              <w:rPr>
                <w:rFonts w:hint="eastAsia" w:cs="Times New Roman"/>
                <w:bCs/>
                <w:color w:val="auto"/>
                <w:sz w:val="24"/>
                <w:szCs w:val="24"/>
                <w:lang w:val="en-US" w:eastAsia="zh-CN"/>
              </w:rPr>
              <w:t>（5）废渣</w:t>
            </w:r>
          </w:p>
          <w:p w14:paraId="0F513BA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bCs/>
                <w:color w:val="auto"/>
                <w:sz w:val="24"/>
                <w:szCs w:val="24"/>
                <w:lang w:val="en-US" w:eastAsia="zh-CN"/>
              </w:rPr>
            </w:pPr>
            <w:r>
              <w:rPr>
                <w:rFonts w:hint="eastAsia" w:cs="Times New Roman"/>
                <w:bCs/>
                <w:color w:val="auto"/>
                <w:sz w:val="24"/>
                <w:szCs w:val="24"/>
                <w:lang w:val="en-US" w:eastAsia="zh-CN"/>
              </w:rPr>
              <w:t>根据企业提供资料，本项目产生的废渣为废固体培养基，产生量为0.1t/a。</w:t>
            </w:r>
          </w:p>
          <w:p w14:paraId="08DC55D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6</w:t>
            </w:r>
            <w:r>
              <w:rPr>
                <w:rFonts w:hint="eastAsia" w:ascii="Times New Roman" w:hAnsi="Times New Roman"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废活性炭</w:t>
            </w:r>
          </w:p>
          <w:p w14:paraId="0ED72557">
            <w:pPr>
              <w:pStyle w:val="105"/>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废气处理设施“二级活性炭吸附装置”废活性炭：</w:t>
            </w:r>
            <w:r>
              <w:rPr>
                <w:rFonts w:hint="default" w:ascii="Times New Roman" w:hAnsi="Times New Roman" w:eastAsia="宋体" w:cs="Times New Roman"/>
                <w:color w:val="000000" w:themeColor="text1"/>
                <w:sz w:val="24"/>
                <w14:textFill>
                  <w14:solidFill>
                    <w14:schemeClr w14:val="tx1"/>
                  </w14:solidFill>
                </w14:textFill>
              </w:rPr>
              <w:t>根据《江苏省生态环境厅关于将排污单位活性炭使用纳入排污许可管理的通知》（苏环办〔2021〕218号），活性炭更换周期计算如下：</w:t>
            </w:r>
          </w:p>
          <w:p w14:paraId="39091AE7">
            <w:pPr>
              <w:keepNext w:val="0"/>
              <w:keepLines w:val="0"/>
              <w:pageBreakBefore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T=m×s÷（c×10</w:t>
            </w:r>
            <w:r>
              <w:rPr>
                <w:rFonts w:hint="default" w:ascii="Times New Roman" w:hAnsi="Times New Roman" w:eastAsia="宋体" w:cs="Times New Roman"/>
                <w:color w:val="000000" w:themeColor="text1"/>
                <w:sz w:val="24"/>
                <w:vertAlign w:val="superscript"/>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×Q×t）</w:t>
            </w:r>
          </w:p>
          <w:p w14:paraId="3A21C199">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式中：T—更换周期，天；</w:t>
            </w:r>
          </w:p>
          <w:p w14:paraId="30A7A0F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m—活性炭的用量，kg；</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废气处理设施“二级活性炭吸附装置”</w:t>
            </w:r>
            <w:r>
              <w:rPr>
                <w:rFonts w:hint="default" w:ascii="Times New Roman" w:hAnsi="Times New Roman" w:eastAsia="宋体" w:cs="Times New Roman"/>
                <w:color w:val="000000" w:themeColor="text1"/>
                <w:sz w:val="24"/>
                <w14:textFill>
                  <w14:solidFill>
                    <w14:schemeClr w14:val="tx1"/>
                  </w14:solidFill>
                </w14:textFill>
              </w:rPr>
              <w:t>中活性炭装填量为</w:t>
            </w:r>
            <w:r>
              <w:rPr>
                <w:rFonts w:hint="eastAsia" w:cs="Times New Roman"/>
                <w:color w:val="000000" w:themeColor="text1"/>
                <w:sz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14:textFill>
                  <w14:solidFill>
                    <w14:schemeClr w14:val="tx1"/>
                  </w14:solidFill>
                </w14:textFill>
              </w:rPr>
              <w:t>kg。</w:t>
            </w:r>
          </w:p>
          <w:p w14:paraId="67748BC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s—动态吸附量，%；（</w:t>
            </w:r>
            <w:r>
              <w:rPr>
                <w:rFonts w:hint="default" w:ascii="Times New Roman" w:hAnsi="Times New Roman" w:eastAsia="宋体" w:cs="Times New Roman"/>
                <w:color w:val="000000" w:themeColor="text1"/>
                <w:sz w:val="24"/>
                <w:lang w:val="en-US" w:eastAsia="zh-CN"/>
                <w14:textFill>
                  <w14:solidFill>
                    <w14:schemeClr w14:val="tx1"/>
                  </w14:solidFill>
                </w14:textFill>
              </w:rPr>
              <w:t>注：</w:t>
            </w:r>
            <w:r>
              <w:rPr>
                <w:rFonts w:hint="default" w:ascii="Times New Roman" w:hAnsi="Times New Roman" w:eastAsia="宋体" w:cs="Times New Roman"/>
                <w:color w:val="000000" w:themeColor="text1"/>
                <w:sz w:val="24"/>
                <w14:textFill>
                  <w14:solidFill>
                    <w14:schemeClr w14:val="tx1"/>
                  </w14:solidFill>
                </w14:textFill>
              </w:rPr>
              <w:t>本项目采用一次性颗粒活性炭，碘值不小于800，比表面积≥850m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/g，根据《省生态环境厅关于深入开展涉VOCs治理重点工作核查的通知》（苏环办〔2022〕218号），每5吨活性炭吸附1吨有机废气，因此，动态吸附量取值20%。）</w:t>
            </w:r>
          </w:p>
          <w:p w14:paraId="5426B759">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c—活性炭削减的VOCs浓度，mg/m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“二级活性炭吸附装置”</w:t>
            </w:r>
            <w:r>
              <w:rPr>
                <w:rFonts w:hint="default" w:ascii="Times New Roman" w:hAnsi="Times New Roman" w:eastAsia="宋体" w:cs="Times New Roman"/>
                <w:color w:val="000000" w:themeColor="text1"/>
                <w:sz w:val="24"/>
                <w14:textFill>
                  <w14:solidFill>
                    <w14:schemeClr w14:val="tx1"/>
                  </w14:solidFill>
                </w14:textFill>
              </w:rPr>
              <w:t>削减的VOCs浓度为</w:t>
            </w:r>
            <w:r>
              <w:rPr>
                <w:rFonts w:hint="eastAsia" w:cs="Times New Roman"/>
                <w:color w:val="000000" w:themeColor="text1"/>
                <w:sz w:val="24"/>
                <w:lang w:val="en-US" w:eastAsia="zh-CN"/>
                <w14:textFill>
                  <w14:solidFill>
                    <w14:schemeClr w14:val="tx1"/>
                  </w14:solidFill>
                </w14:textFill>
              </w:rPr>
              <w:t>13.163</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6706B86D">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Q—风量，单位m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/h；废气处理设施设计风量为</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000m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/h。</w:t>
            </w:r>
          </w:p>
          <w:p w14:paraId="6F05D9AF">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t—运行时间，单位h/d。废气处理设施日运行</w:t>
            </w:r>
            <w:r>
              <w:rPr>
                <w:rFonts w:hint="default" w:ascii="Times New Roman" w:hAnsi="Times New Roman" w:eastAsia="宋体"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14:textFill>
                  <w14:solidFill>
                    <w14:schemeClr w14:val="tx1"/>
                  </w14:solidFill>
                </w14:textFill>
              </w:rPr>
              <w:t>h。</w:t>
            </w:r>
          </w:p>
          <w:p w14:paraId="0F1665C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根据上述公式及参数计算得废气处理设施活性炭更换周期为</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d/次，每年更换约</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次。根据工程核算，</w:t>
            </w:r>
            <w:r>
              <w:rPr>
                <w:rFonts w:hint="eastAsia" w:cs="Times New Roman"/>
                <w:color w:val="000000" w:themeColor="text1"/>
                <w:sz w:val="24"/>
                <w:lang w:val="en-US" w:eastAsia="zh-CN"/>
                <w14:textFill>
                  <w14:solidFill>
                    <w14:schemeClr w14:val="tx1"/>
                  </w14:solidFill>
                </w14:textFill>
              </w:rPr>
              <w:t>废气</w:t>
            </w:r>
            <w:r>
              <w:rPr>
                <w:rFonts w:hint="default" w:ascii="Times New Roman" w:hAnsi="Times New Roman" w:eastAsia="宋体" w:cs="Times New Roman"/>
                <w:color w:val="000000" w:themeColor="text1"/>
                <w:sz w:val="24"/>
                <w14:textFill>
                  <w14:solidFill>
                    <w14:schemeClr w14:val="tx1"/>
                  </w14:solidFill>
                </w14:textFill>
              </w:rPr>
              <w:t>吸附量约为</w:t>
            </w:r>
            <w:r>
              <w:rPr>
                <w:rFonts w:hint="eastAsia" w:ascii="Times New Roman" w:hAnsi="Times New Roman" w:eastAsia="宋体" w:cs="Times New Roman"/>
                <w:color w:val="000000" w:themeColor="text1"/>
                <w:sz w:val="24"/>
                <w:lang w:val="en-US" w:eastAsia="zh-CN"/>
                <w14:textFill>
                  <w14:solidFill>
                    <w14:schemeClr w14:val="tx1"/>
                  </w14:solidFill>
                </w14:textFill>
              </w:rPr>
              <w:t>0.0</w:t>
            </w:r>
            <w:r>
              <w:rPr>
                <w:rFonts w:hint="eastAsia" w:cs="Times New Roman"/>
                <w:color w:val="000000" w:themeColor="text1"/>
                <w:sz w:val="24"/>
                <w:lang w:val="en-US" w:eastAsia="zh-CN"/>
                <w14:textFill>
                  <w14:solidFill>
                    <w14:schemeClr w14:val="tx1"/>
                  </w14:solidFill>
                </w14:textFill>
              </w:rPr>
              <w:t>31</w:t>
            </w:r>
            <w:r>
              <w:rPr>
                <w:rFonts w:hint="default" w:ascii="Times New Roman" w:hAnsi="Times New Roman" w:eastAsia="宋体" w:cs="Times New Roman"/>
                <w:color w:val="000000" w:themeColor="text1"/>
                <w:sz w:val="24"/>
                <w14:textFill>
                  <w14:solidFill>
                    <w14:schemeClr w14:val="tx1"/>
                  </w14:solidFill>
                </w14:textFill>
              </w:rPr>
              <w:t>t/a，则废活性炭产生量约为</w:t>
            </w:r>
            <w:r>
              <w:rPr>
                <w:rFonts w:hint="eastAsia" w:cs="Times New Roman"/>
                <w:color w:val="000000" w:themeColor="text1"/>
                <w:sz w:val="24"/>
                <w:lang w:val="en-US" w:eastAsia="zh-CN"/>
                <w14:textFill>
                  <w14:solidFill>
                    <w14:schemeClr w14:val="tx1"/>
                  </w14:solidFill>
                </w14:textFill>
              </w:rPr>
              <w:t>0.231</w:t>
            </w:r>
            <w:r>
              <w:rPr>
                <w:rFonts w:hint="default" w:ascii="Times New Roman" w:hAnsi="Times New Roman" w:eastAsia="宋体" w:cs="Times New Roman"/>
                <w:color w:val="000000" w:themeColor="text1"/>
                <w:sz w:val="24"/>
                <w14:textFill>
                  <w14:solidFill>
                    <w14:schemeClr w14:val="tx1"/>
                  </w14:solidFill>
                </w14:textFill>
              </w:rPr>
              <w:t>t/a，收集后暂存于危废库，委托有资质单位妥善处置。</w:t>
            </w:r>
          </w:p>
          <w:p w14:paraId="6E3432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z w:val="24"/>
                <w:szCs w:val="24"/>
                <w:lang w:val="en-US" w:eastAsia="zh-CN"/>
              </w:rPr>
            </w:pPr>
            <w:r>
              <w:rPr>
                <w:rFonts w:hint="eastAsia" w:cs="Times New Roman"/>
                <w:bCs/>
                <w:color w:val="auto"/>
                <w:sz w:val="24"/>
                <w:szCs w:val="24"/>
                <w:lang w:val="en-US" w:eastAsia="zh-CN"/>
              </w:rPr>
              <w:t>（7）</w:t>
            </w:r>
            <w:r>
              <w:rPr>
                <w:rFonts w:hint="eastAsia" w:ascii="Times New Roman" w:hAnsi="Times New Roman" w:cs="Times New Roman"/>
                <w:bCs/>
                <w:color w:val="auto"/>
                <w:sz w:val="24"/>
                <w:szCs w:val="24"/>
                <w:lang w:val="en-US" w:eastAsia="zh-CN"/>
              </w:rPr>
              <w:t>生活垃圾</w:t>
            </w:r>
          </w:p>
          <w:p w14:paraId="4E32F5C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本项目员工共</w:t>
            </w:r>
            <w:r>
              <w:rPr>
                <w:rFonts w:hint="eastAsia" w:cs="Times New Roman"/>
                <w:bCs/>
                <w:color w:val="auto"/>
                <w:sz w:val="24"/>
                <w:szCs w:val="24"/>
                <w:lang w:val="en-US" w:eastAsia="zh-CN"/>
              </w:rPr>
              <w:t>10</w:t>
            </w:r>
            <w:r>
              <w:rPr>
                <w:rFonts w:hint="eastAsia" w:ascii="Times New Roman" w:hAnsi="Times New Roman" w:cs="Times New Roman"/>
                <w:bCs/>
                <w:color w:val="auto"/>
                <w:sz w:val="24"/>
                <w:szCs w:val="24"/>
                <w:lang w:val="en-US" w:eastAsia="zh-CN"/>
              </w:rPr>
              <w:t>人，年工作日</w:t>
            </w:r>
            <w:r>
              <w:rPr>
                <w:rFonts w:hint="eastAsia" w:cs="Times New Roman"/>
                <w:bCs/>
                <w:color w:val="auto"/>
                <w:sz w:val="24"/>
                <w:szCs w:val="24"/>
                <w:lang w:val="en-US" w:eastAsia="zh-CN"/>
              </w:rPr>
              <w:t>300</w:t>
            </w:r>
            <w:r>
              <w:rPr>
                <w:rFonts w:hint="eastAsia" w:ascii="Times New Roman" w:hAnsi="Times New Roman" w:cs="Times New Roman"/>
                <w:bCs/>
                <w:color w:val="auto"/>
                <w:sz w:val="24"/>
                <w:szCs w:val="24"/>
                <w:lang w:val="en-US" w:eastAsia="zh-CN"/>
              </w:rPr>
              <w:t>天，每人每天按0.5kg计，生活垃圾的产生量为</w:t>
            </w:r>
            <w:r>
              <w:rPr>
                <w:rFonts w:hint="eastAsia" w:cs="Times New Roman"/>
                <w:bCs/>
                <w:color w:val="auto"/>
                <w:sz w:val="24"/>
                <w:szCs w:val="24"/>
                <w:lang w:val="en-US" w:eastAsia="zh-CN"/>
              </w:rPr>
              <w:t>1.5</w:t>
            </w:r>
            <w:r>
              <w:rPr>
                <w:rFonts w:hint="eastAsia" w:ascii="Times New Roman" w:hAnsi="Times New Roman" w:cs="Times New Roman"/>
                <w:bCs/>
                <w:color w:val="auto"/>
                <w:sz w:val="24"/>
                <w:szCs w:val="24"/>
                <w:lang w:val="en-US" w:eastAsia="zh-CN"/>
              </w:rPr>
              <w:t>t/a，生活垃圾由当地环卫部门统一处理。</w:t>
            </w:r>
          </w:p>
          <w:p w14:paraId="74B43AB3">
            <w:pPr>
              <w:keepNext w:val="0"/>
              <w:keepLines w:val="0"/>
              <w:pageBreakBefore w:val="0"/>
              <w:widowControl w:val="0"/>
              <w:tabs>
                <w:tab w:val="left" w:pos="1684"/>
              </w:tabs>
              <w:kinsoku/>
              <w:wordWrap/>
              <w:overflowPunct/>
              <w:topLinePunct w:val="0"/>
              <w:autoSpaceDE/>
              <w:autoSpaceDN/>
              <w:bidi w:val="0"/>
              <w:adjustRightInd/>
              <w:snapToGrid/>
              <w:spacing w:line="480" w:lineRule="exact"/>
              <w:ind w:firstLine="482" w:firstLineChars="200"/>
              <w:textAlignment w:val="auto"/>
              <w:rPr>
                <w:b/>
                <w:bCs/>
                <w:color w:val="auto"/>
                <w:sz w:val="24"/>
                <w:szCs w:val="24"/>
              </w:rPr>
            </w:pPr>
            <w:r>
              <w:rPr>
                <w:b/>
                <w:bCs/>
                <w:color w:val="auto"/>
                <w:sz w:val="24"/>
                <w:szCs w:val="24"/>
              </w:rPr>
              <w:t>4.2固体废物属性判定</w:t>
            </w:r>
          </w:p>
          <w:p w14:paraId="172D3D7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bCs/>
                <w:color w:val="auto"/>
                <w:sz w:val="24"/>
                <w:szCs w:val="24"/>
              </w:rPr>
            </w:pPr>
            <w:r>
              <w:rPr>
                <w:bCs/>
                <w:color w:val="auto"/>
                <w:sz w:val="24"/>
                <w:szCs w:val="24"/>
              </w:rPr>
              <w:t>根据《中华人民共和国固体废物污染环境防治法》、《固体废物鉴别标准 通则》（GB34330-2017），依据产生来源固体废物鉴别结果见表4-</w:t>
            </w:r>
            <w:r>
              <w:rPr>
                <w:rFonts w:hint="eastAsia"/>
                <w:bCs/>
                <w:color w:val="auto"/>
                <w:sz w:val="24"/>
                <w:szCs w:val="24"/>
                <w:lang w:val="en-US" w:eastAsia="zh-CN"/>
              </w:rPr>
              <w:t>18</w:t>
            </w:r>
            <w:r>
              <w:rPr>
                <w:bCs/>
                <w:color w:val="auto"/>
                <w:sz w:val="24"/>
                <w:szCs w:val="24"/>
              </w:rPr>
              <w:t>。</w:t>
            </w:r>
          </w:p>
          <w:p w14:paraId="3DC4A38B">
            <w:pPr>
              <w:spacing w:line="360" w:lineRule="exact"/>
              <w:jc w:val="center"/>
              <w:rPr>
                <w:b/>
                <w:color w:val="auto"/>
                <w:sz w:val="21"/>
                <w:szCs w:val="21"/>
              </w:rPr>
            </w:pPr>
            <w:r>
              <w:rPr>
                <w:b/>
                <w:color w:val="auto"/>
                <w:sz w:val="21"/>
                <w:szCs w:val="21"/>
              </w:rPr>
              <w:t>表4-</w:t>
            </w:r>
            <w:r>
              <w:rPr>
                <w:rFonts w:hint="eastAsia"/>
                <w:b/>
                <w:color w:val="auto"/>
                <w:sz w:val="21"/>
                <w:szCs w:val="21"/>
                <w:lang w:val="en-US" w:eastAsia="zh-CN"/>
              </w:rPr>
              <w:t>18</w:t>
            </w:r>
            <w:r>
              <w:rPr>
                <w:b/>
                <w:color w:val="auto"/>
                <w:sz w:val="21"/>
                <w:szCs w:val="21"/>
              </w:rPr>
              <w:t xml:space="preserve"> 本项目固体废物鉴别情况汇总表（t/a）</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72"/>
              <w:gridCol w:w="1255"/>
              <w:gridCol w:w="521"/>
              <w:gridCol w:w="1958"/>
              <w:gridCol w:w="871"/>
              <w:gridCol w:w="627"/>
              <w:gridCol w:w="602"/>
              <w:gridCol w:w="822"/>
            </w:tblGrid>
            <w:tr w14:paraId="5A328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8" w:type="pct"/>
                  <w:vMerge w:val="restart"/>
                  <w:noWrap w:val="0"/>
                  <w:vAlign w:val="center"/>
                </w:tcPr>
                <w:p w14:paraId="071FBB6D">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序号</w:t>
                  </w:r>
                </w:p>
              </w:tc>
              <w:tc>
                <w:tcPr>
                  <w:tcW w:w="718" w:type="pct"/>
                  <w:vMerge w:val="restart"/>
                  <w:noWrap w:val="0"/>
                  <w:vAlign w:val="center"/>
                </w:tcPr>
                <w:p w14:paraId="1FF414C4">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固废名称</w:t>
                  </w:r>
                </w:p>
              </w:tc>
              <w:tc>
                <w:tcPr>
                  <w:tcW w:w="768" w:type="pct"/>
                  <w:vMerge w:val="restart"/>
                  <w:noWrap w:val="0"/>
                  <w:vAlign w:val="center"/>
                </w:tcPr>
                <w:p w14:paraId="3B5D733B">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产生工序</w:t>
                  </w:r>
                </w:p>
              </w:tc>
              <w:tc>
                <w:tcPr>
                  <w:tcW w:w="324" w:type="pct"/>
                  <w:vMerge w:val="restart"/>
                  <w:noWrap w:val="0"/>
                  <w:vAlign w:val="center"/>
                </w:tcPr>
                <w:p w14:paraId="64BE2598">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形态</w:t>
                  </w:r>
                </w:p>
              </w:tc>
              <w:tc>
                <w:tcPr>
                  <w:tcW w:w="1194" w:type="pct"/>
                  <w:vMerge w:val="restart"/>
                  <w:noWrap w:val="0"/>
                  <w:vAlign w:val="center"/>
                </w:tcPr>
                <w:p w14:paraId="17F55FDD">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主要成分</w:t>
                  </w:r>
                </w:p>
              </w:tc>
              <w:tc>
                <w:tcPr>
                  <w:tcW w:w="468" w:type="pct"/>
                  <w:vMerge w:val="restart"/>
                  <w:noWrap w:val="0"/>
                  <w:vAlign w:val="center"/>
                </w:tcPr>
                <w:p w14:paraId="65A2710E">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预测产生量（t/a）</w:t>
                  </w:r>
                </w:p>
              </w:tc>
              <w:tc>
                <w:tcPr>
                  <w:tcW w:w="1267" w:type="pct"/>
                  <w:gridSpan w:val="3"/>
                  <w:noWrap w:val="0"/>
                  <w:vAlign w:val="center"/>
                </w:tcPr>
                <w:p w14:paraId="79BB35BC">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种类判断</w:t>
                  </w:r>
                </w:p>
              </w:tc>
            </w:tr>
            <w:tr w14:paraId="75C91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8" w:type="pct"/>
                  <w:vMerge w:val="continue"/>
                  <w:noWrap w:val="0"/>
                  <w:vAlign w:val="center"/>
                </w:tcPr>
                <w:p w14:paraId="404718A9">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p>
              </w:tc>
              <w:tc>
                <w:tcPr>
                  <w:tcW w:w="718" w:type="pct"/>
                  <w:vMerge w:val="continue"/>
                  <w:noWrap w:val="0"/>
                  <w:vAlign w:val="center"/>
                </w:tcPr>
                <w:p w14:paraId="39F48372">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p>
              </w:tc>
              <w:tc>
                <w:tcPr>
                  <w:tcW w:w="768" w:type="pct"/>
                  <w:vMerge w:val="continue"/>
                  <w:noWrap w:val="0"/>
                  <w:vAlign w:val="center"/>
                </w:tcPr>
                <w:p w14:paraId="79880C37">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p>
              </w:tc>
              <w:tc>
                <w:tcPr>
                  <w:tcW w:w="324" w:type="pct"/>
                  <w:vMerge w:val="continue"/>
                  <w:noWrap w:val="0"/>
                  <w:vAlign w:val="center"/>
                </w:tcPr>
                <w:p w14:paraId="44F9E515">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p>
              </w:tc>
              <w:tc>
                <w:tcPr>
                  <w:tcW w:w="1194" w:type="pct"/>
                  <w:vMerge w:val="continue"/>
                  <w:noWrap w:val="0"/>
                  <w:vAlign w:val="center"/>
                </w:tcPr>
                <w:p w14:paraId="43E17130">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p>
              </w:tc>
              <w:tc>
                <w:tcPr>
                  <w:tcW w:w="468" w:type="pct"/>
                  <w:vMerge w:val="continue"/>
                  <w:noWrap w:val="0"/>
                  <w:vAlign w:val="center"/>
                </w:tcPr>
                <w:p w14:paraId="2338BFA8">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p>
              </w:tc>
              <w:tc>
                <w:tcPr>
                  <w:tcW w:w="388" w:type="pct"/>
                  <w:noWrap w:val="0"/>
                  <w:vAlign w:val="center"/>
                </w:tcPr>
                <w:p w14:paraId="47FD622E">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固体废物</w:t>
                  </w:r>
                </w:p>
              </w:tc>
              <w:tc>
                <w:tcPr>
                  <w:tcW w:w="373" w:type="pct"/>
                  <w:noWrap w:val="0"/>
                  <w:vAlign w:val="center"/>
                </w:tcPr>
                <w:p w14:paraId="12A7562A">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副产品</w:t>
                  </w:r>
                </w:p>
              </w:tc>
              <w:tc>
                <w:tcPr>
                  <w:tcW w:w="505" w:type="pct"/>
                  <w:noWrap w:val="0"/>
                  <w:vAlign w:val="center"/>
                </w:tcPr>
                <w:p w14:paraId="0E0646DD">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判定</w:t>
                  </w:r>
                </w:p>
                <w:p w14:paraId="083C5725">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依据</w:t>
                  </w:r>
                </w:p>
              </w:tc>
            </w:tr>
            <w:tr w14:paraId="7FB41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noWrap w:val="0"/>
                  <w:vAlign w:val="center"/>
                </w:tcPr>
                <w:p w14:paraId="0C6392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r>
                    <w:rPr>
                      <w:color w:val="auto"/>
                      <w:sz w:val="21"/>
                      <w:szCs w:val="21"/>
                    </w:rPr>
                    <w:t>1</w:t>
                  </w:r>
                </w:p>
              </w:tc>
              <w:tc>
                <w:tcPr>
                  <w:tcW w:w="718" w:type="pct"/>
                  <w:noWrap w:val="0"/>
                  <w:vAlign w:val="center"/>
                </w:tcPr>
                <w:p w14:paraId="57017B8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default" w:eastAsia="宋体"/>
                      <w:color w:val="auto"/>
                      <w:sz w:val="21"/>
                      <w:szCs w:val="21"/>
                      <w:lang w:val="en-US" w:eastAsia="zh-CN"/>
                    </w:rPr>
                    <w:t>试剂废包装纸箱</w:t>
                  </w:r>
                </w:p>
              </w:tc>
              <w:tc>
                <w:tcPr>
                  <w:tcW w:w="768" w:type="pct"/>
                  <w:noWrap w:val="0"/>
                  <w:vAlign w:val="center"/>
                </w:tcPr>
                <w:p w14:paraId="7441FAE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bCs/>
                      <w:color w:val="auto"/>
                      <w:sz w:val="21"/>
                      <w:szCs w:val="21"/>
                      <w:lang w:val="en-US" w:eastAsia="zh-CN"/>
                    </w:rPr>
                  </w:pPr>
                  <w:r>
                    <w:rPr>
                      <w:rFonts w:hint="eastAsia"/>
                      <w:bCs/>
                      <w:color w:val="auto"/>
                      <w:sz w:val="21"/>
                      <w:szCs w:val="21"/>
                      <w:lang w:val="en-US" w:eastAsia="zh-CN"/>
                    </w:rPr>
                    <w:t>拆包</w:t>
                  </w:r>
                </w:p>
              </w:tc>
              <w:tc>
                <w:tcPr>
                  <w:tcW w:w="324" w:type="pct"/>
                  <w:noWrap w:val="0"/>
                  <w:vAlign w:val="center"/>
                </w:tcPr>
                <w:p w14:paraId="25C490F7">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固</w:t>
                  </w:r>
                </w:p>
              </w:tc>
              <w:tc>
                <w:tcPr>
                  <w:tcW w:w="1194" w:type="pct"/>
                  <w:noWrap w:val="0"/>
                  <w:vAlign w:val="center"/>
                </w:tcPr>
                <w:p w14:paraId="278B485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纸</w:t>
                  </w:r>
                </w:p>
              </w:tc>
              <w:tc>
                <w:tcPr>
                  <w:tcW w:w="468" w:type="pct"/>
                  <w:noWrap w:val="0"/>
                  <w:vAlign w:val="center"/>
                </w:tcPr>
                <w:p w14:paraId="0A54C7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0.05</w:t>
                  </w:r>
                </w:p>
              </w:tc>
              <w:tc>
                <w:tcPr>
                  <w:tcW w:w="388" w:type="pct"/>
                  <w:noWrap w:val="0"/>
                  <w:vAlign w:val="center"/>
                </w:tcPr>
                <w:p w14:paraId="719134C8">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373" w:type="pct"/>
                  <w:noWrap w:val="0"/>
                  <w:vAlign w:val="center"/>
                </w:tcPr>
                <w:p w14:paraId="4DB6EB60">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505" w:type="pct"/>
                  <w:vMerge w:val="restart"/>
                  <w:noWrap w:val="0"/>
                  <w:vAlign w:val="center"/>
                </w:tcPr>
                <w:p w14:paraId="31C4D194">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《固体废物鉴别标准通则》</w:t>
                  </w:r>
                </w:p>
              </w:tc>
            </w:tr>
            <w:tr w14:paraId="0ABA6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8" w:type="pct"/>
                  <w:noWrap w:val="0"/>
                  <w:vAlign w:val="center"/>
                </w:tcPr>
                <w:p w14:paraId="3A73E37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r>
                    <w:rPr>
                      <w:color w:val="auto"/>
                      <w:sz w:val="21"/>
                      <w:szCs w:val="21"/>
                    </w:rPr>
                    <w:t>2</w:t>
                  </w:r>
                </w:p>
              </w:tc>
              <w:tc>
                <w:tcPr>
                  <w:tcW w:w="718" w:type="pct"/>
                  <w:noWrap w:val="0"/>
                  <w:vAlign w:val="center"/>
                </w:tcPr>
                <w:p w14:paraId="451FF46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纯水废瓶</w:t>
                  </w:r>
                </w:p>
              </w:tc>
              <w:tc>
                <w:tcPr>
                  <w:tcW w:w="768" w:type="pct"/>
                  <w:noWrap w:val="0"/>
                  <w:vAlign w:val="center"/>
                </w:tcPr>
                <w:p w14:paraId="1E206252">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bCs/>
                      <w:color w:val="auto"/>
                      <w:sz w:val="21"/>
                      <w:szCs w:val="21"/>
                      <w:lang w:val="en-US" w:eastAsia="zh-CN"/>
                    </w:rPr>
                    <w:t>拆包</w:t>
                  </w:r>
                </w:p>
              </w:tc>
              <w:tc>
                <w:tcPr>
                  <w:tcW w:w="324" w:type="pct"/>
                  <w:noWrap w:val="0"/>
                  <w:vAlign w:val="center"/>
                </w:tcPr>
                <w:p w14:paraId="4E3BA69C">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固</w:t>
                  </w:r>
                </w:p>
              </w:tc>
              <w:tc>
                <w:tcPr>
                  <w:tcW w:w="1194" w:type="pct"/>
                  <w:noWrap w:val="0"/>
                  <w:vAlign w:val="center"/>
                </w:tcPr>
                <w:p w14:paraId="7AE1DD5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塑料</w:t>
                  </w:r>
                </w:p>
              </w:tc>
              <w:tc>
                <w:tcPr>
                  <w:tcW w:w="468" w:type="pct"/>
                  <w:noWrap w:val="0"/>
                  <w:vAlign w:val="center"/>
                </w:tcPr>
                <w:p w14:paraId="0CB68F23">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lang w:val="en-US" w:eastAsia="zh-CN"/>
                    </w:rPr>
                    <w:t>0.02</w:t>
                  </w:r>
                </w:p>
              </w:tc>
              <w:tc>
                <w:tcPr>
                  <w:tcW w:w="388" w:type="pct"/>
                  <w:noWrap w:val="0"/>
                  <w:vAlign w:val="center"/>
                </w:tcPr>
                <w:p w14:paraId="6CAAEAA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rPr>
                  </w:pPr>
                  <w:r>
                    <w:rPr>
                      <w:color w:val="auto"/>
                      <w:sz w:val="21"/>
                      <w:szCs w:val="21"/>
                    </w:rPr>
                    <w:t>√</w:t>
                  </w:r>
                </w:p>
              </w:tc>
              <w:tc>
                <w:tcPr>
                  <w:tcW w:w="373" w:type="pct"/>
                  <w:noWrap w:val="0"/>
                  <w:vAlign w:val="center"/>
                </w:tcPr>
                <w:p w14:paraId="62B2174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rPr>
                  </w:pPr>
                  <w:r>
                    <w:rPr>
                      <w:color w:val="auto"/>
                      <w:sz w:val="21"/>
                      <w:szCs w:val="21"/>
                    </w:rPr>
                    <w:t>/</w:t>
                  </w:r>
                </w:p>
              </w:tc>
              <w:tc>
                <w:tcPr>
                  <w:tcW w:w="505" w:type="pct"/>
                  <w:vMerge w:val="continue"/>
                  <w:noWrap w:val="0"/>
                  <w:vAlign w:val="center"/>
                </w:tcPr>
                <w:p w14:paraId="1CE41CF7">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p>
              </w:tc>
            </w:tr>
            <w:tr w14:paraId="7A2D9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8" w:type="pct"/>
                  <w:noWrap w:val="0"/>
                  <w:vAlign w:val="center"/>
                </w:tcPr>
                <w:p w14:paraId="3C3E91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718" w:type="pct"/>
                  <w:noWrap w:val="0"/>
                  <w:vAlign w:val="center"/>
                </w:tcPr>
                <w:p w14:paraId="2D77485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试剂废瓶</w:t>
                  </w:r>
                </w:p>
              </w:tc>
              <w:tc>
                <w:tcPr>
                  <w:tcW w:w="768" w:type="pct"/>
                  <w:noWrap w:val="0"/>
                  <w:vAlign w:val="center"/>
                </w:tcPr>
                <w:p w14:paraId="3BA30D4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Cs/>
                      <w:color w:val="auto"/>
                      <w:sz w:val="21"/>
                      <w:szCs w:val="21"/>
                      <w:lang w:val="en-US" w:eastAsia="zh-CN"/>
                    </w:rPr>
                  </w:pPr>
                  <w:r>
                    <w:rPr>
                      <w:rFonts w:hint="eastAsia"/>
                      <w:bCs/>
                      <w:color w:val="auto"/>
                      <w:sz w:val="21"/>
                      <w:szCs w:val="21"/>
                      <w:lang w:val="en-US" w:eastAsia="zh-CN"/>
                    </w:rPr>
                    <w:t>拆包</w:t>
                  </w:r>
                </w:p>
              </w:tc>
              <w:tc>
                <w:tcPr>
                  <w:tcW w:w="324" w:type="pct"/>
                  <w:noWrap w:val="0"/>
                  <w:vAlign w:val="center"/>
                </w:tcPr>
                <w:p w14:paraId="7581188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rPr>
                  </w:pPr>
                  <w:r>
                    <w:rPr>
                      <w:rFonts w:hint="eastAsia"/>
                      <w:color w:val="auto"/>
                      <w:sz w:val="21"/>
                      <w:szCs w:val="21"/>
                    </w:rPr>
                    <w:t>固</w:t>
                  </w:r>
                </w:p>
              </w:tc>
              <w:tc>
                <w:tcPr>
                  <w:tcW w:w="1194" w:type="pct"/>
                  <w:noWrap w:val="0"/>
                  <w:vAlign w:val="center"/>
                </w:tcPr>
                <w:p w14:paraId="3569DB3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沾染化学品的包装瓶</w:t>
                  </w:r>
                </w:p>
              </w:tc>
              <w:tc>
                <w:tcPr>
                  <w:tcW w:w="468" w:type="pct"/>
                  <w:noWrap w:val="0"/>
                  <w:vAlign w:val="center"/>
                </w:tcPr>
                <w:p w14:paraId="7267FB13">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lang w:val="en-US" w:eastAsia="zh-CN"/>
                    </w:rPr>
                    <w:t>0.05</w:t>
                  </w:r>
                </w:p>
              </w:tc>
              <w:tc>
                <w:tcPr>
                  <w:tcW w:w="388" w:type="pct"/>
                  <w:noWrap w:val="0"/>
                  <w:vAlign w:val="center"/>
                </w:tcPr>
                <w:p w14:paraId="56679F7C">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373" w:type="pct"/>
                  <w:noWrap w:val="0"/>
                  <w:vAlign w:val="center"/>
                </w:tcPr>
                <w:p w14:paraId="0F0B4725">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505" w:type="pct"/>
                  <w:vMerge w:val="continue"/>
                  <w:noWrap w:val="0"/>
                  <w:vAlign w:val="center"/>
                </w:tcPr>
                <w:p w14:paraId="26E8FB09">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p>
              </w:tc>
            </w:tr>
            <w:tr w14:paraId="465E9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58" w:type="pct"/>
                  <w:noWrap w:val="0"/>
                  <w:vAlign w:val="center"/>
                </w:tcPr>
                <w:p w14:paraId="238639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auto"/>
                      <w:sz w:val="21"/>
                      <w:szCs w:val="21"/>
                      <w:lang w:eastAsia="zh-CN"/>
                    </w:rPr>
                  </w:pPr>
                  <w:r>
                    <w:rPr>
                      <w:rFonts w:hint="eastAsia"/>
                      <w:color w:val="auto"/>
                      <w:sz w:val="21"/>
                      <w:szCs w:val="21"/>
                      <w:lang w:val="en-US" w:eastAsia="zh-CN"/>
                    </w:rPr>
                    <w:t>4</w:t>
                  </w:r>
                </w:p>
              </w:tc>
              <w:tc>
                <w:tcPr>
                  <w:tcW w:w="718" w:type="pct"/>
                  <w:noWrap w:val="0"/>
                  <w:vAlign w:val="center"/>
                </w:tcPr>
                <w:p w14:paraId="3BDA73C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废液</w:t>
                  </w:r>
                </w:p>
              </w:tc>
              <w:tc>
                <w:tcPr>
                  <w:tcW w:w="768" w:type="pct"/>
                  <w:noWrap w:val="0"/>
                  <w:vAlign w:val="center"/>
                </w:tcPr>
                <w:p w14:paraId="18AC3C3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地面清洗设备容器清洗、质检、发酵废液、不合格品</w:t>
                  </w:r>
                </w:p>
              </w:tc>
              <w:tc>
                <w:tcPr>
                  <w:tcW w:w="324" w:type="pct"/>
                  <w:noWrap w:val="0"/>
                  <w:vAlign w:val="center"/>
                </w:tcPr>
                <w:p w14:paraId="7169057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eastAsia="zh-CN"/>
                    </w:rPr>
                  </w:pPr>
                  <w:r>
                    <w:rPr>
                      <w:rFonts w:hint="eastAsia"/>
                      <w:color w:val="auto"/>
                      <w:sz w:val="21"/>
                      <w:szCs w:val="21"/>
                      <w:lang w:val="en-US" w:eastAsia="zh-CN"/>
                    </w:rPr>
                    <w:t>液</w:t>
                  </w:r>
                </w:p>
              </w:tc>
              <w:tc>
                <w:tcPr>
                  <w:tcW w:w="1194" w:type="pct"/>
                  <w:noWrap w:val="0"/>
                  <w:vAlign w:val="center"/>
                </w:tcPr>
                <w:p w14:paraId="7229B21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甘油、葡萄糖、氯化铵、磷酸氢二钠、硫酸镁、磷酸二氢钾、片碱、酵母粉、蛋白胨、消泡剂、硫酸铵、硫酸卡那霉素、氨苄青霉素、</w:t>
                  </w:r>
                  <w:r>
                    <w:rPr>
                      <w:rFonts w:hint="eastAsia" w:ascii="Times New Roman" w:hAnsi="Times New Roman" w:cs="Times New Roman"/>
                      <w:color w:val="auto"/>
                      <w:sz w:val="21"/>
                      <w:szCs w:val="21"/>
                      <w:lang w:val="en-US" w:eastAsia="zh-CN"/>
                    </w:rPr>
                    <w:t>玉米浆粉</w:t>
                  </w:r>
                  <w:r>
                    <w:rPr>
                      <w:rFonts w:hint="eastAsia" w:cs="Times New Roman"/>
                      <w:color w:val="auto"/>
                      <w:sz w:val="21"/>
                      <w:szCs w:val="21"/>
                      <w:lang w:val="en-US" w:eastAsia="zh-CN"/>
                    </w:rPr>
                    <w:t>等</w:t>
                  </w:r>
                </w:p>
              </w:tc>
              <w:tc>
                <w:tcPr>
                  <w:tcW w:w="468" w:type="pct"/>
                  <w:noWrap w:val="0"/>
                  <w:vAlign w:val="center"/>
                </w:tcPr>
                <w:p w14:paraId="4F66F22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7.588</w:t>
                  </w:r>
                </w:p>
              </w:tc>
              <w:tc>
                <w:tcPr>
                  <w:tcW w:w="388" w:type="pct"/>
                  <w:noWrap w:val="0"/>
                  <w:vAlign w:val="center"/>
                </w:tcPr>
                <w:p w14:paraId="1EDF1BBB">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373" w:type="pct"/>
                  <w:noWrap w:val="0"/>
                  <w:vAlign w:val="center"/>
                </w:tcPr>
                <w:p w14:paraId="52D927F7">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505" w:type="pct"/>
                  <w:vMerge w:val="continue"/>
                  <w:noWrap w:val="0"/>
                  <w:vAlign w:val="center"/>
                </w:tcPr>
                <w:p w14:paraId="4BE5F629">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p>
              </w:tc>
            </w:tr>
            <w:tr w14:paraId="3324E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58" w:type="pct"/>
                  <w:noWrap w:val="0"/>
                  <w:vAlign w:val="center"/>
                </w:tcPr>
                <w:p w14:paraId="0D42AB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718" w:type="pct"/>
                  <w:noWrap w:val="0"/>
                  <w:vAlign w:val="center"/>
                </w:tcPr>
                <w:p w14:paraId="02CA301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废渣</w:t>
                  </w:r>
                </w:p>
              </w:tc>
              <w:tc>
                <w:tcPr>
                  <w:tcW w:w="768" w:type="pct"/>
                  <w:noWrap w:val="0"/>
                  <w:vAlign w:val="center"/>
                </w:tcPr>
                <w:p w14:paraId="57A5A6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Cs/>
                      <w:color w:val="auto"/>
                      <w:sz w:val="21"/>
                      <w:szCs w:val="21"/>
                      <w:lang w:val="en-US" w:eastAsia="zh-CN"/>
                    </w:rPr>
                  </w:pPr>
                  <w:r>
                    <w:rPr>
                      <w:rFonts w:hint="eastAsia"/>
                    </w:rPr>
                    <w:t>表达载体构建</w:t>
                  </w:r>
                </w:p>
              </w:tc>
              <w:tc>
                <w:tcPr>
                  <w:tcW w:w="324" w:type="pct"/>
                  <w:noWrap w:val="0"/>
                  <w:vAlign w:val="center"/>
                </w:tcPr>
                <w:p w14:paraId="16883E7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固</w:t>
                  </w:r>
                </w:p>
              </w:tc>
              <w:tc>
                <w:tcPr>
                  <w:tcW w:w="1194" w:type="pct"/>
                  <w:noWrap w:val="0"/>
                  <w:vAlign w:val="center"/>
                </w:tcPr>
                <w:p w14:paraId="13D6B1F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s="Times New Roman"/>
                      <w:bCs/>
                      <w:color w:val="auto"/>
                      <w:sz w:val="21"/>
                      <w:szCs w:val="21"/>
                      <w:lang w:val="en-US" w:eastAsia="zh-CN" w:bidi="ar-SA"/>
                    </w:rPr>
                    <w:t>蛋白胨，酵母粉，氯化钠，琼脂粉等</w:t>
                  </w:r>
                </w:p>
              </w:tc>
              <w:tc>
                <w:tcPr>
                  <w:tcW w:w="468" w:type="pct"/>
                  <w:noWrap w:val="0"/>
                  <w:vAlign w:val="center"/>
                </w:tcPr>
                <w:p w14:paraId="59C9EC2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0.1</w:t>
                  </w:r>
                </w:p>
              </w:tc>
              <w:tc>
                <w:tcPr>
                  <w:tcW w:w="388" w:type="pct"/>
                  <w:noWrap w:val="0"/>
                  <w:vAlign w:val="center"/>
                </w:tcPr>
                <w:p w14:paraId="2376291D">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373" w:type="pct"/>
                  <w:noWrap w:val="0"/>
                  <w:vAlign w:val="center"/>
                </w:tcPr>
                <w:p w14:paraId="2B9E1670">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505" w:type="pct"/>
                  <w:vMerge w:val="continue"/>
                  <w:noWrap w:val="0"/>
                  <w:vAlign w:val="center"/>
                </w:tcPr>
                <w:p w14:paraId="05D83970">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p>
              </w:tc>
            </w:tr>
            <w:tr w14:paraId="2832D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8" w:type="pct"/>
                  <w:noWrap w:val="0"/>
                  <w:vAlign w:val="center"/>
                </w:tcPr>
                <w:p w14:paraId="08CF54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6</w:t>
                  </w:r>
                </w:p>
              </w:tc>
              <w:tc>
                <w:tcPr>
                  <w:tcW w:w="718" w:type="pct"/>
                  <w:noWrap w:val="0"/>
                  <w:vAlign w:val="center"/>
                </w:tcPr>
                <w:p w14:paraId="4F5BC35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废活性炭</w:t>
                  </w:r>
                </w:p>
              </w:tc>
              <w:tc>
                <w:tcPr>
                  <w:tcW w:w="768" w:type="pct"/>
                  <w:noWrap w:val="0"/>
                  <w:vAlign w:val="center"/>
                </w:tcPr>
                <w:p w14:paraId="28E469E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lang w:val="en-US" w:eastAsia="zh-CN"/>
                    </w:rPr>
                  </w:pPr>
                  <w:r>
                    <w:rPr>
                      <w:rFonts w:hint="eastAsia"/>
                      <w:lang w:val="en-US" w:eastAsia="zh-CN"/>
                    </w:rPr>
                    <w:t>废气处理</w:t>
                  </w:r>
                </w:p>
              </w:tc>
              <w:tc>
                <w:tcPr>
                  <w:tcW w:w="324" w:type="pct"/>
                  <w:noWrap w:val="0"/>
                  <w:vAlign w:val="center"/>
                </w:tcPr>
                <w:p w14:paraId="11554D2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固</w:t>
                  </w:r>
                </w:p>
              </w:tc>
              <w:tc>
                <w:tcPr>
                  <w:tcW w:w="1194" w:type="pct"/>
                  <w:noWrap w:val="0"/>
                  <w:vAlign w:val="center"/>
                </w:tcPr>
                <w:p w14:paraId="0ADA88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Cs/>
                      <w:color w:val="auto"/>
                      <w:sz w:val="21"/>
                      <w:szCs w:val="21"/>
                      <w:lang w:val="en-US" w:eastAsia="zh-CN" w:bidi="ar-SA"/>
                    </w:rPr>
                  </w:pPr>
                  <w:r>
                    <w:rPr>
                      <w:rFonts w:hint="eastAsia" w:cs="Times New Roman"/>
                      <w:bCs/>
                      <w:color w:val="auto"/>
                      <w:sz w:val="21"/>
                      <w:szCs w:val="21"/>
                      <w:lang w:val="en-US" w:eastAsia="zh-CN" w:bidi="ar-SA"/>
                    </w:rPr>
                    <w:t>活性炭</w:t>
                  </w:r>
                </w:p>
              </w:tc>
              <w:tc>
                <w:tcPr>
                  <w:tcW w:w="468" w:type="pct"/>
                  <w:noWrap w:val="0"/>
                  <w:vAlign w:val="center"/>
                </w:tcPr>
                <w:p w14:paraId="19662B6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0.231</w:t>
                  </w:r>
                </w:p>
              </w:tc>
              <w:tc>
                <w:tcPr>
                  <w:tcW w:w="388" w:type="pct"/>
                  <w:noWrap w:val="0"/>
                  <w:vAlign w:val="center"/>
                </w:tcPr>
                <w:p w14:paraId="3612FB37">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373" w:type="pct"/>
                  <w:noWrap w:val="0"/>
                  <w:vAlign w:val="center"/>
                </w:tcPr>
                <w:p w14:paraId="527FAEBE">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505" w:type="pct"/>
                  <w:vMerge w:val="continue"/>
                  <w:noWrap w:val="0"/>
                  <w:vAlign w:val="center"/>
                </w:tcPr>
                <w:p w14:paraId="1FAF5502">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p>
              </w:tc>
            </w:tr>
            <w:tr w14:paraId="5360E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8" w:type="pct"/>
                  <w:noWrap w:val="0"/>
                  <w:vAlign w:val="center"/>
                </w:tcPr>
                <w:p w14:paraId="7BE2D2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w:t>
                  </w:r>
                </w:p>
              </w:tc>
              <w:tc>
                <w:tcPr>
                  <w:tcW w:w="718" w:type="pct"/>
                  <w:noWrap w:val="0"/>
                  <w:vAlign w:val="center"/>
                </w:tcPr>
                <w:p w14:paraId="61CBB1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rPr>
                  </w:pPr>
                  <w:r>
                    <w:rPr>
                      <w:color w:val="auto"/>
                      <w:sz w:val="21"/>
                      <w:szCs w:val="21"/>
                    </w:rPr>
                    <w:t>生活垃圾</w:t>
                  </w:r>
                </w:p>
              </w:tc>
              <w:tc>
                <w:tcPr>
                  <w:tcW w:w="768" w:type="pct"/>
                  <w:noWrap w:val="0"/>
                  <w:vAlign w:val="center"/>
                </w:tcPr>
                <w:p w14:paraId="418F8EB3">
                  <w:pPr>
                    <w:keepNext w:val="0"/>
                    <w:keepLines w:val="0"/>
                    <w:pageBreakBefore w:val="0"/>
                    <w:widowControl w:val="0"/>
                    <w:kinsoku/>
                    <w:wordWrap/>
                    <w:overflowPunct/>
                    <w:topLinePunct w:val="0"/>
                    <w:autoSpaceDE/>
                    <w:autoSpaceDN/>
                    <w:bidi w:val="0"/>
                    <w:adjustRightInd/>
                    <w:spacing w:line="240" w:lineRule="auto"/>
                    <w:jc w:val="center"/>
                    <w:textAlignment w:val="auto"/>
                    <w:rPr>
                      <w:bCs/>
                      <w:color w:val="auto"/>
                      <w:sz w:val="21"/>
                      <w:szCs w:val="21"/>
                    </w:rPr>
                  </w:pPr>
                  <w:r>
                    <w:rPr>
                      <w:color w:val="auto"/>
                      <w:sz w:val="21"/>
                      <w:szCs w:val="21"/>
                    </w:rPr>
                    <w:t>员工生活</w:t>
                  </w:r>
                </w:p>
              </w:tc>
              <w:tc>
                <w:tcPr>
                  <w:tcW w:w="324" w:type="pct"/>
                  <w:noWrap w:val="0"/>
                  <w:vAlign w:val="center"/>
                </w:tcPr>
                <w:p w14:paraId="2F85F7D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Cs/>
                      <w:color w:val="auto"/>
                      <w:sz w:val="21"/>
                      <w:szCs w:val="21"/>
                    </w:rPr>
                  </w:pPr>
                  <w:r>
                    <w:rPr>
                      <w:color w:val="auto"/>
                      <w:sz w:val="21"/>
                      <w:szCs w:val="21"/>
                    </w:rPr>
                    <w:t>固</w:t>
                  </w:r>
                </w:p>
              </w:tc>
              <w:tc>
                <w:tcPr>
                  <w:tcW w:w="1194" w:type="pct"/>
                  <w:noWrap w:val="0"/>
                  <w:vAlign w:val="center"/>
                </w:tcPr>
                <w:p w14:paraId="4DD712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Cs/>
                      <w:color w:val="auto"/>
                      <w:sz w:val="21"/>
                      <w:szCs w:val="21"/>
                    </w:rPr>
                  </w:pPr>
                  <w:r>
                    <w:rPr>
                      <w:color w:val="auto"/>
                      <w:sz w:val="21"/>
                      <w:szCs w:val="21"/>
                    </w:rPr>
                    <w:t>生活垃圾</w:t>
                  </w:r>
                </w:p>
              </w:tc>
              <w:tc>
                <w:tcPr>
                  <w:tcW w:w="468" w:type="pct"/>
                  <w:noWrap w:val="0"/>
                  <w:vAlign w:val="center"/>
                </w:tcPr>
                <w:p w14:paraId="7237F15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1.5</w:t>
                  </w:r>
                </w:p>
              </w:tc>
              <w:tc>
                <w:tcPr>
                  <w:tcW w:w="388" w:type="pct"/>
                  <w:noWrap w:val="0"/>
                  <w:vAlign w:val="center"/>
                </w:tcPr>
                <w:p w14:paraId="13B247EC">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373" w:type="pct"/>
                  <w:noWrap w:val="0"/>
                  <w:vAlign w:val="center"/>
                </w:tcPr>
                <w:p w14:paraId="4DAF098C">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w:t>
                  </w:r>
                </w:p>
              </w:tc>
              <w:tc>
                <w:tcPr>
                  <w:tcW w:w="505" w:type="pct"/>
                  <w:vMerge w:val="continue"/>
                  <w:noWrap w:val="0"/>
                  <w:vAlign w:val="center"/>
                </w:tcPr>
                <w:p w14:paraId="350BCEA9">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p>
              </w:tc>
            </w:tr>
          </w:tbl>
          <w:p w14:paraId="5A5068D7">
            <w:pPr>
              <w:ind w:left="360" w:hanging="480" w:hangingChars="200"/>
              <w:rPr>
                <w:color w:val="auto"/>
                <w:sz w:val="24"/>
                <w:szCs w:val="24"/>
              </w:rPr>
            </w:pPr>
            <w:r>
              <w:rPr>
                <w:color w:val="auto"/>
                <w:sz w:val="24"/>
                <w:szCs w:val="24"/>
              </w:rPr>
              <w:t>注：*种类判断，在相应类别下打钩。</w:t>
            </w:r>
          </w:p>
          <w:p w14:paraId="13772A30">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color w:val="auto"/>
                <w:sz w:val="24"/>
                <w:szCs w:val="24"/>
              </w:rPr>
            </w:pPr>
            <w:r>
              <w:rPr>
                <w:b/>
                <w:bCs/>
                <w:color w:val="auto"/>
                <w:sz w:val="24"/>
                <w:szCs w:val="24"/>
              </w:rPr>
              <w:t>4.3固体废物产生情况汇总</w:t>
            </w:r>
          </w:p>
          <w:p w14:paraId="5BD0034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根据《国家危险废物名录（202</w:t>
            </w:r>
            <w:r>
              <w:rPr>
                <w:rFonts w:hint="eastAsia"/>
                <w:color w:val="auto"/>
                <w:sz w:val="24"/>
                <w:szCs w:val="24"/>
                <w:lang w:val="en-US" w:eastAsia="zh-CN"/>
              </w:rPr>
              <w:t>5</w:t>
            </w:r>
            <w:r>
              <w:rPr>
                <w:color w:val="auto"/>
                <w:sz w:val="24"/>
                <w:szCs w:val="24"/>
              </w:rPr>
              <w:t>年版）》、《危险废物鉴别标准 通则》（GB5085.7）、《</w:t>
            </w:r>
            <w:r>
              <w:rPr>
                <w:rFonts w:hint="eastAsia"/>
                <w:color w:val="auto"/>
                <w:sz w:val="24"/>
                <w:szCs w:val="24"/>
              </w:rPr>
              <w:t>固体废物分类与代码目录</w:t>
            </w:r>
            <w:r>
              <w:rPr>
                <w:color w:val="auto"/>
                <w:sz w:val="24"/>
                <w:szCs w:val="24"/>
              </w:rPr>
              <w:t>》（</w:t>
            </w:r>
            <w:r>
              <w:rPr>
                <w:rFonts w:hint="eastAsia"/>
                <w:color w:val="auto"/>
                <w:sz w:val="24"/>
                <w:szCs w:val="24"/>
              </w:rPr>
              <w:t>2024年版</w:t>
            </w:r>
            <w:r>
              <w:rPr>
                <w:color w:val="auto"/>
                <w:sz w:val="24"/>
                <w:szCs w:val="24"/>
              </w:rPr>
              <w:t>）对以上固废进行属性判定。</w:t>
            </w:r>
          </w:p>
        </w:tc>
      </w:tr>
    </w:tbl>
    <w:p w14:paraId="146378B5">
      <w:pPr>
        <w:pStyle w:val="44"/>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2117"/>
      </w:tblGrid>
      <w:tr w14:paraId="2814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noWrap w:val="0"/>
            <w:vAlign w:val="top"/>
          </w:tcPr>
          <w:p w14:paraId="0E1E9A17">
            <w:pPr>
              <w:pStyle w:val="44"/>
              <w:rPr>
                <w:color w:val="auto"/>
              </w:rPr>
            </w:pPr>
          </w:p>
        </w:tc>
        <w:tc>
          <w:tcPr>
            <w:tcW w:w="12117" w:type="dxa"/>
            <w:noWrap w:val="0"/>
            <w:vAlign w:val="top"/>
          </w:tcPr>
          <w:p w14:paraId="2765AA1B">
            <w:pPr>
              <w:spacing w:line="360" w:lineRule="exact"/>
              <w:jc w:val="center"/>
              <w:rPr>
                <w:b/>
                <w:color w:val="auto"/>
                <w:szCs w:val="21"/>
              </w:rPr>
            </w:pPr>
            <w:r>
              <w:rPr>
                <w:b/>
                <w:color w:val="auto"/>
                <w:szCs w:val="21"/>
              </w:rPr>
              <w:t>表4-</w:t>
            </w:r>
            <w:r>
              <w:rPr>
                <w:rFonts w:hint="eastAsia"/>
                <w:b/>
                <w:color w:val="auto"/>
                <w:szCs w:val="21"/>
                <w:lang w:val="en-US" w:eastAsia="zh-CN"/>
              </w:rPr>
              <w:t>19</w:t>
            </w:r>
            <w:r>
              <w:rPr>
                <w:b/>
                <w:color w:val="auto"/>
                <w:szCs w:val="21"/>
              </w:rPr>
              <w:t>本项目固体废物产生情况汇总表  （t/a）</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8"/>
              <w:gridCol w:w="1119"/>
              <w:gridCol w:w="643"/>
              <w:gridCol w:w="1672"/>
              <w:gridCol w:w="661"/>
              <w:gridCol w:w="2186"/>
              <w:gridCol w:w="1564"/>
              <w:gridCol w:w="660"/>
              <w:gridCol w:w="793"/>
              <w:gridCol w:w="1313"/>
              <w:gridCol w:w="895"/>
            </w:tblGrid>
            <w:tr w14:paraId="2CF78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88" w:type="dxa"/>
                  <w:noWrap w:val="0"/>
                  <w:vAlign w:val="center"/>
                </w:tcPr>
                <w:p w14:paraId="0C0986C7">
                  <w:pPr>
                    <w:snapToGrid w:val="0"/>
                    <w:spacing w:line="280" w:lineRule="exact"/>
                    <w:jc w:val="center"/>
                    <w:rPr>
                      <w:b/>
                      <w:color w:val="auto"/>
                      <w:sz w:val="21"/>
                      <w:szCs w:val="21"/>
                    </w:rPr>
                  </w:pPr>
                  <w:r>
                    <w:rPr>
                      <w:b/>
                      <w:color w:val="auto"/>
                      <w:sz w:val="21"/>
                      <w:szCs w:val="21"/>
                    </w:rPr>
                    <w:t>序号</w:t>
                  </w:r>
                </w:p>
              </w:tc>
              <w:tc>
                <w:tcPr>
                  <w:tcW w:w="1119" w:type="dxa"/>
                  <w:noWrap w:val="0"/>
                  <w:vAlign w:val="center"/>
                </w:tcPr>
                <w:p w14:paraId="6ED9F405">
                  <w:pPr>
                    <w:snapToGrid w:val="0"/>
                    <w:spacing w:line="280" w:lineRule="exact"/>
                    <w:jc w:val="center"/>
                    <w:rPr>
                      <w:b/>
                      <w:color w:val="auto"/>
                      <w:sz w:val="21"/>
                      <w:szCs w:val="21"/>
                    </w:rPr>
                  </w:pPr>
                  <w:r>
                    <w:rPr>
                      <w:b/>
                      <w:color w:val="auto"/>
                      <w:sz w:val="21"/>
                      <w:szCs w:val="21"/>
                    </w:rPr>
                    <w:t>固废名称</w:t>
                  </w:r>
                </w:p>
              </w:tc>
              <w:tc>
                <w:tcPr>
                  <w:tcW w:w="643" w:type="dxa"/>
                  <w:noWrap w:val="0"/>
                  <w:vAlign w:val="center"/>
                </w:tcPr>
                <w:p w14:paraId="7B07AD17">
                  <w:pPr>
                    <w:snapToGrid w:val="0"/>
                    <w:spacing w:line="280" w:lineRule="exact"/>
                    <w:jc w:val="center"/>
                    <w:rPr>
                      <w:b/>
                      <w:color w:val="auto"/>
                      <w:sz w:val="21"/>
                      <w:szCs w:val="21"/>
                    </w:rPr>
                  </w:pPr>
                  <w:r>
                    <w:rPr>
                      <w:b/>
                      <w:color w:val="auto"/>
                      <w:sz w:val="21"/>
                      <w:szCs w:val="21"/>
                    </w:rPr>
                    <w:t>属性</w:t>
                  </w:r>
                </w:p>
              </w:tc>
              <w:tc>
                <w:tcPr>
                  <w:tcW w:w="1672" w:type="dxa"/>
                  <w:noWrap w:val="0"/>
                  <w:vAlign w:val="center"/>
                </w:tcPr>
                <w:p w14:paraId="2BB1E5D1">
                  <w:pPr>
                    <w:snapToGrid w:val="0"/>
                    <w:spacing w:line="280" w:lineRule="exact"/>
                    <w:jc w:val="center"/>
                    <w:rPr>
                      <w:b/>
                      <w:color w:val="auto"/>
                      <w:sz w:val="21"/>
                      <w:szCs w:val="21"/>
                    </w:rPr>
                  </w:pPr>
                  <w:r>
                    <w:rPr>
                      <w:b/>
                      <w:color w:val="auto"/>
                      <w:sz w:val="21"/>
                      <w:szCs w:val="21"/>
                    </w:rPr>
                    <w:t>产生工序</w:t>
                  </w:r>
                </w:p>
              </w:tc>
              <w:tc>
                <w:tcPr>
                  <w:tcW w:w="661" w:type="dxa"/>
                  <w:noWrap w:val="0"/>
                  <w:vAlign w:val="center"/>
                </w:tcPr>
                <w:p w14:paraId="66764CE7">
                  <w:pPr>
                    <w:snapToGrid w:val="0"/>
                    <w:spacing w:line="280" w:lineRule="exact"/>
                    <w:jc w:val="center"/>
                    <w:rPr>
                      <w:b/>
                      <w:color w:val="auto"/>
                      <w:sz w:val="21"/>
                      <w:szCs w:val="21"/>
                    </w:rPr>
                  </w:pPr>
                  <w:r>
                    <w:rPr>
                      <w:b/>
                      <w:color w:val="auto"/>
                      <w:sz w:val="21"/>
                      <w:szCs w:val="21"/>
                    </w:rPr>
                    <w:t>形态</w:t>
                  </w:r>
                </w:p>
              </w:tc>
              <w:tc>
                <w:tcPr>
                  <w:tcW w:w="2186" w:type="dxa"/>
                  <w:noWrap w:val="0"/>
                  <w:vAlign w:val="center"/>
                </w:tcPr>
                <w:p w14:paraId="0F0DAA62">
                  <w:pPr>
                    <w:snapToGrid w:val="0"/>
                    <w:spacing w:line="280" w:lineRule="exact"/>
                    <w:jc w:val="center"/>
                    <w:rPr>
                      <w:b/>
                      <w:color w:val="auto"/>
                      <w:sz w:val="21"/>
                      <w:szCs w:val="21"/>
                    </w:rPr>
                  </w:pPr>
                  <w:r>
                    <w:rPr>
                      <w:b/>
                      <w:color w:val="auto"/>
                      <w:sz w:val="21"/>
                      <w:szCs w:val="21"/>
                    </w:rPr>
                    <w:t>主要成分</w:t>
                  </w:r>
                </w:p>
              </w:tc>
              <w:tc>
                <w:tcPr>
                  <w:tcW w:w="1564" w:type="dxa"/>
                  <w:noWrap w:val="0"/>
                  <w:vAlign w:val="center"/>
                </w:tcPr>
                <w:p w14:paraId="1BBBE69F">
                  <w:pPr>
                    <w:snapToGrid w:val="0"/>
                    <w:spacing w:line="280" w:lineRule="exact"/>
                    <w:jc w:val="center"/>
                    <w:rPr>
                      <w:b/>
                      <w:color w:val="auto"/>
                      <w:sz w:val="21"/>
                      <w:szCs w:val="21"/>
                    </w:rPr>
                  </w:pPr>
                  <w:r>
                    <w:rPr>
                      <w:b/>
                      <w:color w:val="auto"/>
                      <w:sz w:val="21"/>
                      <w:szCs w:val="21"/>
                    </w:rPr>
                    <w:t>危险特性鉴别方法</w:t>
                  </w:r>
                </w:p>
              </w:tc>
              <w:tc>
                <w:tcPr>
                  <w:tcW w:w="660" w:type="dxa"/>
                  <w:noWrap w:val="0"/>
                  <w:vAlign w:val="center"/>
                </w:tcPr>
                <w:p w14:paraId="41410F3A">
                  <w:pPr>
                    <w:snapToGrid w:val="0"/>
                    <w:spacing w:line="280" w:lineRule="exact"/>
                    <w:jc w:val="center"/>
                    <w:rPr>
                      <w:b/>
                      <w:color w:val="auto"/>
                      <w:sz w:val="21"/>
                      <w:szCs w:val="21"/>
                    </w:rPr>
                  </w:pPr>
                  <w:r>
                    <w:rPr>
                      <w:b/>
                      <w:color w:val="auto"/>
                      <w:sz w:val="21"/>
                      <w:szCs w:val="21"/>
                    </w:rPr>
                    <w:t>危险</w:t>
                  </w:r>
                </w:p>
                <w:p w14:paraId="34DBF9D6">
                  <w:pPr>
                    <w:snapToGrid w:val="0"/>
                    <w:spacing w:line="280" w:lineRule="exact"/>
                    <w:jc w:val="center"/>
                    <w:rPr>
                      <w:b/>
                      <w:color w:val="auto"/>
                      <w:sz w:val="21"/>
                      <w:szCs w:val="21"/>
                    </w:rPr>
                  </w:pPr>
                  <w:r>
                    <w:rPr>
                      <w:b/>
                      <w:color w:val="auto"/>
                      <w:sz w:val="21"/>
                      <w:szCs w:val="21"/>
                    </w:rPr>
                    <w:t>特性</w:t>
                  </w:r>
                </w:p>
              </w:tc>
              <w:tc>
                <w:tcPr>
                  <w:tcW w:w="793" w:type="dxa"/>
                  <w:noWrap w:val="0"/>
                  <w:vAlign w:val="center"/>
                </w:tcPr>
                <w:p w14:paraId="20FBF90F">
                  <w:pPr>
                    <w:snapToGrid w:val="0"/>
                    <w:spacing w:line="280" w:lineRule="exact"/>
                    <w:jc w:val="center"/>
                    <w:rPr>
                      <w:b/>
                      <w:color w:val="auto"/>
                      <w:sz w:val="21"/>
                      <w:szCs w:val="21"/>
                    </w:rPr>
                  </w:pPr>
                  <w:r>
                    <w:rPr>
                      <w:b/>
                      <w:color w:val="auto"/>
                      <w:sz w:val="21"/>
                      <w:szCs w:val="21"/>
                    </w:rPr>
                    <w:t>废物</w:t>
                  </w:r>
                </w:p>
                <w:p w14:paraId="312BF762">
                  <w:pPr>
                    <w:snapToGrid w:val="0"/>
                    <w:spacing w:line="280" w:lineRule="exact"/>
                    <w:jc w:val="center"/>
                    <w:rPr>
                      <w:b/>
                      <w:color w:val="auto"/>
                      <w:sz w:val="21"/>
                      <w:szCs w:val="21"/>
                    </w:rPr>
                  </w:pPr>
                  <w:r>
                    <w:rPr>
                      <w:b/>
                      <w:color w:val="auto"/>
                      <w:sz w:val="21"/>
                      <w:szCs w:val="21"/>
                    </w:rPr>
                    <w:t>类别</w:t>
                  </w:r>
                </w:p>
              </w:tc>
              <w:tc>
                <w:tcPr>
                  <w:tcW w:w="1313" w:type="dxa"/>
                  <w:noWrap w:val="0"/>
                  <w:vAlign w:val="center"/>
                </w:tcPr>
                <w:p w14:paraId="78170E77">
                  <w:pPr>
                    <w:snapToGrid w:val="0"/>
                    <w:spacing w:line="280" w:lineRule="exact"/>
                    <w:jc w:val="center"/>
                    <w:rPr>
                      <w:b/>
                      <w:color w:val="auto"/>
                      <w:sz w:val="21"/>
                      <w:szCs w:val="21"/>
                    </w:rPr>
                  </w:pPr>
                  <w:r>
                    <w:rPr>
                      <w:b/>
                      <w:color w:val="auto"/>
                      <w:sz w:val="21"/>
                      <w:szCs w:val="21"/>
                    </w:rPr>
                    <w:t>废物代码</w:t>
                  </w:r>
                </w:p>
              </w:tc>
              <w:tc>
                <w:tcPr>
                  <w:tcW w:w="895" w:type="dxa"/>
                  <w:noWrap w:val="0"/>
                  <w:vAlign w:val="center"/>
                </w:tcPr>
                <w:p w14:paraId="0FED9DC2">
                  <w:pPr>
                    <w:snapToGrid w:val="0"/>
                    <w:spacing w:line="280" w:lineRule="exact"/>
                    <w:jc w:val="center"/>
                    <w:rPr>
                      <w:b/>
                      <w:color w:val="auto"/>
                      <w:sz w:val="21"/>
                      <w:szCs w:val="21"/>
                    </w:rPr>
                  </w:pPr>
                  <w:r>
                    <w:rPr>
                      <w:b/>
                      <w:color w:val="auto"/>
                      <w:sz w:val="21"/>
                      <w:szCs w:val="21"/>
                    </w:rPr>
                    <w:t>产生量（t/a）</w:t>
                  </w:r>
                </w:p>
              </w:tc>
            </w:tr>
            <w:tr w14:paraId="71D38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noWrap w:val="0"/>
                  <w:vAlign w:val="center"/>
                </w:tcPr>
                <w:p w14:paraId="44D3408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r>
                    <w:rPr>
                      <w:color w:val="auto"/>
                      <w:sz w:val="21"/>
                      <w:szCs w:val="21"/>
                    </w:rPr>
                    <w:t>1</w:t>
                  </w:r>
                </w:p>
              </w:tc>
              <w:tc>
                <w:tcPr>
                  <w:tcW w:w="1119" w:type="dxa"/>
                  <w:tcBorders>
                    <w:bottom w:val="single" w:color="auto" w:sz="2" w:space="0"/>
                  </w:tcBorders>
                  <w:noWrap w:val="0"/>
                  <w:vAlign w:val="center"/>
                </w:tcPr>
                <w:p w14:paraId="4802147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eastAsia="zh-CN"/>
                    </w:rPr>
                  </w:pPr>
                  <w:r>
                    <w:rPr>
                      <w:rFonts w:hint="default" w:eastAsia="宋体"/>
                      <w:color w:val="auto"/>
                      <w:sz w:val="21"/>
                      <w:szCs w:val="21"/>
                      <w:lang w:val="en-US" w:eastAsia="zh-CN"/>
                    </w:rPr>
                    <w:t>试剂废包装纸箱</w:t>
                  </w:r>
                </w:p>
              </w:tc>
              <w:tc>
                <w:tcPr>
                  <w:tcW w:w="643" w:type="dxa"/>
                  <w:vMerge w:val="restart"/>
                  <w:noWrap w:val="0"/>
                  <w:vAlign w:val="center"/>
                </w:tcPr>
                <w:p w14:paraId="069F4A83">
                  <w:pPr>
                    <w:snapToGrid w:val="0"/>
                    <w:spacing w:line="280" w:lineRule="exact"/>
                    <w:jc w:val="center"/>
                    <w:rPr>
                      <w:color w:val="auto"/>
                      <w:sz w:val="21"/>
                      <w:szCs w:val="21"/>
                    </w:rPr>
                  </w:pPr>
                  <w:r>
                    <w:rPr>
                      <w:color w:val="auto"/>
                      <w:sz w:val="21"/>
                      <w:szCs w:val="21"/>
                    </w:rPr>
                    <w:t>一般固废</w:t>
                  </w:r>
                </w:p>
              </w:tc>
              <w:tc>
                <w:tcPr>
                  <w:tcW w:w="1672" w:type="dxa"/>
                  <w:noWrap w:val="0"/>
                  <w:vAlign w:val="center"/>
                </w:tcPr>
                <w:p w14:paraId="2E3F84A7">
                  <w:pPr>
                    <w:spacing w:line="300" w:lineRule="exact"/>
                    <w:jc w:val="center"/>
                    <w:rPr>
                      <w:rFonts w:hint="eastAsia" w:eastAsia="宋体"/>
                      <w:bCs/>
                      <w:color w:val="auto"/>
                      <w:sz w:val="21"/>
                      <w:szCs w:val="21"/>
                      <w:lang w:val="en-US" w:eastAsia="zh-CN"/>
                    </w:rPr>
                  </w:pPr>
                  <w:r>
                    <w:rPr>
                      <w:rFonts w:hint="eastAsia"/>
                      <w:bCs/>
                      <w:color w:val="auto"/>
                      <w:sz w:val="21"/>
                      <w:szCs w:val="21"/>
                      <w:lang w:val="en-US" w:eastAsia="zh-CN"/>
                    </w:rPr>
                    <w:t>拆包</w:t>
                  </w:r>
                </w:p>
              </w:tc>
              <w:tc>
                <w:tcPr>
                  <w:tcW w:w="661" w:type="dxa"/>
                  <w:noWrap w:val="0"/>
                  <w:vAlign w:val="center"/>
                </w:tcPr>
                <w:p w14:paraId="18801E96">
                  <w:pPr>
                    <w:spacing w:line="300" w:lineRule="exact"/>
                    <w:jc w:val="center"/>
                    <w:rPr>
                      <w:color w:val="auto"/>
                      <w:sz w:val="21"/>
                      <w:szCs w:val="21"/>
                    </w:rPr>
                  </w:pPr>
                  <w:r>
                    <w:rPr>
                      <w:color w:val="auto"/>
                      <w:sz w:val="21"/>
                      <w:szCs w:val="21"/>
                    </w:rPr>
                    <w:t>固</w:t>
                  </w:r>
                </w:p>
              </w:tc>
              <w:tc>
                <w:tcPr>
                  <w:tcW w:w="2186" w:type="dxa"/>
                  <w:noWrap w:val="0"/>
                  <w:vAlign w:val="center"/>
                </w:tcPr>
                <w:p w14:paraId="7477440A">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纸</w:t>
                  </w:r>
                </w:p>
              </w:tc>
              <w:tc>
                <w:tcPr>
                  <w:tcW w:w="1564" w:type="dxa"/>
                  <w:vMerge w:val="restart"/>
                  <w:noWrap w:val="0"/>
                  <w:vAlign w:val="center"/>
                </w:tcPr>
                <w:p w14:paraId="42C90D3E">
                  <w:pPr>
                    <w:snapToGrid w:val="0"/>
                    <w:spacing w:line="280" w:lineRule="exact"/>
                    <w:jc w:val="center"/>
                    <w:rPr>
                      <w:color w:val="auto"/>
                      <w:sz w:val="21"/>
                      <w:szCs w:val="21"/>
                    </w:rPr>
                  </w:pPr>
                  <w:r>
                    <w:rPr>
                      <w:color w:val="auto"/>
                      <w:sz w:val="21"/>
                      <w:szCs w:val="21"/>
                    </w:rPr>
                    <w:t>根据《国家危险废物名录（202</w:t>
                  </w:r>
                  <w:r>
                    <w:rPr>
                      <w:rFonts w:hint="eastAsia"/>
                      <w:color w:val="auto"/>
                      <w:sz w:val="21"/>
                      <w:szCs w:val="21"/>
                      <w:lang w:val="en-US" w:eastAsia="zh-CN"/>
                    </w:rPr>
                    <w:t>5</w:t>
                  </w:r>
                  <w:r>
                    <w:rPr>
                      <w:color w:val="auto"/>
                      <w:sz w:val="21"/>
                      <w:szCs w:val="21"/>
                    </w:rPr>
                    <w:t>年版）》进行鉴别，不需要进一步开展危险废物特性鉴别</w:t>
                  </w:r>
                </w:p>
              </w:tc>
              <w:tc>
                <w:tcPr>
                  <w:tcW w:w="660" w:type="dxa"/>
                  <w:noWrap w:val="0"/>
                  <w:vAlign w:val="center"/>
                </w:tcPr>
                <w:p w14:paraId="4D6CB6A0">
                  <w:pPr>
                    <w:spacing w:line="240" w:lineRule="exact"/>
                    <w:jc w:val="center"/>
                    <w:rPr>
                      <w:rFonts w:hint="eastAsia"/>
                      <w:color w:val="auto"/>
                      <w:sz w:val="21"/>
                      <w:szCs w:val="21"/>
                    </w:rPr>
                  </w:pPr>
                  <w:r>
                    <w:rPr>
                      <w:rFonts w:hint="eastAsia"/>
                      <w:color w:val="auto"/>
                      <w:sz w:val="21"/>
                      <w:szCs w:val="21"/>
                    </w:rPr>
                    <w:t>/</w:t>
                  </w:r>
                </w:p>
              </w:tc>
              <w:tc>
                <w:tcPr>
                  <w:tcW w:w="793" w:type="dxa"/>
                  <w:noWrap w:val="0"/>
                  <w:vAlign w:val="center"/>
                </w:tcPr>
                <w:p w14:paraId="327EF1C2">
                  <w:pPr>
                    <w:spacing w:line="240" w:lineRule="exact"/>
                    <w:jc w:val="center"/>
                    <w:rPr>
                      <w:rFonts w:hint="default" w:eastAsia="宋体"/>
                      <w:color w:val="auto"/>
                      <w:sz w:val="21"/>
                      <w:szCs w:val="21"/>
                      <w:lang w:val="en-US" w:eastAsia="zh-CN"/>
                    </w:rPr>
                  </w:pPr>
                  <w:r>
                    <w:rPr>
                      <w:rFonts w:hint="eastAsia"/>
                      <w:color w:val="auto"/>
                      <w:sz w:val="21"/>
                      <w:szCs w:val="21"/>
                    </w:rPr>
                    <w:t>SW</w:t>
                  </w:r>
                  <w:r>
                    <w:rPr>
                      <w:rFonts w:hint="eastAsia"/>
                      <w:color w:val="auto"/>
                      <w:sz w:val="21"/>
                      <w:szCs w:val="21"/>
                      <w:lang w:val="en-US" w:eastAsia="zh-CN"/>
                    </w:rPr>
                    <w:t>92</w:t>
                  </w:r>
                </w:p>
              </w:tc>
              <w:tc>
                <w:tcPr>
                  <w:tcW w:w="1313" w:type="dxa"/>
                  <w:noWrap w:val="0"/>
                  <w:vAlign w:val="center"/>
                </w:tcPr>
                <w:p w14:paraId="2D203D44">
                  <w:pPr>
                    <w:spacing w:line="240" w:lineRule="exact"/>
                    <w:jc w:val="center"/>
                    <w:rPr>
                      <w:rFonts w:hint="default" w:eastAsia="宋体"/>
                      <w:color w:val="auto"/>
                      <w:sz w:val="21"/>
                      <w:szCs w:val="21"/>
                      <w:lang w:val="en-US" w:eastAsia="zh-CN"/>
                    </w:rPr>
                  </w:pPr>
                  <w:r>
                    <w:rPr>
                      <w:rFonts w:hint="eastAsia"/>
                      <w:color w:val="auto"/>
                      <w:sz w:val="21"/>
                      <w:szCs w:val="21"/>
                    </w:rPr>
                    <w:t>900-0</w:t>
                  </w:r>
                  <w:r>
                    <w:rPr>
                      <w:rFonts w:hint="eastAsia"/>
                      <w:color w:val="auto"/>
                      <w:sz w:val="21"/>
                      <w:szCs w:val="21"/>
                      <w:lang w:val="en-US" w:eastAsia="zh-CN"/>
                    </w:rPr>
                    <w:t xml:space="preserve">02 </w:t>
                  </w:r>
                  <w:r>
                    <w:rPr>
                      <w:rFonts w:hint="eastAsia"/>
                      <w:color w:val="auto"/>
                      <w:sz w:val="21"/>
                      <w:szCs w:val="21"/>
                    </w:rPr>
                    <w:t>-S</w:t>
                  </w:r>
                  <w:r>
                    <w:rPr>
                      <w:rFonts w:hint="eastAsia"/>
                      <w:color w:val="auto"/>
                      <w:sz w:val="21"/>
                      <w:szCs w:val="21"/>
                      <w:lang w:val="en-US" w:eastAsia="zh-CN"/>
                    </w:rPr>
                    <w:t>92</w:t>
                  </w:r>
                </w:p>
              </w:tc>
              <w:tc>
                <w:tcPr>
                  <w:tcW w:w="895" w:type="dxa"/>
                  <w:noWrap w:val="0"/>
                  <w:vAlign w:val="center"/>
                </w:tcPr>
                <w:p w14:paraId="61097277">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0.05</w:t>
                  </w:r>
                </w:p>
              </w:tc>
            </w:tr>
            <w:tr w14:paraId="17949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noWrap w:val="0"/>
                  <w:vAlign w:val="center"/>
                </w:tcPr>
                <w:p w14:paraId="79C427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1"/>
                      <w:szCs w:val="21"/>
                    </w:rPr>
                  </w:pPr>
                  <w:r>
                    <w:rPr>
                      <w:color w:val="auto"/>
                      <w:sz w:val="21"/>
                      <w:szCs w:val="21"/>
                    </w:rPr>
                    <w:t>2</w:t>
                  </w:r>
                </w:p>
              </w:tc>
              <w:tc>
                <w:tcPr>
                  <w:tcW w:w="1119" w:type="dxa"/>
                  <w:tcBorders>
                    <w:bottom w:val="single" w:color="auto" w:sz="2" w:space="0"/>
                  </w:tcBorders>
                  <w:noWrap w:val="0"/>
                  <w:vAlign w:val="center"/>
                </w:tcPr>
                <w:p w14:paraId="06A4844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纯水废瓶</w:t>
                  </w:r>
                </w:p>
              </w:tc>
              <w:tc>
                <w:tcPr>
                  <w:tcW w:w="643" w:type="dxa"/>
                  <w:vMerge w:val="continue"/>
                  <w:noWrap w:val="0"/>
                  <w:vAlign w:val="center"/>
                </w:tcPr>
                <w:p w14:paraId="229A4C5C">
                  <w:pPr>
                    <w:snapToGrid w:val="0"/>
                    <w:spacing w:line="280" w:lineRule="exact"/>
                    <w:jc w:val="center"/>
                    <w:rPr>
                      <w:color w:val="auto"/>
                      <w:sz w:val="21"/>
                      <w:szCs w:val="21"/>
                    </w:rPr>
                  </w:pPr>
                </w:p>
              </w:tc>
              <w:tc>
                <w:tcPr>
                  <w:tcW w:w="1672" w:type="dxa"/>
                  <w:noWrap w:val="0"/>
                  <w:vAlign w:val="center"/>
                </w:tcPr>
                <w:p w14:paraId="179C794D">
                  <w:pPr>
                    <w:spacing w:line="300" w:lineRule="exact"/>
                    <w:jc w:val="center"/>
                    <w:rPr>
                      <w:rFonts w:hint="eastAsia"/>
                      <w:bCs/>
                      <w:color w:val="auto"/>
                      <w:sz w:val="21"/>
                      <w:szCs w:val="21"/>
                      <w:lang w:val="en-US" w:eastAsia="zh-CN"/>
                    </w:rPr>
                  </w:pPr>
                  <w:r>
                    <w:rPr>
                      <w:rFonts w:hint="eastAsia"/>
                      <w:bCs/>
                      <w:color w:val="auto"/>
                      <w:sz w:val="21"/>
                      <w:szCs w:val="21"/>
                      <w:lang w:val="en-US" w:eastAsia="zh-CN"/>
                    </w:rPr>
                    <w:t>拆包</w:t>
                  </w:r>
                </w:p>
              </w:tc>
              <w:tc>
                <w:tcPr>
                  <w:tcW w:w="661" w:type="dxa"/>
                  <w:noWrap w:val="0"/>
                  <w:vAlign w:val="center"/>
                </w:tcPr>
                <w:p w14:paraId="52AD35B2">
                  <w:pPr>
                    <w:spacing w:line="300" w:lineRule="exact"/>
                    <w:jc w:val="center"/>
                    <w:rPr>
                      <w:rFonts w:hint="eastAsia"/>
                      <w:color w:val="auto"/>
                      <w:sz w:val="21"/>
                      <w:szCs w:val="21"/>
                    </w:rPr>
                  </w:pPr>
                  <w:r>
                    <w:rPr>
                      <w:color w:val="auto"/>
                      <w:sz w:val="21"/>
                      <w:szCs w:val="21"/>
                    </w:rPr>
                    <w:t>固</w:t>
                  </w:r>
                </w:p>
              </w:tc>
              <w:tc>
                <w:tcPr>
                  <w:tcW w:w="2186" w:type="dxa"/>
                  <w:noWrap w:val="0"/>
                  <w:vAlign w:val="center"/>
                </w:tcPr>
                <w:p w14:paraId="457C036F">
                  <w:pPr>
                    <w:spacing w:line="300" w:lineRule="exact"/>
                    <w:jc w:val="center"/>
                    <w:rPr>
                      <w:rFonts w:hint="eastAsia"/>
                      <w:color w:val="auto"/>
                      <w:sz w:val="21"/>
                      <w:szCs w:val="21"/>
                      <w:lang w:val="en-US" w:eastAsia="zh-CN"/>
                    </w:rPr>
                  </w:pPr>
                  <w:r>
                    <w:rPr>
                      <w:rFonts w:hint="eastAsia"/>
                      <w:color w:val="auto"/>
                      <w:sz w:val="21"/>
                      <w:szCs w:val="21"/>
                      <w:lang w:val="en-US" w:eastAsia="zh-CN"/>
                    </w:rPr>
                    <w:t>塑料</w:t>
                  </w:r>
                </w:p>
              </w:tc>
              <w:tc>
                <w:tcPr>
                  <w:tcW w:w="1564" w:type="dxa"/>
                  <w:vMerge w:val="continue"/>
                  <w:noWrap w:val="0"/>
                  <w:vAlign w:val="center"/>
                </w:tcPr>
                <w:p w14:paraId="4316B9BF">
                  <w:pPr>
                    <w:snapToGrid w:val="0"/>
                    <w:spacing w:line="280" w:lineRule="exact"/>
                    <w:jc w:val="center"/>
                    <w:rPr>
                      <w:color w:val="auto"/>
                      <w:sz w:val="21"/>
                      <w:szCs w:val="21"/>
                    </w:rPr>
                  </w:pPr>
                </w:p>
              </w:tc>
              <w:tc>
                <w:tcPr>
                  <w:tcW w:w="660" w:type="dxa"/>
                  <w:noWrap w:val="0"/>
                  <w:vAlign w:val="center"/>
                </w:tcPr>
                <w:p w14:paraId="154AA6E3">
                  <w:pPr>
                    <w:spacing w:line="240" w:lineRule="exact"/>
                    <w:jc w:val="center"/>
                    <w:rPr>
                      <w:rFonts w:hint="eastAsia"/>
                      <w:color w:val="auto"/>
                      <w:sz w:val="21"/>
                      <w:szCs w:val="21"/>
                    </w:rPr>
                  </w:pPr>
                  <w:r>
                    <w:rPr>
                      <w:rFonts w:hint="eastAsia"/>
                      <w:color w:val="auto"/>
                      <w:sz w:val="21"/>
                      <w:szCs w:val="21"/>
                    </w:rPr>
                    <w:t>/</w:t>
                  </w:r>
                </w:p>
              </w:tc>
              <w:tc>
                <w:tcPr>
                  <w:tcW w:w="793" w:type="dxa"/>
                  <w:noWrap w:val="0"/>
                  <w:vAlign w:val="center"/>
                </w:tcPr>
                <w:p w14:paraId="3354B009">
                  <w:pPr>
                    <w:spacing w:line="240" w:lineRule="exact"/>
                    <w:jc w:val="center"/>
                    <w:rPr>
                      <w:rFonts w:hint="eastAsia"/>
                      <w:color w:val="auto"/>
                      <w:sz w:val="21"/>
                      <w:szCs w:val="21"/>
                    </w:rPr>
                  </w:pPr>
                  <w:r>
                    <w:rPr>
                      <w:rFonts w:hint="eastAsia"/>
                      <w:color w:val="auto"/>
                      <w:sz w:val="21"/>
                      <w:szCs w:val="21"/>
                    </w:rPr>
                    <w:t>SW</w:t>
                  </w:r>
                  <w:r>
                    <w:rPr>
                      <w:rFonts w:hint="eastAsia"/>
                      <w:color w:val="auto"/>
                      <w:sz w:val="21"/>
                      <w:szCs w:val="21"/>
                      <w:lang w:val="en-US" w:eastAsia="zh-CN"/>
                    </w:rPr>
                    <w:t>92</w:t>
                  </w:r>
                </w:p>
              </w:tc>
              <w:tc>
                <w:tcPr>
                  <w:tcW w:w="1313" w:type="dxa"/>
                  <w:noWrap w:val="0"/>
                  <w:vAlign w:val="center"/>
                </w:tcPr>
                <w:p w14:paraId="355F036A">
                  <w:pPr>
                    <w:spacing w:line="240" w:lineRule="exact"/>
                    <w:jc w:val="center"/>
                    <w:rPr>
                      <w:rFonts w:hint="eastAsia"/>
                      <w:color w:val="auto"/>
                      <w:sz w:val="21"/>
                      <w:szCs w:val="21"/>
                    </w:rPr>
                  </w:pPr>
                  <w:r>
                    <w:rPr>
                      <w:rFonts w:hint="eastAsia"/>
                      <w:color w:val="auto"/>
                      <w:sz w:val="21"/>
                      <w:szCs w:val="21"/>
                    </w:rPr>
                    <w:t>900-0</w:t>
                  </w:r>
                  <w:r>
                    <w:rPr>
                      <w:rFonts w:hint="eastAsia"/>
                      <w:color w:val="auto"/>
                      <w:sz w:val="21"/>
                      <w:szCs w:val="21"/>
                      <w:lang w:val="en-US" w:eastAsia="zh-CN"/>
                    </w:rPr>
                    <w:t xml:space="preserve">02 </w:t>
                  </w:r>
                  <w:r>
                    <w:rPr>
                      <w:rFonts w:hint="eastAsia"/>
                      <w:color w:val="auto"/>
                      <w:sz w:val="21"/>
                      <w:szCs w:val="21"/>
                    </w:rPr>
                    <w:t>-S</w:t>
                  </w:r>
                  <w:r>
                    <w:rPr>
                      <w:rFonts w:hint="eastAsia"/>
                      <w:color w:val="auto"/>
                      <w:sz w:val="21"/>
                      <w:szCs w:val="21"/>
                      <w:lang w:val="en-US" w:eastAsia="zh-CN"/>
                    </w:rPr>
                    <w:t>92</w:t>
                  </w:r>
                </w:p>
              </w:tc>
              <w:tc>
                <w:tcPr>
                  <w:tcW w:w="895" w:type="dxa"/>
                  <w:noWrap w:val="0"/>
                  <w:vAlign w:val="center"/>
                </w:tcPr>
                <w:p w14:paraId="0F94D823">
                  <w:pPr>
                    <w:spacing w:line="300" w:lineRule="exact"/>
                    <w:jc w:val="center"/>
                    <w:rPr>
                      <w:color w:val="auto"/>
                      <w:sz w:val="21"/>
                      <w:szCs w:val="21"/>
                    </w:rPr>
                  </w:pPr>
                  <w:r>
                    <w:rPr>
                      <w:rFonts w:hint="eastAsia"/>
                      <w:color w:val="auto"/>
                      <w:sz w:val="21"/>
                      <w:szCs w:val="21"/>
                      <w:lang w:val="en-US" w:eastAsia="zh-CN"/>
                    </w:rPr>
                    <w:t>0.02</w:t>
                  </w:r>
                </w:p>
              </w:tc>
            </w:tr>
            <w:tr w14:paraId="6FB32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noWrap w:val="0"/>
                  <w:vAlign w:val="center"/>
                </w:tcPr>
                <w:p w14:paraId="35FF0F6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1119" w:type="dxa"/>
                  <w:tcBorders>
                    <w:bottom w:val="single" w:color="auto" w:sz="2" w:space="0"/>
                  </w:tcBorders>
                  <w:noWrap w:val="0"/>
                  <w:vAlign w:val="center"/>
                </w:tcPr>
                <w:p w14:paraId="1004835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废渣</w:t>
                  </w:r>
                </w:p>
              </w:tc>
              <w:tc>
                <w:tcPr>
                  <w:tcW w:w="643" w:type="dxa"/>
                  <w:vMerge w:val="continue"/>
                  <w:noWrap w:val="0"/>
                  <w:vAlign w:val="center"/>
                </w:tcPr>
                <w:p w14:paraId="5BA74D74">
                  <w:pPr>
                    <w:snapToGrid w:val="0"/>
                    <w:spacing w:line="280" w:lineRule="exact"/>
                    <w:jc w:val="center"/>
                    <w:rPr>
                      <w:color w:val="auto"/>
                      <w:sz w:val="21"/>
                      <w:szCs w:val="21"/>
                    </w:rPr>
                  </w:pPr>
                </w:p>
              </w:tc>
              <w:tc>
                <w:tcPr>
                  <w:tcW w:w="1672" w:type="dxa"/>
                  <w:noWrap w:val="0"/>
                  <w:vAlign w:val="center"/>
                </w:tcPr>
                <w:p w14:paraId="00419A31">
                  <w:pPr>
                    <w:spacing w:line="300" w:lineRule="exact"/>
                    <w:jc w:val="center"/>
                    <w:rPr>
                      <w:rFonts w:hint="eastAsia"/>
                      <w:bCs/>
                      <w:color w:val="auto"/>
                      <w:sz w:val="21"/>
                      <w:szCs w:val="21"/>
                      <w:lang w:val="en-US" w:eastAsia="zh-CN"/>
                    </w:rPr>
                  </w:pPr>
                  <w:r>
                    <w:rPr>
                      <w:rFonts w:hint="eastAsia"/>
                    </w:rPr>
                    <w:t>表达载体构建</w:t>
                  </w:r>
                </w:p>
              </w:tc>
              <w:tc>
                <w:tcPr>
                  <w:tcW w:w="661" w:type="dxa"/>
                  <w:noWrap w:val="0"/>
                  <w:vAlign w:val="center"/>
                </w:tcPr>
                <w:p w14:paraId="37E48DC2">
                  <w:pPr>
                    <w:spacing w:line="300" w:lineRule="exact"/>
                    <w:jc w:val="center"/>
                    <w:rPr>
                      <w:rFonts w:hint="eastAsia" w:eastAsia="宋体"/>
                      <w:color w:val="auto"/>
                      <w:sz w:val="21"/>
                      <w:szCs w:val="21"/>
                      <w:lang w:val="en-US" w:eastAsia="zh-CN"/>
                    </w:rPr>
                  </w:pPr>
                  <w:r>
                    <w:rPr>
                      <w:rFonts w:hint="eastAsia"/>
                      <w:color w:val="auto"/>
                      <w:sz w:val="21"/>
                      <w:szCs w:val="21"/>
                      <w:lang w:val="en-US" w:eastAsia="zh-CN"/>
                    </w:rPr>
                    <w:t>固体</w:t>
                  </w:r>
                </w:p>
              </w:tc>
              <w:tc>
                <w:tcPr>
                  <w:tcW w:w="2186" w:type="dxa"/>
                  <w:noWrap w:val="0"/>
                  <w:vAlign w:val="center"/>
                </w:tcPr>
                <w:p w14:paraId="49D9BAF3">
                  <w:pPr>
                    <w:spacing w:line="300" w:lineRule="exact"/>
                    <w:jc w:val="center"/>
                    <w:rPr>
                      <w:rFonts w:hint="eastAsia"/>
                      <w:color w:val="auto"/>
                      <w:sz w:val="21"/>
                      <w:szCs w:val="21"/>
                      <w:lang w:val="en-US" w:eastAsia="zh-CN"/>
                    </w:rPr>
                  </w:pPr>
                  <w:r>
                    <w:rPr>
                      <w:rFonts w:hint="eastAsia" w:cs="Times New Roman"/>
                      <w:bCs/>
                      <w:color w:val="auto"/>
                      <w:sz w:val="21"/>
                      <w:szCs w:val="21"/>
                      <w:lang w:val="en-US" w:eastAsia="zh-CN" w:bidi="ar-SA"/>
                    </w:rPr>
                    <w:t>蛋白胨，酵母粉，氯化钠，琼脂粉</w:t>
                  </w:r>
                </w:p>
              </w:tc>
              <w:tc>
                <w:tcPr>
                  <w:tcW w:w="1564" w:type="dxa"/>
                  <w:vMerge w:val="continue"/>
                  <w:noWrap w:val="0"/>
                  <w:vAlign w:val="center"/>
                </w:tcPr>
                <w:p w14:paraId="21F91AE9">
                  <w:pPr>
                    <w:snapToGrid w:val="0"/>
                    <w:spacing w:line="280" w:lineRule="exact"/>
                    <w:jc w:val="center"/>
                    <w:rPr>
                      <w:color w:val="auto"/>
                      <w:sz w:val="21"/>
                      <w:szCs w:val="21"/>
                    </w:rPr>
                  </w:pPr>
                </w:p>
              </w:tc>
              <w:tc>
                <w:tcPr>
                  <w:tcW w:w="660" w:type="dxa"/>
                  <w:noWrap w:val="0"/>
                  <w:vAlign w:val="center"/>
                </w:tcPr>
                <w:p w14:paraId="7DB35054">
                  <w:pPr>
                    <w:spacing w:line="240" w:lineRule="exact"/>
                    <w:jc w:val="center"/>
                    <w:rPr>
                      <w:rFonts w:hint="eastAsia"/>
                      <w:color w:val="auto"/>
                      <w:sz w:val="21"/>
                      <w:szCs w:val="21"/>
                    </w:rPr>
                  </w:pPr>
                  <w:r>
                    <w:rPr>
                      <w:rFonts w:hint="eastAsia"/>
                      <w:color w:val="auto"/>
                      <w:sz w:val="21"/>
                      <w:szCs w:val="21"/>
                    </w:rPr>
                    <w:t>T/In</w:t>
                  </w:r>
                </w:p>
              </w:tc>
              <w:tc>
                <w:tcPr>
                  <w:tcW w:w="793" w:type="dxa"/>
                  <w:noWrap w:val="0"/>
                  <w:vAlign w:val="center"/>
                </w:tcPr>
                <w:p w14:paraId="39CBC3F8">
                  <w:pPr>
                    <w:spacing w:line="240" w:lineRule="exact"/>
                    <w:jc w:val="center"/>
                    <w:rPr>
                      <w:rFonts w:hint="eastAsia"/>
                      <w:color w:val="auto"/>
                      <w:sz w:val="21"/>
                      <w:szCs w:val="21"/>
                    </w:rPr>
                  </w:pPr>
                  <w:r>
                    <w:rPr>
                      <w:rFonts w:hint="eastAsia"/>
                      <w:color w:val="auto"/>
                      <w:sz w:val="21"/>
                      <w:szCs w:val="21"/>
                    </w:rPr>
                    <w:t>HW49</w:t>
                  </w:r>
                </w:p>
              </w:tc>
              <w:tc>
                <w:tcPr>
                  <w:tcW w:w="1313" w:type="dxa"/>
                  <w:noWrap w:val="0"/>
                  <w:vAlign w:val="center"/>
                </w:tcPr>
                <w:p w14:paraId="68DBBE04">
                  <w:pPr>
                    <w:spacing w:line="240" w:lineRule="exact"/>
                    <w:jc w:val="center"/>
                    <w:rPr>
                      <w:rFonts w:hint="eastAsia"/>
                      <w:color w:val="auto"/>
                      <w:sz w:val="21"/>
                      <w:szCs w:val="21"/>
                    </w:rPr>
                  </w:pPr>
                  <w:r>
                    <w:rPr>
                      <w:rFonts w:hint="eastAsia"/>
                      <w:color w:val="auto"/>
                      <w:sz w:val="21"/>
                      <w:szCs w:val="21"/>
                    </w:rPr>
                    <w:t>900-0</w:t>
                  </w:r>
                  <w:r>
                    <w:rPr>
                      <w:rFonts w:hint="eastAsia"/>
                      <w:color w:val="auto"/>
                      <w:sz w:val="21"/>
                      <w:szCs w:val="21"/>
                      <w:lang w:val="en-US" w:eastAsia="zh-CN"/>
                    </w:rPr>
                    <w:t>41</w:t>
                  </w:r>
                  <w:r>
                    <w:rPr>
                      <w:rFonts w:hint="eastAsia"/>
                      <w:color w:val="auto"/>
                      <w:sz w:val="21"/>
                      <w:szCs w:val="21"/>
                    </w:rPr>
                    <w:t>-49</w:t>
                  </w:r>
                </w:p>
              </w:tc>
              <w:tc>
                <w:tcPr>
                  <w:tcW w:w="895" w:type="dxa"/>
                  <w:noWrap w:val="0"/>
                  <w:vAlign w:val="center"/>
                </w:tcPr>
                <w:p w14:paraId="48EB4B50">
                  <w:pPr>
                    <w:spacing w:line="300" w:lineRule="exact"/>
                    <w:jc w:val="center"/>
                    <w:rPr>
                      <w:rFonts w:hint="default"/>
                      <w:color w:val="auto"/>
                      <w:sz w:val="21"/>
                      <w:szCs w:val="21"/>
                      <w:lang w:val="en-US" w:eastAsia="zh-CN"/>
                    </w:rPr>
                  </w:pPr>
                  <w:r>
                    <w:rPr>
                      <w:rFonts w:hint="eastAsia"/>
                      <w:color w:val="auto"/>
                      <w:sz w:val="21"/>
                      <w:szCs w:val="21"/>
                      <w:lang w:val="en-US" w:eastAsia="zh-CN"/>
                    </w:rPr>
                    <w:t>0.1</w:t>
                  </w:r>
                </w:p>
              </w:tc>
            </w:tr>
            <w:tr w14:paraId="5AFA9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shd w:val="clear" w:color="auto" w:fill="auto"/>
                  <w:noWrap w:val="0"/>
                  <w:vAlign w:val="center"/>
                </w:tcPr>
                <w:p w14:paraId="6BE4B5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1119" w:type="dxa"/>
                  <w:noWrap w:val="0"/>
                  <w:vAlign w:val="center"/>
                </w:tcPr>
                <w:p w14:paraId="6AEF127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试剂废瓶</w:t>
                  </w:r>
                </w:p>
              </w:tc>
              <w:tc>
                <w:tcPr>
                  <w:tcW w:w="643" w:type="dxa"/>
                  <w:vMerge w:val="restart"/>
                  <w:noWrap w:val="0"/>
                  <w:vAlign w:val="center"/>
                </w:tcPr>
                <w:p w14:paraId="29D618C6">
                  <w:pPr>
                    <w:snapToGrid w:val="0"/>
                    <w:spacing w:line="280" w:lineRule="exact"/>
                    <w:jc w:val="center"/>
                    <w:rPr>
                      <w:color w:val="auto"/>
                      <w:sz w:val="21"/>
                      <w:szCs w:val="21"/>
                    </w:rPr>
                  </w:pPr>
                  <w:r>
                    <w:rPr>
                      <w:color w:val="auto"/>
                      <w:sz w:val="21"/>
                      <w:szCs w:val="21"/>
                    </w:rPr>
                    <w:t>危险废物</w:t>
                  </w:r>
                </w:p>
              </w:tc>
              <w:tc>
                <w:tcPr>
                  <w:tcW w:w="1672" w:type="dxa"/>
                  <w:noWrap w:val="0"/>
                  <w:vAlign w:val="center"/>
                </w:tcPr>
                <w:p w14:paraId="095A6934">
                  <w:pPr>
                    <w:spacing w:line="300" w:lineRule="exact"/>
                    <w:jc w:val="center"/>
                    <w:rPr>
                      <w:bCs/>
                      <w:color w:val="auto"/>
                      <w:sz w:val="21"/>
                      <w:szCs w:val="21"/>
                    </w:rPr>
                  </w:pPr>
                  <w:r>
                    <w:rPr>
                      <w:rFonts w:hint="eastAsia"/>
                      <w:bCs/>
                      <w:color w:val="auto"/>
                      <w:sz w:val="21"/>
                      <w:szCs w:val="21"/>
                      <w:lang w:val="en-US" w:eastAsia="zh-CN"/>
                    </w:rPr>
                    <w:t>拆包</w:t>
                  </w:r>
                </w:p>
              </w:tc>
              <w:tc>
                <w:tcPr>
                  <w:tcW w:w="661" w:type="dxa"/>
                  <w:noWrap w:val="0"/>
                  <w:vAlign w:val="center"/>
                </w:tcPr>
                <w:p w14:paraId="086421C6">
                  <w:pPr>
                    <w:spacing w:line="300" w:lineRule="exact"/>
                    <w:jc w:val="center"/>
                    <w:rPr>
                      <w:rFonts w:hint="eastAsia"/>
                      <w:bCs/>
                      <w:color w:val="auto"/>
                      <w:sz w:val="21"/>
                      <w:szCs w:val="21"/>
                    </w:rPr>
                  </w:pPr>
                  <w:r>
                    <w:rPr>
                      <w:color w:val="auto"/>
                      <w:sz w:val="21"/>
                      <w:szCs w:val="21"/>
                    </w:rPr>
                    <w:t>固</w:t>
                  </w:r>
                </w:p>
              </w:tc>
              <w:tc>
                <w:tcPr>
                  <w:tcW w:w="2186" w:type="dxa"/>
                  <w:noWrap w:val="0"/>
                  <w:vAlign w:val="center"/>
                </w:tcPr>
                <w:p w14:paraId="52A85E9B">
                  <w:pPr>
                    <w:spacing w:line="300" w:lineRule="exact"/>
                    <w:jc w:val="center"/>
                    <w:rPr>
                      <w:rFonts w:hint="eastAsia"/>
                      <w:bCs/>
                      <w:color w:val="auto"/>
                      <w:sz w:val="21"/>
                      <w:szCs w:val="21"/>
                    </w:rPr>
                  </w:pPr>
                  <w:r>
                    <w:rPr>
                      <w:rFonts w:hint="eastAsia"/>
                      <w:color w:val="auto"/>
                      <w:sz w:val="21"/>
                      <w:szCs w:val="21"/>
                      <w:lang w:val="en-US" w:eastAsia="zh-CN"/>
                    </w:rPr>
                    <w:t>沾化学品的废瓶</w:t>
                  </w:r>
                </w:p>
              </w:tc>
              <w:tc>
                <w:tcPr>
                  <w:tcW w:w="1564" w:type="dxa"/>
                  <w:vMerge w:val="continue"/>
                  <w:noWrap w:val="0"/>
                  <w:vAlign w:val="center"/>
                </w:tcPr>
                <w:p w14:paraId="32923CE3">
                  <w:pPr>
                    <w:snapToGrid w:val="0"/>
                    <w:spacing w:line="280" w:lineRule="exact"/>
                    <w:jc w:val="center"/>
                    <w:rPr>
                      <w:color w:val="auto"/>
                      <w:sz w:val="21"/>
                      <w:szCs w:val="21"/>
                    </w:rPr>
                  </w:pPr>
                </w:p>
              </w:tc>
              <w:tc>
                <w:tcPr>
                  <w:tcW w:w="660" w:type="dxa"/>
                  <w:noWrap w:val="0"/>
                  <w:vAlign w:val="center"/>
                </w:tcPr>
                <w:p w14:paraId="7668D575">
                  <w:pPr>
                    <w:spacing w:line="240" w:lineRule="exact"/>
                    <w:jc w:val="center"/>
                    <w:rPr>
                      <w:rFonts w:hint="eastAsia"/>
                      <w:color w:val="auto"/>
                      <w:sz w:val="21"/>
                      <w:szCs w:val="21"/>
                    </w:rPr>
                  </w:pPr>
                  <w:r>
                    <w:rPr>
                      <w:rFonts w:hint="eastAsia"/>
                      <w:color w:val="auto"/>
                      <w:sz w:val="21"/>
                      <w:szCs w:val="21"/>
                    </w:rPr>
                    <w:t>T/In</w:t>
                  </w:r>
                </w:p>
              </w:tc>
              <w:tc>
                <w:tcPr>
                  <w:tcW w:w="793" w:type="dxa"/>
                  <w:noWrap w:val="0"/>
                  <w:vAlign w:val="center"/>
                </w:tcPr>
                <w:p w14:paraId="64CDC9A3">
                  <w:pPr>
                    <w:spacing w:line="240" w:lineRule="exact"/>
                    <w:jc w:val="center"/>
                    <w:rPr>
                      <w:color w:val="auto"/>
                      <w:sz w:val="21"/>
                      <w:szCs w:val="21"/>
                    </w:rPr>
                  </w:pPr>
                  <w:r>
                    <w:rPr>
                      <w:rFonts w:hint="eastAsia"/>
                      <w:color w:val="auto"/>
                      <w:sz w:val="21"/>
                      <w:szCs w:val="21"/>
                    </w:rPr>
                    <w:t>HW49</w:t>
                  </w:r>
                </w:p>
              </w:tc>
              <w:tc>
                <w:tcPr>
                  <w:tcW w:w="1313" w:type="dxa"/>
                  <w:noWrap w:val="0"/>
                  <w:vAlign w:val="center"/>
                </w:tcPr>
                <w:p w14:paraId="3906D4E1">
                  <w:pPr>
                    <w:spacing w:line="240" w:lineRule="exact"/>
                    <w:jc w:val="center"/>
                    <w:rPr>
                      <w:color w:val="auto"/>
                      <w:sz w:val="21"/>
                      <w:szCs w:val="21"/>
                    </w:rPr>
                  </w:pPr>
                  <w:r>
                    <w:rPr>
                      <w:rFonts w:hint="eastAsia"/>
                      <w:color w:val="auto"/>
                      <w:sz w:val="21"/>
                      <w:szCs w:val="21"/>
                    </w:rPr>
                    <w:t>900-0</w:t>
                  </w:r>
                  <w:r>
                    <w:rPr>
                      <w:rFonts w:hint="eastAsia"/>
                      <w:color w:val="auto"/>
                      <w:sz w:val="21"/>
                      <w:szCs w:val="21"/>
                      <w:lang w:val="en-US" w:eastAsia="zh-CN"/>
                    </w:rPr>
                    <w:t>41</w:t>
                  </w:r>
                  <w:r>
                    <w:rPr>
                      <w:rFonts w:hint="eastAsia"/>
                      <w:color w:val="auto"/>
                      <w:sz w:val="21"/>
                      <w:szCs w:val="21"/>
                    </w:rPr>
                    <w:t>-49</w:t>
                  </w:r>
                </w:p>
              </w:tc>
              <w:tc>
                <w:tcPr>
                  <w:tcW w:w="895" w:type="dxa"/>
                  <w:noWrap w:val="0"/>
                  <w:vAlign w:val="center"/>
                </w:tcPr>
                <w:p w14:paraId="2B766753">
                  <w:pPr>
                    <w:spacing w:line="300" w:lineRule="exact"/>
                    <w:jc w:val="center"/>
                    <w:rPr>
                      <w:rFonts w:hint="eastAsia"/>
                      <w:color w:val="auto"/>
                      <w:sz w:val="21"/>
                      <w:szCs w:val="21"/>
                    </w:rPr>
                  </w:pPr>
                  <w:r>
                    <w:rPr>
                      <w:rFonts w:hint="eastAsia"/>
                      <w:color w:val="auto"/>
                      <w:sz w:val="21"/>
                      <w:szCs w:val="21"/>
                      <w:lang w:val="en-US" w:eastAsia="zh-CN"/>
                    </w:rPr>
                    <w:t>0.05</w:t>
                  </w:r>
                </w:p>
              </w:tc>
            </w:tr>
            <w:tr w14:paraId="76EA4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noWrap w:val="0"/>
                  <w:vAlign w:val="center"/>
                </w:tcPr>
                <w:p w14:paraId="77F4227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rPr>
                  </w:pPr>
                  <w:r>
                    <w:rPr>
                      <w:rFonts w:hint="eastAsia"/>
                      <w:color w:val="auto"/>
                      <w:sz w:val="21"/>
                      <w:szCs w:val="21"/>
                      <w:lang w:val="en-US" w:eastAsia="zh-CN"/>
                    </w:rPr>
                    <w:t>5</w:t>
                  </w:r>
                </w:p>
              </w:tc>
              <w:tc>
                <w:tcPr>
                  <w:tcW w:w="1119" w:type="dxa"/>
                  <w:noWrap w:val="0"/>
                  <w:vAlign w:val="center"/>
                </w:tcPr>
                <w:p w14:paraId="73BC887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废液</w:t>
                  </w:r>
                </w:p>
              </w:tc>
              <w:tc>
                <w:tcPr>
                  <w:tcW w:w="643" w:type="dxa"/>
                  <w:vMerge w:val="continue"/>
                  <w:noWrap w:val="0"/>
                  <w:vAlign w:val="center"/>
                </w:tcPr>
                <w:p w14:paraId="4950FCE9">
                  <w:pPr>
                    <w:snapToGrid w:val="0"/>
                    <w:spacing w:line="280" w:lineRule="exact"/>
                    <w:jc w:val="center"/>
                    <w:rPr>
                      <w:color w:val="auto"/>
                      <w:sz w:val="21"/>
                      <w:szCs w:val="21"/>
                    </w:rPr>
                  </w:pPr>
                </w:p>
              </w:tc>
              <w:tc>
                <w:tcPr>
                  <w:tcW w:w="1672" w:type="dxa"/>
                  <w:noWrap w:val="0"/>
                  <w:vAlign w:val="center"/>
                </w:tcPr>
                <w:p w14:paraId="13FFB233">
                  <w:pPr>
                    <w:spacing w:line="300" w:lineRule="exact"/>
                    <w:jc w:val="center"/>
                    <w:rPr>
                      <w:rFonts w:hint="eastAsia"/>
                      <w:bCs/>
                      <w:color w:val="auto"/>
                      <w:sz w:val="21"/>
                      <w:szCs w:val="21"/>
                    </w:rPr>
                  </w:pPr>
                  <w:r>
                    <w:rPr>
                      <w:rFonts w:hint="eastAsia"/>
                      <w:bCs/>
                      <w:color w:val="auto"/>
                      <w:sz w:val="21"/>
                      <w:szCs w:val="21"/>
                      <w:lang w:val="en-US" w:eastAsia="zh-CN"/>
                    </w:rPr>
                    <w:t>地面清洗、设备容器清洗、质检、发酵</w:t>
                  </w:r>
                </w:p>
              </w:tc>
              <w:tc>
                <w:tcPr>
                  <w:tcW w:w="661" w:type="dxa"/>
                  <w:noWrap w:val="0"/>
                  <w:vAlign w:val="center"/>
                </w:tcPr>
                <w:p w14:paraId="39603ADD">
                  <w:pPr>
                    <w:spacing w:line="300" w:lineRule="exact"/>
                    <w:jc w:val="center"/>
                    <w:rPr>
                      <w:rFonts w:hint="eastAsia" w:eastAsia="宋体"/>
                      <w:color w:val="auto"/>
                      <w:sz w:val="21"/>
                      <w:szCs w:val="21"/>
                      <w:lang w:val="en-US" w:eastAsia="zh-CN"/>
                    </w:rPr>
                  </w:pPr>
                  <w:r>
                    <w:rPr>
                      <w:rFonts w:hint="eastAsia"/>
                      <w:color w:val="auto"/>
                      <w:sz w:val="21"/>
                      <w:szCs w:val="21"/>
                      <w:lang w:val="en-US" w:eastAsia="zh-CN"/>
                    </w:rPr>
                    <w:t>液</w:t>
                  </w:r>
                </w:p>
              </w:tc>
              <w:tc>
                <w:tcPr>
                  <w:tcW w:w="2186" w:type="dxa"/>
                  <w:noWrap w:val="0"/>
                  <w:vAlign w:val="center"/>
                </w:tcPr>
                <w:p w14:paraId="523B5F23">
                  <w:pPr>
                    <w:spacing w:line="300" w:lineRule="exact"/>
                    <w:jc w:val="center"/>
                    <w:rPr>
                      <w:rFonts w:hint="default"/>
                      <w:color w:val="auto"/>
                      <w:sz w:val="21"/>
                      <w:szCs w:val="21"/>
                      <w:lang w:val="en-US"/>
                    </w:rPr>
                  </w:pPr>
                  <w:r>
                    <w:rPr>
                      <w:rFonts w:hint="eastAsia"/>
                      <w:color w:val="auto"/>
                      <w:sz w:val="21"/>
                      <w:szCs w:val="21"/>
                      <w:lang w:val="en-US" w:eastAsia="zh-CN"/>
                    </w:rPr>
                    <w:t>甘油、葡萄糖、氯化铵、磷酸氢二钠、硫酸镁、磷酸二氢钾、片碱、酵母粉、蛋白胨、消泡剂、硫酸铵、硫酸卡那霉素、氨苄青霉素、</w:t>
                  </w:r>
                  <w:r>
                    <w:rPr>
                      <w:rFonts w:hint="eastAsia" w:ascii="Times New Roman" w:hAnsi="Times New Roman" w:cs="Times New Roman"/>
                      <w:color w:val="auto"/>
                      <w:sz w:val="21"/>
                      <w:szCs w:val="21"/>
                      <w:lang w:val="en-US" w:eastAsia="zh-CN"/>
                    </w:rPr>
                    <w:t>玉米浆粉</w:t>
                  </w:r>
                  <w:r>
                    <w:rPr>
                      <w:rFonts w:hint="eastAsia" w:cs="Times New Roman"/>
                      <w:color w:val="auto"/>
                      <w:sz w:val="21"/>
                      <w:szCs w:val="21"/>
                      <w:lang w:val="en-US" w:eastAsia="zh-CN"/>
                    </w:rPr>
                    <w:t>等</w:t>
                  </w:r>
                </w:p>
              </w:tc>
              <w:tc>
                <w:tcPr>
                  <w:tcW w:w="1564" w:type="dxa"/>
                  <w:vMerge w:val="continue"/>
                  <w:noWrap w:val="0"/>
                  <w:vAlign w:val="center"/>
                </w:tcPr>
                <w:p w14:paraId="2B03470C">
                  <w:pPr>
                    <w:snapToGrid w:val="0"/>
                    <w:spacing w:line="280" w:lineRule="exact"/>
                    <w:jc w:val="center"/>
                    <w:rPr>
                      <w:color w:val="auto"/>
                      <w:sz w:val="21"/>
                      <w:szCs w:val="21"/>
                    </w:rPr>
                  </w:pPr>
                </w:p>
              </w:tc>
              <w:tc>
                <w:tcPr>
                  <w:tcW w:w="660" w:type="dxa"/>
                  <w:noWrap w:val="0"/>
                  <w:vAlign w:val="center"/>
                </w:tcPr>
                <w:p w14:paraId="750A3C92">
                  <w:pPr>
                    <w:spacing w:line="240" w:lineRule="exact"/>
                    <w:jc w:val="center"/>
                    <w:rPr>
                      <w:rFonts w:hint="eastAsia"/>
                      <w:color w:val="auto"/>
                      <w:sz w:val="21"/>
                      <w:szCs w:val="21"/>
                    </w:rPr>
                  </w:pPr>
                  <w:r>
                    <w:rPr>
                      <w:rFonts w:hint="eastAsia"/>
                      <w:color w:val="auto"/>
                      <w:sz w:val="21"/>
                      <w:szCs w:val="21"/>
                    </w:rPr>
                    <w:t>T/In</w:t>
                  </w:r>
                </w:p>
              </w:tc>
              <w:tc>
                <w:tcPr>
                  <w:tcW w:w="793" w:type="dxa"/>
                  <w:noWrap w:val="0"/>
                  <w:vAlign w:val="center"/>
                </w:tcPr>
                <w:p w14:paraId="0F1E16F4">
                  <w:pPr>
                    <w:spacing w:line="240" w:lineRule="exact"/>
                    <w:jc w:val="center"/>
                    <w:rPr>
                      <w:rFonts w:hint="eastAsia"/>
                      <w:color w:val="auto"/>
                      <w:sz w:val="21"/>
                      <w:szCs w:val="21"/>
                    </w:rPr>
                  </w:pPr>
                  <w:r>
                    <w:rPr>
                      <w:rFonts w:hint="eastAsia"/>
                      <w:color w:val="auto"/>
                      <w:sz w:val="21"/>
                      <w:szCs w:val="21"/>
                    </w:rPr>
                    <w:t>HW49</w:t>
                  </w:r>
                </w:p>
              </w:tc>
              <w:tc>
                <w:tcPr>
                  <w:tcW w:w="1313" w:type="dxa"/>
                  <w:noWrap w:val="0"/>
                  <w:vAlign w:val="center"/>
                </w:tcPr>
                <w:p w14:paraId="40F5352A">
                  <w:pPr>
                    <w:spacing w:line="240" w:lineRule="exact"/>
                    <w:jc w:val="center"/>
                    <w:rPr>
                      <w:rFonts w:hint="eastAsia"/>
                      <w:color w:val="auto"/>
                      <w:sz w:val="21"/>
                      <w:szCs w:val="21"/>
                    </w:rPr>
                  </w:pPr>
                  <w:r>
                    <w:rPr>
                      <w:rFonts w:hint="eastAsia"/>
                      <w:color w:val="auto"/>
                      <w:sz w:val="21"/>
                      <w:szCs w:val="21"/>
                    </w:rPr>
                    <w:t>900-04</w:t>
                  </w:r>
                  <w:r>
                    <w:rPr>
                      <w:rFonts w:hint="eastAsia"/>
                      <w:color w:val="auto"/>
                      <w:sz w:val="21"/>
                      <w:szCs w:val="21"/>
                      <w:lang w:val="en-US" w:eastAsia="zh-CN"/>
                    </w:rPr>
                    <w:t>7</w:t>
                  </w:r>
                  <w:r>
                    <w:rPr>
                      <w:rFonts w:hint="eastAsia"/>
                      <w:color w:val="auto"/>
                      <w:sz w:val="21"/>
                      <w:szCs w:val="21"/>
                    </w:rPr>
                    <w:t>-49</w:t>
                  </w:r>
                </w:p>
              </w:tc>
              <w:tc>
                <w:tcPr>
                  <w:tcW w:w="895" w:type="dxa"/>
                  <w:noWrap w:val="0"/>
                  <w:vAlign w:val="center"/>
                </w:tcPr>
                <w:p w14:paraId="6D6F722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7.588</w:t>
                  </w:r>
                </w:p>
              </w:tc>
            </w:tr>
            <w:tr w14:paraId="0847A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noWrap w:val="0"/>
                  <w:vAlign w:val="center"/>
                </w:tcPr>
                <w:p w14:paraId="03B16ED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1119" w:type="dxa"/>
                  <w:noWrap w:val="0"/>
                  <w:vAlign w:val="center"/>
                </w:tcPr>
                <w:p w14:paraId="476CF9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废活性炭</w:t>
                  </w:r>
                </w:p>
              </w:tc>
              <w:tc>
                <w:tcPr>
                  <w:tcW w:w="643" w:type="dxa"/>
                  <w:vMerge w:val="continue"/>
                  <w:noWrap w:val="0"/>
                  <w:vAlign w:val="center"/>
                </w:tcPr>
                <w:p w14:paraId="5020C247">
                  <w:pPr>
                    <w:snapToGrid w:val="0"/>
                    <w:spacing w:line="280" w:lineRule="exact"/>
                    <w:jc w:val="center"/>
                    <w:rPr>
                      <w:color w:val="auto"/>
                      <w:sz w:val="21"/>
                      <w:szCs w:val="21"/>
                    </w:rPr>
                  </w:pPr>
                </w:p>
              </w:tc>
              <w:tc>
                <w:tcPr>
                  <w:tcW w:w="1672" w:type="dxa"/>
                  <w:noWrap w:val="0"/>
                  <w:vAlign w:val="center"/>
                </w:tcPr>
                <w:p w14:paraId="78712557">
                  <w:pPr>
                    <w:spacing w:line="300" w:lineRule="exact"/>
                    <w:jc w:val="center"/>
                    <w:rPr>
                      <w:rFonts w:hint="default"/>
                      <w:bCs/>
                      <w:color w:val="auto"/>
                      <w:sz w:val="21"/>
                      <w:szCs w:val="21"/>
                      <w:lang w:val="en-US" w:eastAsia="zh-CN"/>
                    </w:rPr>
                  </w:pPr>
                  <w:r>
                    <w:rPr>
                      <w:rFonts w:hint="eastAsia"/>
                      <w:bCs/>
                      <w:color w:val="auto"/>
                      <w:sz w:val="21"/>
                      <w:szCs w:val="21"/>
                      <w:lang w:val="en-US" w:eastAsia="zh-CN"/>
                    </w:rPr>
                    <w:t>废气处理</w:t>
                  </w:r>
                </w:p>
              </w:tc>
              <w:tc>
                <w:tcPr>
                  <w:tcW w:w="661" w:type="dxa"/>
                  <w:noWrap w:val="0"/>
                  <w:vAlign w:val="center"/>
                </w:tcPr>
                <w:p w14:paraId="45227678">
                  <w:pPr>
                    <w:spacing w:line="300" w:lineRule="exact"/>
                    <w:jc w:val="center"/>
                    <w:rPr>
                      <w:rFonts w:hint="default"/>
                      <w:color w:val="auto"/>
                      <w:sz w:val="21"/>
                      <w:szCs w:val="21"/>
                      <w:lang w:val="en-US" w:eastAsia="zh-CN"/>
                    </w:rPr>
                  </w:pPr>
                  <w:r>
                    <w:rPr>
                      <w:rFonts w:hint="eastAsia"/>
                      <w:color w:val="auto"/>
                      <w:sz w:val="21"/>
                      <w:szCs w:val="21"/>
                      <w:lang w:val="en-US" w:eastAsia="zh-CN"/>
                    </w:rPr>
                    <w:t>固</w:t>
                  </w:r>
                </w:p>
              </w:tc>
              <w:tc>
                <w:tcPr>
                  <w:tcW w:w="2186" w:type="dxa"/>
                  <w:noWrap w:val="0"/>
                  <w:vAlign w:val="center"/>
                </w:tcPr>
                <w:p w14:paraId="33004059">
                  <w:pPr>
                    <w:spacing w:line="300" w:lineRule="exact"/>
                    <w:jc w:val="center"/>
                    <w:rPr>
                      <w:rFonts w:hint="default"/>
                      <w:color w:val="auto"/>
                      <w:sz w:val="21"/>
                      <w:szCs w:val="21"/>
                      <w:lang w:val="en-US" w:eastAsia="zh-CN"/>
                    </w:rPr>
                  </w:pPr>
                  <w:r>
                    <w:rPr>
                      <w:rFonts w:hint="eastAsia"/>
                      <w:color w:val="auto"/>
                      <w:sz w:val="21"/>
                      <w:szCs w:val="21"/>
                      <w:lang w:val="en-US" w:eastAsia="zh-CN"/>
                    </w:rPr>
                    <w:t>活性炭</w:t>
                  </w:r>
                </w:p>
              </w:tc>
              <w:tc>
                <w:tcPr>
                  <w:tcW w:w="1564" w:type="dxa"/>
                  <w:vMerge w:val="continue"/>
                  <w:noWrap w:val="0"/>
                  <w:vAlign w:val="center"/>
                </w:tcPr>
                <w:p w14:paraId="4477D7EF">
                  <w:pPr>
                    <w:snapToGrid w:val="0"/>
                    <w:spacing w:line="280" w:lineRule="exact"/>
                    <w:jc w:val="center"/>
                    <w:rPr>
                      <w:color w:val="auto"/>
                      <w:sz w:val="21"/>
                      <w:szCs w:val="21"/>
                    </w:rPr>
                  </w:pPr>
                </w:p>
              </w:tc>
              <w:tc>
                <w:tcPr>
                  <w:tcW w:w="660" w:type="dxa"/>
                  <w:noWrap w:val="0"/>
                  <w:vAlign w:val="center"/>
                </w:tcPr>
                <w:p w14:paraId="6A07ED3F">
                  <w:pPr>
                    <w:spacing w:line="240" w:lineRule="exact"/>
                    <w:jc w:val="center"/>
                    <w:rPr>
                      <w:rFonts w:hint="eastAsia" w:eastAsia="宋体"/>
                      <w:color w:val="auto"/>
                      <w:sz w:val="21"/>
                      <w:szCs w:val="21"/>
                      <w:lang w:val="en-US" w:eastAsia="zh-CN"/>
                    </w:rPr>
                  </w:pPr>
                  <w:r>
                    <w:rPr>
                      <w:rFonts w:hint="eastAsia"/>
                      <w:color w:val="auto"/>
                      <w:sz w:val="21"/>
                      <w:szCs w:val="21"/>
                      <w:lang w:val="en-US" w:eastAsia="zh-CN"/>
                    </w:rPr>
                    <w:t>T</w:t>
                  </w:r>
                </w:p>
              </w:tc>
              <w:tc>
                <w:tcPr>
                  <w:tcW w:w="793" w:type="dxa"/>
                  <w:noWrap w:val="0"/>
                  <w:vAlign w:val="center"/>
                </w:tcPr>
                <w:p w14:paraId="0F442514">
                  <w:pPr>
                    <w:spacing w:line="240" w:lineRule="exact"/>
                    <w:jc w:val="center"/>
                    <w:rPr>
                      <w:rFonts w:hint="default" w:eastAsia="宋体"/>
                      <w:color w:val="auto"/>
                      <w:sz w:val="21"/>
                      <w:szCs w:val="21"/>
                      <w:lang w:val="en-US" w:eastAsia="zh-CN"/>
                    </w:rPr>
                  </w:pPr>
                  <w:r>
                    <w:rPr>
                      <w:rFonts w:hint="eastAsia"/>
                      <w:color w:val="auto"/>
                      <w:sz w:val="21"/>
                      <w:szCs w:val="21"/>
                      <w:lang w:val="en-US" w:eastAsia="zh-CN"/>
                    </w:rPr>
                    <w:t>HW49</w:t>
                  </w:r>
                </w:p>
              </w:tc>
              <w:tc>
                <w:tcPr>
                  <w:tcW w:w="1313" w:type="dxa"/>
                  <w:noWrap w:val="0"/>
                  <w:vAlign w:val="center"/>
                </w:tcPr>
                <w:p w14:paraId="69FDA90E">
                  <w:pPr>
                    <w:spacing w:line="240" w:lineRule="exact"/>
                    <w:jc w:val="center"/>
                    <w:rPr>
                      <w:rFonts w:hint="default" w:eastAsia="宋体"/>
                      <w:color w:val="auto"/>
                      <w:sz w:val="21"/>
                      <w:szCs w:val="21"/>
                      <w:lang w:val="en-US" w:eastAsia="zh-CN"/>
                    </w:rPr>
                  </w:pPr>
                  <w:r>
                    <w:rPr>
                      <w:rFonts w:hint="eastAsia"/>
                      <w:color w:val="auto"/>
                      <w:sz w:val="21"/>
                      <w:szCs w:val="21"/>
                      <w:lang w:val="en-US" w:eastAsia="zh-CN"/>
                    </w:rPr>
                    <w:t>900-039-49</w:t>
                  </w:r>
                </w:p>
              </w:tc>
              <w:tc>
                <w:tcPr>
                  <w:tcW w:w="895" w:type="dxa"/>
                  <w:noWrap w:val="0"/>
                  <w:vAlign w:val="center"/>
                </w:tcPr>
                <w:p w14:paraId="1CB3038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000000" w:themeColor="text1"/>
                      <w:sz w:val="21"/>
                      <w:szCs w:val="21"/>
                      <w:lang w:val="en-US" w:eastAsia="zh-CN"/>
                      <w14:textFill>
                        <w14:solidFill>
                          <w14:schemeClr w14:val="tx1"/>
                        </w14:solidFill>
                      </w14:textFill>
                    </w:rPr>
                    <w:t>0.231</w:t>
                  </w:r>
                </w:p>
              </w:tc>
            </w:tr>
            <w:tr w14:paraId="2302B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noWrap w:val="0"/>
                  <w:vAlign w:val="center"/>
                </w:tcPr>
                <w:p w14:paraId="3643EC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7</w:t>
                  </w:r>
                </w:p>
              </w:tc>
              <w:tc>
                <w:tcPr>
                  <w:tcW w:w="1119" w:type="dxa"/>
                  <w:noWrap w:val="0"/>
                  <w:vAlign w:val="center"/>
                </w:tcPr>
                <w:p w14:paraId="3E47F89E">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生活垃圾</w:t>
                  </w:r>
                </w:p>
              </w:tc>
              <w:tc>
                <w:tcPr>
                  <w:tcW w:w="643" w:type="dxa"/>
                  <w:noWrap w:val="0"/>
                  <w:vAlign w:val="center"/>
                </w:tcPr>
                <w:p w14:paraId="2D4E6C48">
                  <w:pPr>
                    <w:snapToGrid w:val="0"/>
                    <w:spacing w:line="280" w:lineRule="exact"/>
                    <w:jc w:val="center"/>
                    <w:rPr>
                      <w:color w:val="auto"/>
                      <w:sz w:val="21"/>
                      <w:szCs w:val="21"/>
                    </w:rPr>
                  </w:pPr>
                  <w:r>
                    <w:rPr>
                      <w:color w:val="auto"/>
                      <w:sz w:val="21"/>
                      <w:szCs w:val="21"/>
                    </w:rPr>
                    <w:t>/</w:t>
                  </w:r>
                </w:p>
              </w:tc>
              <w:tc>
                <w:tcPr>
                  <w:tcW w:w="1672" w:type="dxa"/>
                  <w:noWrap w:val="0"/>
                  <w:vAlign w:val="center"/>
                </w:tcPr>
                <w:p w14:paraId="24A579B6">
                  <w:pPr>
                    <w:spacing w:line="320" w:lineRule="exact"/>
                    <w:jc w:val="center"/>
                    <w:rPr>
                      <w:color w:val="auto"/>
                      <w:sz w:val="21"/>
                      <w:szCs w:val="21"/>
                    </w:rPr>
                  </w:pPr>
                  <w:r>
                    <w:rPr>
                      <w:color w:val="auto"/>
                      <w:sz w:val="21"/>
                      <w:szCs w:val="21"/>
                    </w:rPr>
                    <w:t>员工生活</w:t>
                  </w:r>
                </w:p>
              </w:tc>
              <w:tc>
                <w:tcPr>
                  <w:tcW w:w="661" w:type="dxa"/>
                  <w:noWrap w:val="0"/>
                  <w:vAlign w:val="center"/>
                </w:tcPr>
                <w:p w14:paraId="5A1A3FED">
                  <w:pPr>
                    <w:spacing w:line="320" w:lineRule="exact"/>
                    <w:jc w:val="center"/>
                    <w:rPr>
                      <w:color w:val="auto"/>
                      <w:sz w:val="21"/>
                      <w:szCs w:val="21"/>
                    </w:rPr>
                  </w:pPr>
                  <w:r>
                    <w:rPr>
                      <w:color w:val="auto"/>
                      <w:sz w:val="21"/>
                      <w:szCs w:val="21"/>
                    </w:rPr>
                    <w:t>固</w:t>
                  </w:r>
                </w:p>
              </w:tc>
              <w:tc>
                <w:tcPr>
                  <w:tcW w:w="2186" w:type="dxa"/>
                  <w:noWrap w:val="0"/>
                  <w:vAlign w:val="center"/>
                </w:tcPr>
                <w:p w14:paraId="318F00CD">
                  <w:pPr>
                    <w:spacing w:line="300" w:lineRule="exact"/>
                    <w:jc w:val="center"/>
                    <w:rPr>
                      <w:color w:val="auto"/>
                      <w:sz w:val="21"/>
                      <w:szCs w:val="21"/>
                    </w:rPr>
                  </w:pPr>
                  <w:r>
                    <w:rPr>
                      <w:color w:val="auto"/>
                      <w:sz w:val="21"/>
                      <w:szCs w:val="21"/>
                    </w:rPr>
                    <w:t>生活垃圾</w:t>
                  </w:r>
                </w:p>
              </w:tc>
              <w:tc>
                <w:tcPr>
                  <w:tcW w:w="1564" w:type="dxa"/>
                  <w:vMerge w:val="continue"/>
                  <w:noWrap w:val="0"/>
                  <w:vAlign w:val="center"/>
                </w:tcPr>
                <w:p w14:paraId="01E4211E">
                  <w:pPr>
                    <w:snapToGrid w:val="0"/>
                    <w:spacing w:line="280" w:lineRule="exact"/>
                    <w:jc w:val="center"/>
                    <w:rPr>
                      <w:color w:val="auto"/>
                      <w:sz w:val="21"/>
                      <w:szCs w:val="21"/>
                    </w:rPr>
                  </w:pPr>
                </w:p>
              </w:tc>
              <w:tc>
                <w:tcPr>
                  <w:tcW w:w="660" w:type="dxa"/>
                  <w:noWrap w:val="0"/>
                  <w:vAlign w:val="center"/>
                </w:tcPr>
                <w:p w14:paraId="268E3992">
                  <w:pPr>
                    <w:snapToGrid w:val="0"/>
                    <w:spacing w:line="280" w:lineRule="exact"/>
                    <w:jc w:val="center"/>
                    <w:rPr>
                      <w:color w:val="auto"/>
                      <w:sz w:val="21"/>
                      <w:szCs w:val="21"/>
                    </w:rPr>
                  </w:pPr>
                  <w:r>
                    <w:rPr>
                      <w:color w:val="auto"/>
                      <w:sz w:val="21"/>
                      <w:szCs w:val="21"/>
                    </w:rPr>
                    <w:t>/</w:t>
                  </w:r>
                </w:p>
              </w:tc>
              <w:tc>
                <w:tcPr>
                  <w:tcW w:w="793" w:type="dxa"/>
                  <w:noWrap w:val="0"/>
                  <w:vAlign w:val="center"/>
                </w:tcPr>
                <w:p w14:paraId="1B6A3B84">
                  <w:pPr>
                    <w:snapToGrid w:val="0"/>
                    <w:spacing w:line="280" w:lineRule="exact"/>
                    <w:jc w:val="center"/>
                    <w:rPr>
                      <w:color w:val="auto"/>
                      <w:sz w:val="21"/>
                      <w:szCs w:val="21"/>
                    </w:rPr>
                  </w:pPr>
                  <w:r>
                    <w:rPr>
                      <w:color w:val="auto"/>
                      <w:sz w:val="21"/>
                      <w:szCs w:val="21"/>
                    </w:rPr>
                    <w:t>/</w:t>
                  </w:r>
                </w:p>
              </w:tc>
              <w:tc>
                <w:tcPr>
                  <w:tcW w:w="1313" w:type="dxa"/>
                  <w:noWrap w:val="0"/>
                  <w:vAlign w:val="center"/>
                </w:tcPr>
                <w:p w14:paraId="25E65328">
                  <w:pPr>
                    <w:spacing w:line="280" w:lineRule="exact"/>
                    <w:jc w:val="center"/>
                    <w:rPr>
                      <w:color w:val="auto"/>
                      <w:sz w:val="21"/>
                      <w:szCs w:val="21"/>
                    </w:rPr>
                  </w:pPr>
                  <w:r>
                    <w:rPr>
                      <w:color w:val="auto"/>
                      <w:sz w:val="21"/>
                      <w:szCs w:val="21"/>
                    </w:rPr>
                    <w:t>/</w:t>
                  </w:r>
                </w:p>
              </w:tc>
              <w:tc>
                <w:tcPr>
                  <w:tcW w:w="895" w:type="dxa"/>
                  <w:noWrap w:val="0"/>
                  <w:vAlign w:val="center"/>
                </w:tcPr>
                <w:p w14:paraId="4FD413D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rPr>
                  </w:pPr>
                  <w:r>
                    <w:rPr>
                      <w:rFonts w:hint="eastAsia"/>
                      <w:color w:val="auto"/>
                      <w:sz w:val="21"/>
                      <w:szCs w:val="21"/>
                      <w:lang w:val="en-US" w:eastAsia="zh-CN"/>
                    </w:rPr>
                    <w:t>1.5</w:t>
                  </w:r>
                </w:p>
              </w:tc>
            </w:tr>
          </w:tbl>
          <w:p w14:paraId="2F0CD754">
            <w:pPr>
              <w:spacing w:line="360" w:lineRule="exact"/>
              <w:jc w:val="both"/>
              <w:rPr>
                <w:b/>
                <w:color w:val="auto"/>
                <w:szCs w:val="21"/>
              </w:rPr>
            </w:pPr>
          </w:p>
          <w:p w14:paraId="13B9B777">
            <w:pPr>
              <w:pStyle w:val="44"/>
              <w:rPr>
                <w:color w:val="auto"/>
              </w:rPr>
            </w:pPr>
          </w:p>
        </w:tc>
      </w:tr>
    </w:tbl>
    <w:p w14:paraId="4CFCDAD7">
      <w:pPr>
        <w:pStyle w:val="44"/>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565"/>
      </w:tblGrid>
      <w:tr w14:paraId="7CDC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noWrap w:val="0"/>
            <w:vAlign w:val="center"/>
          </w:tcPr>
          <w:p w14:paraId="5956074F">
            <w:pPr>
              <w:adjustRightInd w:val="0"/>
              <w:snapToGrid w:val="0"/>
              <w:jc w:val="center"/>
              <w:rPr>
                <w:bCs/>
                <w:color w:val="auto"/>
                <w:sz w:val="24"/>
                <w:szCs w:val="24"/>
              </w:rPr>
            </w:pPr>
            <w:r>
              <w:rPr>
                <w:bCs/>
                <w:color w:val="auto"/>
                <w:sz w:val="24"/>
                <w:szCs w:val="24"/>
              </w:rPr>
              <w:t>运营</w:t>
            </w:r>
          </w:p>
          <w:p w14:paraId="0DDF218B">
            <w:pPr>
              <w:adjustRightInd w:val="0"/>
              <w:snapToGrid w:val="0"/>
              <w:jc w:val="center"/>
              <w:rPr>
                <w:bCs/>
                <w:color w:val="auto"/>
                <w:sz w:val="24"/>
                <w:szCs w:val="24"/>
              </w:rPr>
            </w:pPr>
            <w:r>
              <w:rPr>
                <w:bCs/>
                <w:color w:val="auto"/>
                <w:sz w:val="24"/>
                <w:szCs w:val="24"/>
              </w:rPr>
              <w:t>期环</w:t>
            </w:r>
          </w:p>
          <w:p w14:paraId="536B9951">
            <w:pPr>
              <w:adjustRightInd w:val="0"/>
              <w:snapToGrid w:val="0"/>
              <w:jc w:val="center"/>
              <w:rPr>
                <w:bCs/>
                <w:color w:val="auto"/>
                <w:sz w:val="24"/>
                <w:szCs w:val="24"/>
              </w:rPr>
            </w:pPr>
            <w:r>
              <w:rPr>
                <w:bCs/>
                <w:color w:val="auto"/>
                <w:sz w:val="24"/>
                <w:szCs w:val="24"/>
              </w:rPr>
              <w:t>境影</w:t>
            </w:r>
          </w:p>
          <w:p w14:paraId="517A9D75">
            <w:pPr>
              <w:adjustRightInd w:val="0"/>
              <w:snapToGrid w:val="0"/>
              <w:jc w:val="center"/>
              <w:rPr>
                <w:bCs/>
                <w:color w:val="auto"/>
                <w:sz w:val="24"/>
                <w:szCs w:val="24"/>
              </w:rPr>
            </w:pPr>
            <w:r>
              <w:rPr>
                <w:bCs/>
                <w:color w:val="auto"/>
                <w:sz w:val="24"/>
                <w:szCs w:val="24"/>
              </w:rPr>
              <w:t>响和</w:t>
            </w:r>
          </w:p>
          <w:p w14:paraId="23585CDD">
            <w:pPr>
              <w:adjustRightInd w:val="0"/>
              <w:snapToGrid w:val="0"/>
              <w:jc w:val="center"/>
              <w:rPr>
                <w:bCs/>
                <w:color w:val="auto"/>
                <w:sz w:val="24"/>
                <w:szCs w:val="24"/>
              </w:rPr>
            </w:pPr>
            <w:r>
              <w:rPr>
                <w:bCs/>
                <w:color w:val="auto"/>
                <w:sz w:val="24"/>
                <w:szCs w:val="24"/>
              </w:rPr>
              <w:t>保护</w:t>
            </w:r>
          </w:p>
          <w:p w14:paraId="40126C2E">
            <w:pPr>
              <w:pStyle w:val="44"/>
              <w:jc w:val="center"/>
              <w:rPr>
                <w:color w:val="auto"/>
                <w:sz w:val="24"/>
                <w:szCs w:val="24"/>
              </w:rPr>
            </w:pPr>
            <w:r>
              <w:rPr>
                <w:bCs/>
                <w:color w:val="auto"/>
                <w:sz w:val="24"/>
                <w:szCs w:val="24"/>
              </w:rPr>
              <w:t>措施</w:t>
            </w:r>
          </w:p>
        </w:tc>
        <w:tc>
          <w:tcPr>
            <w:tcW w:w="8565" w:type="dxa"/>
            <w:noWrap w:val="0"/>
            <w:vAlign w:val="top"/>
          </w:tcPr>
          <w:p w14:paraId="369868F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color w:val="auto"/>
                <w:sz w:val="24"/>
                <w:szCs w:val="24"/>
              </w:rPr>
              <w:t>本项目固体废物利用处置方式评价表4-</w:t>
            </w:r>
            <w:r>
              <w:rPr>
                <w:rFonts w:hint="eastAsia"/>
                <w:color w:val="auto"/>
                <w:sz w:val="24"/>
                <w:szCs w:val="24"/>
                <w:lang w:val="en-US" w:eastAsia="zh-CN"/>
              </w:rPr>
              <w:t>20</w:t>
            </w:r>
            <w:r>
              <w:rPr>
                <w:color w:val="auto"/>
                <w:sz w:val="24"/>
                <w:szCs w:val="24"/>
              </w:rPr>
              <w:t>。</w:t>
            </w:r>
          </w:p>
          <w:p w14:paraId="46A4BB92">
            <w:pPr>
              <w:spacing w:line="360" w:lineRule="exact"/>
              <w:jc w:val="center"/>
              <w:rPr>
                <w:b/>
                <w:color w:val="auto"/>
                <w:sz w:val="21"/>
                <w:szCs w:val="21"/>
              </w:rPr>
            </w:pPr>
            <w:r>
              <w:rPr>
                <w:b/>
                <w:color w:val="auto"/>
                <w:sz w:val="21"/>
                <w:szCs w:val="21"/>
              </w:rPr>
              <w:t>表4-</w:t>
            </w:r>
            <w:r>
              <w:rPr>
                <w:rFonts w:hint="eastAsia"/>
                <w:b/>
                <w:color w:val="auto"/>
                <w:sz w:val="21"/>
                <w:szCs w:val="21"/>
                <w:lang w:val="en-US" w:eastAsia="zh-CN"/>
              </w:rPr>
              <w:t>20</w:t>
            </w:r>
            <w:r>
              <w:rPr>
                <w:b/>
                <w:color w:val="auto"/>
                <w:sz w:val="21"/>
                <w:szCs w:val="21"/>
              </w:rPr>
              <w:t xml:space="preserve"> 本项目固体废物利用处置方式评价表</w:t>
            </w:r>
          </w:p>
          <w:tbl>
            <w:tblPr>
              <w:tblStyle w:val="22"/>
              <w:tblW w:w="5000" w:type="pct"/>
              <w:jc w:val="center"/>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21"/>
              <w:gridCol w:w="1559"/>
              <w:gridCol w:w="1382"/>
              <w:gridCol w:w="724"/>
              <w:gridCol w:w="1591"/>
              <w:gridCol w:w="968"/>
              <w:gridCol w:w="1604"/>
            </w:tblGrid>
            <w:tr w14:paraId="31B99B99">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2" w:type="pct"/>
                  <w:tcBorders>
                    <w:top w:val="single" w:color="auto" w:sz="12" w:space="0"/>
                  </w:tcBorders>
                  <w:noWrap w:val="0"/>
                  <w:vAlign w:val="center"/>
                </w:tcPr>
                <w:p w14:paraId="515C88F4">
                  <w:pPr>
                    <w:widowControl/>
                    <w:spacing w:line="300" w:lineRule="exact"/>
                    <w:jc w:val="center"/>
                    <w:rPr>
                      <w:b/>
                      <w:color w:val="auto"/>
                      <w:spacing w:val="-8"/>
                      <w:kern w:val="0"/>
                      <w:sz w:val="21"/>
                      <w:szCs w:val="21"/>
                    </w:rPr>
                  </w:pPr>
                  <w:r>
                    <w:rPr>
                      <w:b/>
                      <w:color w:val="auto"/>
                      <w:spacing w:val="-8"/>
                      <w:kern w:val="0"/>
                      <w:sz w:val="21"/>
                      <w:szCs w:val="21"/>
                    </w:rPr>
                    <w:t>序号</w:t>
                  </w:r>
                </w:p>
              </w:tc>
              <w:tc>
                <w:tcPr>
                  <w:tcW w:w="933" w:type="pct"/>
                  <w:tcBorders>
                    <w:top w:val="single" w:color="auto" w:sz="12" w:space="0"/>
                  </w:tcBorders>
                  <w:noWrap w:val="0"/>
                  <w:vAlign w:val="center"/>
                </w:tcPr>
                <w:p w14:paraId="23D6B6DF">
                  <w:pPr>
                    <w:widowControl/>
                    <w:spacing w:line="300" w:lineRule="exact"/>
                    <w:jc w:val="center"/>
                    <w:rPr>
                      <w:b/>
                      <w:color w:val="auto"/>
                      <w:kern w:val="0"/>
                      <w:sz w:val="21"/>
                      <w:szCs w:val="21"/>
                    </w:rPr>
                  </w:pPr>
                  <w:r>
                    <w:rPr>
                      <w:b/>
                      <w:color w:val="auto"/>
                      <w:kern w:val="0"/>
                      <w:sz w:val="21"/>
                      <w:szCs w:val="21"/>
                    </w:rPr>
                    <w:t>固体废物名称</w:t>
                  </w:r>
                </w:p>
              </w:tc>
              <w:tc>
                <w:tcPr>
                  <w:tcW w:w="827" w:type="pct"/>
                  <w:tcBorders>
                    <w:top w:val="single" w:color="auto" w:sz="12" w:space="0"/>
                  </w:tcBorders>
                  <w:noWrap w:val="0"/>
                  <w:vAlign w:val="center"/>
                </w:tcPr>
                <w:p w14:paraId="1F8FEE8E">
                  <w:pPr>
                    <w:widowControl/>
                    <w:spacing w:line="300" w:lineRule="exact"/>
                    <w:jc w:val="center"/>
                    <w:rPr>
                      <w:b/>
                      <w:color w:val="auto"/>
                      <w:kern w:val="0"/>
                      <w:sz w:val="21"/>
                      <w:szCs w:val="21"/>
                    </w:rPr>
                  </w:pPr>
                  <w:r>
                    <w:rPr>
                      <w:b/>
                      <w:color w:val="auto"/>
                      <w:kern w:val="0"/>
                      <w:sz w:val="21"/>
                      <w:szCs w:val="21"/>
                    </w:rPr>
                    <w:t>产生工序</w:t>
                  </w:r>
                </w:p>
              </w:tc>
              <w:tc>
                <w:tcPr>
                  <w:tcW w:w="433" w:type="pct"/>
                  <w:tcBorders>
                    <w:top w:val="single" w:color="auto" w:sz="12" w:space="0"/>
                  </w:tcBorders>
                  <w:noWrap w:val="0"/>
                  <w:vAlign w:val="center"/>
                </w:tcPr>
                <w:p w14:paraId="1C7FAC1C">
                  <w:pPr>
                    <w:widowControl/>
                    <w:spacing w:line="300" w:lineRule="exact"/>
                    <w:jc w:val="center"/>
                    <w:rPr>
                      <w:b/>
                      <w:color w:val="auto"/>
                      <w:kern w:val="0"/>
                      <w:sz w:val="21"/>
                      <w:szCs w:val="21"/>
                    </w:rPr>
                  </w:pPr>
                  <w:r>
                    <w:rPr>
                      <w:b/>
                      <w:color w:val="auto"/>
                      <w:kern w:val="0"/>
                      <w:sz w:val="21"/>
                      <w:szCs w:val="21"/>
                    </w:rPr>
                    <w:t>属性</w:t>
                  </w:r>
                </w:p>
              </w:tc>
              <w:tc>
                <w:tcPr>
                  <w:tcW w:w="952" w:type="pct"/>
                  <w:tcBorders>
                    <w:top w:val="single" w:color="auto" w:sz="12" w:space="0"/>
                  </w:tcBorders>
                  <w:noWrap w:val="0"/>
                  <w:vAlign w:val="center"/>
                </w:tcPr>
                <w:p w14:paraId="478E0997">
                  <w:pPr>
                    <w:widowControl/>
                    <w:spacing w:line="300" w:lineRule="exact"/>
                    <w:jc w:val="center"/>
                    <w:rPr>
                      <w:b/>
                      <w:color w:val="auto"/>
                      <w:kern w:val="0"/>
                      <w:sz w:val="21"/>
                      <w:szCs w:val="21"/>
                    </w:rPr>
                  </w:pPr>
                  <w:r>
                    <w:rPr>
                      <w:b/>
                      <w:color w:val="auto"/>
                      <w:kern w:val="0"/>
                      <w:sz w:val="21"/>
                      <w:szCs w:val="21"/>
                    </w:rPr>
                    <w:t>废物代码</w:t>
                  </w:r>
                </w:p>
              </w:tc>
              <w:tc>
                <w:tcPr>
                  <w:tcW w:w="579" w:type="pct"/>
                  <w:tcBorders>
                    <w:top w:val="single" w:color="auto" w:sz="12" w:space="0"/>
                  </w:tcBorders>
                  <w:noWrap w:val="0"/>
                  <w:vAlign w:val="center"/>
                </w:tcPr>
                <w:p w14:paraId="1E95B882">
                  <w:pPr>
                    <w:widowControl/>
                    <w:spacing w:line="300" w:lineRule="exact"/>
                    <w:jc w:val="center"/>
                    <w:rPr>
                      <w:b/>
                      <w:color w:val="auto"/>
                      <w:kern w:val="0"/>
                      <w:sz w:val="21"/>
                      <w:szCs w:val="21"/>
                    </w:rPr>
                  </w:pPr>
                  <w:r>
                    <w:rPr>
                      <w:b/>
                      <w:color w:val="auto"/>
                      <w:kern w:val="0"/>
                      <w:sz w:val="21"/>
                      <w:szCs w:val="21"/>
                    </w:rPr>
                    <w:t>产生量（t/a）</w:t>
                  </w:r>
                </w:p>
              </w:tc>
              <w:tc>
                <w:tcPr>
                  <w:tcW w:w="959" w:type="pct"/>
                  <w:tcBorders>
                    <w:top w:val="single" w:color="auto" w:sz="12" w:space="0"/>
                  </w:tcBorders>
                  <w:noWrap w:val="0"/>
                  <w:vAlign w:val="center"/>
                </w:tcPr>
                <w:p w14:paraId="61955098">
                  <w:pPr>
                    <w:widowControl/>
                    <w:spacing w:line="300" w:lineRule="exact"/>
                    <w:jc w:val="center"/>
                    <w:rPr>
                      <w:b/>
                      <w:color w:val="auto"/>
                      <w:kern w:val="0"/>
                      <w:sz w:val="21"/>
                      <w:szCs w:val="21"/>
                    </w:rPr>
                  </w:pPr>
                  <w:r>
                    <w:rPr>
                      <w:b/>
                      <w:color w:val="auto"/>
                      <w:kern w:val="0"/>
                      <w:sz w:val="21"/>
                      <w:szCs w:val="21"/>
                    </w:rPr>
                    <w:t>利用处置方式</w:t>
                  </w:r>
                </w:p>
              </w:tc>
            </w:tr>
            <w:tr w14:paraId="4EE3F37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9" w:hRule="atLeast"/>
                <w:jc w:val="center"/>
              </w:trPr>
              <w:tc>
                <w:tcPr>
                  <w:tcW w:w="312" w:type="pct"/>
                  <w:noWrap w:val="0"/>
                  <w:vAlign w:val="center"/>
                </w:tcPr>
                <w:p w14:paraId="6B448AF0">
                  <w:pPr>
                    <w:snapToGrid w:val="0"/>
                    <w:spacing w:line="280" w:lineRule="exact"/>
                    <w:jc w:val="center"/>
                    <w:rPr>
                      <w:color w:val="auto"/>
                      <w:sz w:val="21"/>
                      <w:szCs w:val="21"/>
                    </w:rPr>
                  </w:pPr>
                  <w:r>
                    <w:rPr>
                      <w:color w:val="auto"/>
                      <w:sz w:val="21"/>
                      <w:szCs w:val="21"/>
                    </w:rPr>
                    <w:t>1</w:t>
                  </w:r>
                </w:p>
              </w:tc>
              <w:tc>
                <w:tcPr>
                  <w:tcW w:w="933" w:type="pct"/>
                  <w:noWrap w:val="0"/>
                  <w:vAlign w:val="center"/>
                </w:tcPr>
                <w:p w14:paraId="3501BF9D">
                  <w:pPr>
                    <w:snapToGrid w:val="0"/>
                    <w:spacing w:line="280" w:lineRule="exact"/>
                    <w:jc w:val="center"/>
                    <w:rPr>
                      <w:rFonts w:hint="default" w:eastAsia="宋体"/>
                      <w:color w:val="auto"/>
                      <w:sz w:val="21"/>
                      <w:szCs w:val="21"/>
                      <w:lang w:val="en-US" w:eastAsia="zh-CN"/>
                    </w:rPr>
                  </w:pPr>
                  <w:r>
                    <w:rPr>
                      <w:rFonts w:hint="eastAsia"/>
                      <w:color w:val="auto"/>
                      <w:sz w:val="21"/>
                      <w:szCs w:val="21"/>
                      <w:lang w:val="en-US" w:eastAsia="zh-CN"/>
                    </w:rPr>
                    <w:t>试剂废包装盒</w:t>
                  </w:r>
                </w:p>
              </w:tc>
              <w:tc>
                <w:tcPr>
                  <w:tcW w:w="827" w:type="pct"/>
                  <w:noWrap w:val="0"/>
                  <w:vAlign w:val="center"/>
                </w:tcPr>
                <w:p w14:paraId="661F6C34">
                  <w:pPr>
                    <w:spacing w:line="300" w:lineRule="exact"/>
                    <w:jc w:val="center"/>
                    <w:rPr>
                      <w:color w:val="auto"/>
                      <w:sz w:val="21"/>
                      <w:szCs w:val="21"/>
                    </w:rPr>
                  </w:pPr>
                  <w:r>
                    <w:rPr>
                      <w:rFonts w:hint="eastAsia"/>
                      <w:bCs/>
                      <w:color w:val="auto"/>
                      <w:sz w:val="21"/>
                      <w:szCs w:val="21"/>
                      <w:lang w:val="en-US" w:eastAsia="zh-CN"/>
                    </w:rPr>
                    <w:t>拆包</w:t>
                  </w:r>
                </w:p>
              </w:tc>
              <w:tc>
                <w:tcPr>
                  <w:tcW w:w="433" w:type="pct"/>
                  <w:vMerge w:val="restart"/>
                  <w:noWrap w:val="0"/>
                  <w:vAlign w:val="center"/>
                </w:tcPr>
                <w:p w14:paraId="41787661">
                  <w:pPr>
                    <w:spacing w:line="300" w:lineRule="exact"/>
                    <w:jc w:val="center"/>
                    <w:rPr>
                      <w:color w:val="auto"/>
                      <w:sz w:val="21"/>
                      <w:szCs w:val="21"/>
                    </w:rPr>
                  </w:pPr>
                  <w:r>
                    <w:rPr>
                      <w:color w:val="auto"/>
                      <w:sz w:val="21"/>
                      <w:szCs w:val="21"/>
                    </w:rPr>
                    <w:t>一般固废</w:t>
                  </w:r>
                </w:p>
              </w:tc>
              <w:tc>
                <w:tcPr>
                  <w:tcW w:w="952" w:type="pct"/>
                  <w:noWrap w:val="0"/>
                  <w:vAlign w:val="center"/>
                </w:tcPr>
                <w:p w14:paraId="6AEB125F">
                  <w:pPr>
                    <w:spacing w:line="240" w:lineRule="exact"/>
                    <w:jc w:val="center"/>
                    <w:rPr>
                      <w:color w:val="auto"/>
                      <w:sz w:val="21"/>
                      <w:szCs w:val="21"/>
                    </w:rPr>
                  </w:pPr>
                  <w:r>
                    <w:rPr>
                      <w:rFonts w:hint="eastAsia"/>
                      <w:color w:val="auto"/>
                      <w:sz w:val="21"/>
                      <w:szCs w:val="21"/>
                    </w:rPr>
                    <w:t>900-0</w:t>
                  </w:r>
                  <w:r>
                    <w:rPr>
                      <w:rFonts w:hint="eastAsia"/>
                      <w:color w:val="auto"/>
                      <w:sz w:val="21"/>
                      <w:szCs w:val="21"/>
                      <w:lang w:val="en-US" w:eastAsia="zh-CN"/>
                    </w:rPr>
                    <w:t xml:space="preserve">02 </w:t>
                  </w:r>
                  <w:r>
                    <w:rPr>
                      <w:rFonts w:hint="eastAsia"/>
                      <w:color w:val="auto"/>
                      <w:sz w:val="21"/>
                      <w:szCs w:val="21"/>
                    </w:rPr>
                    <w:t>-S</w:t>
                  </w:r>
                  <w:r>
                    <w:rPr>
                      <w:rFonts w:hint="eastAsia"/>
                      <w:color w:val="auto"/>
                      <w:sz w:val="21"/>
                      <w:szCs w:val="21"/>
                      <w:lang w:val="en-US" w:eastAsia="zh-CN"/>
                    </w:rPr>
                    <w:t>92</w:t>
                  </w:r>
                </w:p>
              </w:tc>
              <w:tc>
                <w:tcPr>
                  <w:tcW w:w="579" w:type="pct"/>
                  <w:noWrap w:val="0"/>
                  <w:vAlign w:val="center"/>
                </w:tcPr>
                <w:p w14:paraId="1F7A4496">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0.05</w:t>
                  </w:r>
                </w:p>
              </w:tc>
              <w:tc>
                <w:tcPr>
                  <w:tcW w:w="959" w:type="pct"/>
                  <w:vMerge w:val="restart"/>
                  <w:noWrap w:val="0"/>
                  <w:vAlign w:val="center"/>
                </w:tcPr>
                <w:p w14:paraId="257C2416">
                  <w:pPr>
                    <w:widowControl/>
                    <w:spacing w:line="300" w:lineRule="exact"/>
                    <w:jc w:val="center"/>
                    <w:rPr>
                      <w:color w:val="auto"/>
                      <w:kern w:val="0"/>
                      <w:sz w:val="21"/>
                      <w:szCs w:val="21"/>
                    </w:rPr>
                  </w:pPr>
                  <w:r>
                    <w:rPr>
                      <w:rFonts w:hint="eastAsia"/>
                      <w:color w:val="auto"/>
                      <w:kern w:val="0"/>
                      <w:sz w:val="21"/>
                      <w:szCs w:val="21"/>
                    </w:rPr>
                    <w:t>委外综合利用</w:t>
                  </w:r>
                </w:p>
              </w:tc>
            </w:tr>
            <w:tr w14:paraId="6960E74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 w:type="pct"/>
                  <w:noWrap w:val="0"/>
                  <w:vAlign w:val="center"/>
                </w:tcPr>
                <w:p w14:paraId="02DC9001">
                  <w:pPr>
                    <w:snapToGrid w:val="0"/>
                    <w:spacing w:line="280" w:lineRule="exact"/>
                    <w:jc w:val="center"/>
                    <w:rPr>
                      <w:rFonts w:hint="eastAsia" w:eastAsia="宋体"/>
                      <w:color w:val="auto"/>
                      <w:sz w:val="21"/>
                      <w:szCs w:val="21"/>
                      <w:lang w:val="en-US" w:eastAsia="zh-CN"/>
                    </w:rPr>
                  </w:pPr>
                  <w:r>
                    <w:rPr>
                      <w:rFonts w:hint="eastAsia"/>
                      <w:color w:val="auto"/>
                      <w:sz w:val="21"/>
                      <w:szCs w:val="21"/>
                      <w:lang w:val="en-US" w:eastAsia="zh-CN"/>
                    </w:rPr>
                    <w:t>2</w:t>
                  </w:r>
                </w:p>
              </w:tc>
              <w:tc>
                <w:tcPr>
                  <w:tcW w:w="933" w:type="pct"/>
                  <w:noWrap w:val="0"/>
                  <w:vAlign w:val="center"/>
                </w:tcPr>
                <w:p w14:paraId="6BCE9F7D">
                  <w:pPr>
                    <w:snapToGrid w:val="0"/>
                    <w:spacing w:line="280" w:lineRule="exact"/>
                    <w:jc w:val="center"/>
                    <w:rPr>
                      <w:rFonts w:hint="default"/>
                      <w:color w:val="auto"/>
                      <w:sz w:val="21"/>
                      <w:szCs w:val="21"/>
                      <w:lang w:val="en-US" w:eastAsia="zh-CN"/>
                    </w:rPr>
                  </w:pPr>
                  <w:r>
                    <w:rPr>
                      <w:rFonts w:hint="eastAsia"/>
                      <w:color w:val="auto"/>
                      <w:sz w:val="21"/>
                      <w:szCs w:val="21"/>
                      <w:lang w:val="en-US" w:eastAsia="zh-CN"/>
                    </w:rPr>
                    <w:t>纯水废瓶</w:t>
                  </w:r>
                </w:p>
              </w:tc>
              <w:tc>
                <w:tcPr>
                  <w:tcW w:w="827" w:type="pct"/>
                  <w:noWrap w:val="0"/>
                  <w:vAlign w:val="center"/>
                </w:tcPr>
                <w:p w14:paraId="52E93123">
                  <w:pPr>
                    <w:spacing w:line="300" w:lineRule="exact"/>
                    <w:jc w:val="center"/>
                    <w:rPr>
                      <w:rFonts w:hint="eastAsia"/>
                      <w:bCs/>
                      <w:color w:val="auto"/>
                      <w:sz w:val="21"/>
                      <w:szCs w:val="21"/>
                      <w:lang w:val="en-US" w:eastAsia="zh-CN"/>
                    </w:rPr>
                  </w:pPr>
                  <w:r>
                    <w:rPr>
                      <w:rFonts w:hint="eastAsia"/>
                      <w:bCs/>
                      <w:color w:val="auto"/>
                      <w:sz w:val="21"/>
                      <w:szCs w:val="21"/>
                      <w:lang w:val="en-US" w:eastAsia="zh-CN"/>
                    </w:rPr>
                    <w:t>拆包</w:t>
                  </w:r>
                </w:p>
              </w:tc>
              <w:tc>
                <w:tcPr>
                  <w:tcW w:w="433" w:type="pct"/>
                  <w:vMerge w:val="continue"/>
                  <w:noWrap w:val="0"/>
                  <w:vAlign w:val="center"/>
                </w:tcPr>
                <w:p w14:paraId="5DAACA94">
                  <w:pPr>
                    <w:spacing w:line="300" w:lineRule="exact"/>
                    <w:jc w:val="center"/>
                    <w:rPr>
                      <w:color w:val="auto"/>
                      <w:sz w:val="21"/>
                      <w:szCs w:val="21"/>
                    </w:rPr>
                  </w:pPr>
                </w:p>
              </w:tc>
              <w:tc>
                <w:tcPr>
                  <w:tcW w:w="952" w:type="pct"/>
                  <w:noWrap w:val="0"/>
                  <w:vAlign w:val="center"/>
                </w:tcPr>
                <w:p w14:paraId="5508A95A">
                  <w:pPr>
                    <w:spacing w:line="240" w:lineRule="exact"/>
                    <w:jc w:val="center"/>
                    <w:rPr>
                      <w:rFonts w:hint="eastAsia"/>
                      <w:color w:val="auto"/>
                      <w:sz w:val="21"/>
                      <w:szCs w:val="21"/>
                    </w:rPr>
                  </w:pPr>
                  <w:r>
                    <w:rPr>
                      <w:rFonts w:hint="eastAsia"/>
                      <w:color w:val="auto"/>
                      <w:sz w:val="21"/>
                      <w:szCs w:val="21"/>
                    </w:rPr>
                    <w:t>900-0</w:t>
                  </w:r>
                  <w:r>
                    <w:rPr>
                      <w:rFonts w:hint="eastAsia"/>
                      <w:color w:val="auto"/>
                      <w:sz w:val="21"/>
                      <w:szCs w:val="21"/>
                      <w:lang w:val="en-US" w:eastAsia="zh-CN"/>
                    </w:rPr>
                    <w:t xml:space="preserve">02 </w:t>
                  </w:r>
                  <w:r>
                    <w:rPr>
                      <w:rFonts w:hint="eastAsia"/>
                      <w:color w:val="auto"/>
                      <w:sz w:val="21"/>
                      <w:szCs w:val="21"/>
                    </w:rPr>
                    <w:t>-S</w:t>
                  </w:r>
                  <w:r>
                    <w:rPr>
                      <w:rFonts w:hint="eastAsia"/>
                      <w:color w:val="auto"/>
                      <w:sz w:val="21"/>
                      <w:szCs w:val="21"/>
                      <w:lang w:val="en-US" w:eastAsia="zh-CN"/>
                    </w:rPr>
                    <w:t>92</w:t>
                  </w:r>
                </w:p>
              </w:tc>
              <w:tc>
                <w:tcPr>
                  <w:tcW w:w="579" w:type="pct"/>
                  <w:noWrap w:val="0"/>
                  <w:vAlign w:val="center"/>
                </w:tcPr>
                <w:p w14:paraId="6D4F4FEF">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0.02</w:t>
                  </w:r>
                </w:p>
              </w:tc>
              <w:tc>
                <w:tcPr>
                  <w:tcW w:w="959" w:type="pct"/>
                  <w:vMerge w:val="continue"/>
                  <w:noWrap w:val="0"/>
                  <w:vAlign w:val="center"/>
                </w:tcPr>
                <w:p w14:paraId="13BE02E9">
                  <w:pPr>
                    <w:widowControl/>
                    <w:spacing w:line="300" w:lineRule="exact"/>
                    <w:jc w:val="center"/>
                    <w:rPr>
                      <w:rFonts w:hint="eastAsia"/>
                      <w:color w:val="auto"/>
                      <w:kern w:val="0"/>
                      <w:sz w:val="21"/>
                      <w:szCs w:val="21"/>
                    </w:rPr>
                  </w:pPr>
                </w:p>
              </w:tc>
            </w:tr>
            <w:tr w14:paraId="639CB4D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 w:type="pct"/>
                  <w:noWrap w:val="0"/>
                  <w:vAlign w:val="center"/>
                </w:tcPr>
                <w:p w14:paraId="0E683834">
                  <w:pPr>
                    <w:widowControl/>
                    <w:spacing w:line="300" w:lineRule="exact"/>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w:t>
                  </w:r>
                </w:p>
              </w:tc>
              <w:tc>
                <w:tcPr>
                  <w:tcW w:w="933" w:type="pct"/>
                  <w:noWrap w:val="0"/>
                  <w:vAlign w:val="center"/>
                </w:tcPr>
                <w:p w14:paraId="43C68133">
                  <w:pPr>
                    <w:snapToGrid w:val="0"/>
                    <w:spacing w:line="280" w:lineRule="exact"/>
                    <w:jc w:val="center"/>
                    <w:rPr>
                      <w:rFonts w:hint="default"/>
                      <w:color w:val="auto"/>
                      <w:sz w:val="21"/>
                      <w:szCs w:val="21"/>
                      <w:lang w:val="en-US" w:eastAsia="zh-CN"/>
                    </w:rPr>
                  </w:pPr>
                  <w:r>
                    <w:rPr>
                      <w:rFonts w:hint="eastAsia"/>
                      <w:color w:val="auto"/>
                      <w:sz w:val="21"/>
                      <w:szCs w:val="21"/>
                      <w:lang w:val="en-US" w:eastAsia="zh-CN"/>
                    </w:rPr>
                    <w:t>废渣</w:t>
                  </w:r>
                </w:p>
              </w:tc>
              <w:tc>
                <w:tcPr>
                  <w:tcW w:w="827" w:type="pct"/>
                  <w:noWrap w:val="0"/>
                  <w:vAlign w:val="center"/>
                </w:tcPr>
                <w:p w14:paraId="3752EED0">
                  <w:pPr>
                    <w:spacing w:line="300" w:lineRule="exact"/>
                    <w:jc w:val="center"/>
                    <w:rPr>
                      <w:rFonts w:hint="eastAsia"/>
                      <w:bCs/>
                      <w:color w:val="auto"/>
                      <w:sz w:val="21"/>
                      <w:szCs w:val="21"/>
                      <w:lang w:val="en-US" w:eastAsia="zh-CN"/>
                    </w:rPr>
                  </w:pPr>
                  <w:r>
                    <w:rPr>
                      <w:rFonts w:hint="eastAsia"/>
                    </w:rPr>
                    <w:t>表达载体构建</w:t>
                  </w:r>
                </w:p>
              </w:tc>
              <w:tc>
                <w:tcPr>
                  <w:tcW w:w="433" w:type="pct"/>
                  <w:vMerge w:val="restart"/>
                  <w:noWrap w:val="0"/>
                  <w:vAlign w:val="center"/>
                </w:tcPr>
                <w:p w14:paraId="7F18EA52">
                  <w:pPr>
                    <w:spacing w:line="300" w:lineRule="exact"/>
                    <w:jc w:val="center"/>
                    <w:rPr>
                      <w:color w:val="auto"/>
                      <w:sz w:val="21"/>
                      <w:szCs w:val="21"/>
                    </w:rPr>
                  </w:pPr>
                  <w:r>
                    <w:rPr>
                      <w:color w:val="auto"/>
                      <w:sz w:val="21"/>
                      <w:szCs w:val="21"/>
                    </w:rPr>
                    <w:t>危险废物</w:t>
                  </w:r>
                </w:p>
              </w:tc>
              <w:tc>
                <w:tcPr>
                  <w:tcW w:w="952" w:type="pct"/>
                  <w:noWrap w:val="0"/>
                  <w:vAlign w:val="center"/>
                </w:tcPr>
                <w:p w14:paraId="21C5E62C">
                  <w:pPr>
                    <w:spacing w:line="240" w:lineRule="exact"/>
                    <w:jc w:val="center"/>
                    <w:rPr>
                      <w:rFonts w:hint="eastAsia"/>
                      <w:color w:val="auto"/>
                      <w:sz w:val="21"/>
                      <w:szCs w:val="21"/>
                    </w:rPr>
                  </w:pPr>
                  <w:r>
                    <w:rPr>
                      <w:rFonts w:hint="eastAsia"/>
                      <w:color w:val="auto"/>
                      <w:sz w:val="21"/>
                      <w:szCs w:val="21"/>
                    </w:rPr>
                    <w:t>HW49</w:t>
                  </w:r>
                </w:p>
                <w:p w14:paraId="2C552857">
                  <w:pPr>
                    <w:spacing w:line="240" w:lineRule="exact"/>
                    <w:jc w:val="center"/>
                    <w:rPr>
                      <w:rFonts w:hint="eastAsia"/>
                      <w:color w:val="auto"/>
                      <w:sz w:val="21"/>
                      <w:szCs w:val="21"/>
                    </w:rPr>
                  </w:pPr>
                  <w:r>
                    <w:rPr>
                      <w:rFonts w:hint="eastAsia"/>
                      <w:color w:val="auto"/>
                      <w:sz w:val="21"/>
                      <w:szCs w:val="21"/>
                    </w:rPr>
                    <w:t>900-04</w:t>
                  </w:r>
                  <w:r>
                    <w:rPr>
                      <w:rFonts w:hint="eastAsia"/>
                      <w:color w:val="auto"/>
                      <w:sz w:val="21"/>
                      <w:szCs w:val="21"/>
                      <w:lang w:val="en-US" w:eastAsia="zh-CN"/>
                    </w:rPr>
                    <w:t>7</w:t>
                  </w:r>
                  <w:r>
                    <w:rPr>
                      <w:rFonts w:hint="eastAsia"/>
                      <w:color w:val="auto"/>
                      <w:sz w:val="21"/>
                      <w:szCs w:val="21"/>
                    </w:rPr>
                    <w:t>-49</w:t>
                  </w:r>
                </w:p>
              </w:tc>
              <w:tc>
                <w:tcPr>
                  <w:tcW w:w="579" w:type="pct"/>
                  <w:noWrap w:val="0"/>
                  <w:vAlign w:val="center"/>
                </w:tcPr>
                <w:p w14:paraId="6397EC97">
                  <w:pPr>
                    <w:spacing w:line="300" w:lineRule="exact"/>
                    <w:jc w:val="center"/>
                    <w:rPr>
                      <w:rFonts w:hint="default"/>
                      <w:color w:val="auto"/>
                      <w:sz w:val="21"/>
                      <w:szCs w:val="21"/>
                      <w:lang w:val="en-US" w:eastAsia="zh-CN"/>
                    </w:rPr>
                  </w:pPr>
                  <w:r>
                    <w:rPr>
                      <w:rFonts w:hint="eastAsia"/>
                      <w:color w:val="auto"/>
                      <w:sz w:val="21"/>
                      <w:szCs w:val="21"/>
                      <w:lang w:val="en-US" w:eastAsia="zh-CN"/>
                    </w:rPr>
                    <w:t>0.1</w:t>
                  </w:r>
                </w:p>
              </w:tc>
              <w:tc>
                <w:tcPr>
                  <w:tcW w:w="959" w:type="pct"/>
                  <w:vMerge w:val="continue"/>
                  <w:noWrap w:val="0"/>
                  <w:vAlign w:val="center"/>
                </w:tcPr>
                <w:p w14:paraId="53C0BB01">
                  <w:pPr>
                    <w:widowControl/>
                    <w:spacing w:line="300" w:lineRule="exact"/>
                    <w:jc w:val="center"/>
                    <w:rPr>
                      <w:rFonts w:hint="eastAsia"/>
                      <w:color w:val="auto"/>
                      <w:kern w:val="0"/>
                      <w:sz w:val="21"/>
                      <w:szCs w:val="21"/>
                    </w:rPr>
                  </w:pPr>
                </w:p>
              </w:tc>
            </w:tr>
            <w:tr w14:paraId="31E07EBA">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 w:type="pct"/>
                  <w:shd w:val="clear" w:color="auto" w:fill="auto"/>
                  <w:noWrap w:val="0"/>
                  <w:vAlign w:val="center"/>
                </w:tcPr>
                <w:p w14:paraId="4C3A9E25">
                  <w:pPr>
                    <w:widowControl/>
                    <w:spacing w:line="300" w:lineRule="exact"/>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w:t>
                  </w:r>
                </w:p>
              </w:tc>
              <w:tc>
                <w:tcPr>
                  <w:tcW w:w="933" w:type="pct"/>
                  <w:noWrap w:val="0"/>
                  <w:vAlign w:val="center"/>
                </w:tcPr>
                <w:p w14:paraId="637096E9">
                  <w:pPr>
                    <w:spacing w:line="300" w:lineRule="exact"/>
                    <w:jc w:val="center"/>
                    <w:rPr>
                      <w:color w:val="auto"/>
                      <w:sz w:val="21"/>
                      <w:szCs w:val="21"/>
                    </w:rPr>
                  </w:pPr>
                  <w:r>
                    <w:rPr>
                      <w:rFonts w:hint="eastAsia"/>
                      <w:color w:val="auto"/>
                      <w:sz w:val="21"/>
                      <w:szCs w:val="21"/>
                      <w:lang w:val="en-US" w:eastAsia="zh-CN"/>
                    </w:rPr>
                    <w:t>试剂废瓶</w:t>
                  </w:r>
                </w:p>
              </w:tc>
              <w:tc>
                <w:tcPr>
                  <w:tcW w:w="827" w:type="pct"/>
                  <w:noWrap w:val="0"/>
                  <w:vAlign w:val="center"/>
                </w:tcPr>
                <w:p w14:paraId="7EA88267">
                  <w:pPr>
                    <w:spacing w:line="300" w:lineRule="exact"/>
                    <w:jc w:val="center"/>
                    <w:rPr>
                      <w:rFonts w:hint="eastAsia"/>
                      <w:color w:val="auto"/>
                      <w:sz w:val="21"/>
                      <w:szCs w:val="21"/>
                    </w:rPr>
                  </w:pPr>
                  <w:r>
                    <w:rPr>
                      <w:rFonts w:hint="eastAsia"/>
                      <w:bCs/>
                      <w:color w:val="auto"/>
                      <w:sz w:val="21"/>
                      <w:szCs w:val="21"/>
                      <w:lang w:val="en-US" w:eastAsia="zh-CN"/>
                    </w:rPr>
                    <w:t>拆包</w:t>
                  </w:r>
                </w:p>
              </w:tc>
              <w:tc>
                <w:tcPr>
                  <w:tcW w:w="433" w:type="pct"/>
                  <w:vMerge w:val="continue"/>
                  <w:noWrap w:val="0"/>
                  <w:vAlign w:val="center"/>
                </w:tcPr>
                <w:p w14:paraId="5AC00B9D">
                  <w:pPr>
                    <w:spacing w:line="300" w:lineRule="exact"/>
                    <w:jc w:val="center"/>
                    <w:rPr>
                      <w:color w:val="auto"/>
                      <w:sz w:val="21"/>
                      <w:szCs w:val="21"/>
                    </w:rPr>
                  </w:pPr>
                </w:p>
              </w:tc>
              <w:tc>
                <w:tcPr>
                  <w:tcW w:w="952" w:type="pct"/>
                  <w:noWrap w:val="0"/>
                  <w:vAlign w:val="center"/>
                </w:tcPr>
                <w:p w14:paraId="14FE9C87">
                  <w:pPr>
                    <w:spacing w:line="240" w:lineRule="exact"/>
                    <w:jc w:val="center"/>
                    <w:rPr>
                      <w:rFonts w:hint="eastAsia"/>
                      <w:color w:val="auto"/>
                      <w:sz w:val="21"/>
                      <w:szCs w:val="21"/>
                    </w:rPr>
                  </w:pPr>
                  <w:r>
                    <w:rPr>
                      <w:rFonts w:hint="eastAsia"/>
                      <w:color w:val="auto"/>
                      <w:sz w:val="21"/>
                      <w:szCs w:val="21"/>
                    </w:rPr>
                    <w:t>HW49</w:t>
                  </w:r>
                </w:p>
                <w:p w14:paraId="4DC32E89">
                  <w:pPr>
                    <w:spacing w:line="240" w:lineRule="exact"/>
                    <w:jc w:val="center"/>
                    <w:rPr>
                      <w:rFonts w:hint="eastAsia"/>
                      <w:color w:val="auto"/>
                      <w:sz w:val="21"/>
                      <w:szCs w:val="21"/>
                    </w:rPr>
                  </w:pPr>
                  <w:r>
                    <w:rPr>
                      <w:rFonts w:hint="eastAsia"/>
                      <w:color w:val="auto"/>
                      <w:sz w:val="21"/>
                      <w:szCs w:val="21"/>
                    </w:rPr>
                    <w:t>900-0</w:t>
                  </w:r>
                  <w:r>
                    <w:rPr>
                      <w:rFonts w:hint="eastAsia"/>
                      <w:color w:val="auto"/>
                      <w:sz w:val="21"/>
                      <w:szCs w:val="21"/>
                      <w:lang w:val="en-US" w:eastAsia="zh-CN"/>
                    </w:rPr>
                    <w:t>41</w:t>
                  </w:r>
                  <w:r>
                    <w:rPr>
                      <w:rFonts w:hint="eastAsia"/>
                      <w:color w:val="auto"/>
                      <w:sz w:val="21"/>
                      <w:szCs w:val="21"/>
                    </w:rPr>
                    <w:t>-49</w:t>
                  </w:r>
                </w:p>
              </w:tc>
              <w:tc>
                <w:tcPr>
                  <w:tcW w:w="579" w:type="pct"/>
                  <w:noWrap w:val="0"/>
                  <w:vAlign w:val="center"/>
                </w:tcPr>
                <w:p w14:paraId="774CDE82">
                  <w:pPr>
                    <w:spacing w:line="300" w:lineRule="exact"/>
                    <w:jc w:val="center"/>
                    <w:rPr>
                      <w:rFonts w:hint="eastAsia"/>
                      <w:color w:val="auto"/>
                      <w:sz w:val="21"/>
                      <w:szCs w:val="21"/>
                    </w:rPr>
                  </w:pPr>
                  <w:r>
                    <w:rPr>
                      <w:rFonts w:hint="eastAsia"/>
                      <w:color w:val="auto"/>
                      <w:sz w:val="21"/>
                      <w:szCs w:val="21"/>
                      <w:lang w:val="en-US" w:eastAsia="zh-CN"/>
                    </w:rPr>
                    <w:t>0.05</w:t>
                  </w:r>
                </w:p>
              </w:tc>
              <w:tc>
                <w:tcPr>
                  <w:tcW w:w="959" w:type="pct"/>
                  <w:vMerge w:val="restart"/>
                  <w:tcBorders>
                    <w:top w:val="single" w:color="auto" w:sz="4" w:space="0"/>
                  </w:tcBorders>
                  <w:noWrap w:val="0"/>
                  <w:vAlign w:val="center"/>
                </w:tcPr>
                <w:p w14:paraId="6E8198AA">
                  <w:pPr>
                    <w:widowControl/>
                    <w:spacing w:line="300" w:lineRule="exact"/>
                    <w:jc w:val="center"/>
                    <w:rPr>
                      <w:color w:val="auto"/>
                      <w:kern w:val="0"/>
                      <w:sz w:val="21"/>
                      <w:szCs w:val="21"/>
                    </w:rPr>
                  </w:pPr>
                  <w:r>
                    <w:rPr>
                      <w:rFonts w:hint="eastAsia"/>
                      <w:color w:val="auto"/>
                      <w:kern w:val="0"/>
                      <w:sz w:val="21"/>
                      <w:szCs w:val="21"/>
                    </w:rPr>
                    <w:t>有资质单位处理</w:t>
                  </w:r>
                </w:p>
              </w:tc>
            </w:tr>
            <w:tr w14:paraId="6C21569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2" w:type="pct"/>
                  <w:shd w:val="clear" w:color="auto" w:fill="auto"/>
                  <w:noWrap w:val="0"/>
                  <w:vAlign w:val="center"/>
                </w:tcPr>
                <w:p w14:paraId="0DCEB436">
                  <w:pPr>
                    <w:widowControl/>
                    <w:spacing w:line="300" w:lineRule="exact"/>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5</w:t>
                  </w:r>
                </w:p>
              </w:tc>
              <w:tc>
                <w:tcPr>
                  <w:tcW w:w="933" w:type="pct"/>
                  <w:noWrap w:val="0"/>
                  <w:vAlign w:val="center"/>
                </w:tcPr>
                <w:p w14:paraId="43CE8A94">
                  <w:pPr>
                    <w:snapToGrid w:val="0"/>
                    <w:spacing w:line="280" w:lineRule="exact"/>
                    <w:jc w:val="center"/>
                    <w:rPr>
                      <w:rFonts w:hint="eastAsia" w:eastAsia="宋体"/>
                      <w:color w:val="auto"/>
                      <w:sz w:val="21"/>
                      <w:szCs w:val="21"/>
                      <w:lang w:eastAsia="zh-CN"/>
                    </w:rPr>
                  </w:pPr>
                  <w:r>
                    <w:rPr>
                      <w:rFonts w:hint="eastAsia"/>
                      <w:color w:val="auto"/>
                      <w:sz w:val="21"/>
                      <w:szCs w:val="21"/>
                      <w:lang w:val="en-US" w:eastAsia="zh-CN"/>
                    </w:rPr>
                    <w:t>废液</w:t>
                  </w:r>
                </w:p>
              </w:tc>
              <w:tc>
                <w:tcPr>
                  <w:tcW w:w="827" w:type="pct"/>
                  <w:noWrap w:val="0"/>
                  <w:vAlign w:val="center"/>
                </w:tcPr>
                <w:p w14:paraId="04E1E53F">
                  <w:pPr>
                    <w:spacing w:line="300" w:lineRule="exact"/>
                    <w:jc w:val="center"/>
                    <w:rPr>
                      <w:rFonts w:hint="eastAsia"/>
                      <w:color w:val="auto"/>
                      <w:sz w:val="21"/>
                      <w:szCs w:val="21"/>
                    </w:rPr>
                  </w:pPr>
                  <w:r>
                    <w:rPr>
                      <w:rFonts w:hint="eastAsia"/>
                      <w:bCs/>
                      <w:color w:val="auto"/>
                      <w:sz w:val="21"/>
                      <w:szCs w:val="21"/>
                      <w:lang w:val="en-US" w:eastAsia="zh-CN"/>
                    </w:rPr>
                    <w:t>地面清洗、设备容器清洗、质检、发酵</w:t>
                  </w:r>
                </w:p>
              </w:tc>
              <w:tc>
                <w:tcPr>
                  <w:tcW w:w="433" w:type="pct"/>
                  <w:vMerge w:val="continue"/>
                  <w:noWrap w:val="0"/>
                  <w:vAlign w:val="center"/>
                </w:tcPr>
                <w:p w14:paraId="554E692A">
                  <w:pPr>
                    <w:spacing w:line="300" w:lineRule="exact"/>
                    <w:jc w:val="center"/>
                    <w:rPr>
                      <w:color w:val="auto"/>
                      <w:sz w:val="21"/>
                      <w:szCs w:val="21"/>
                    </w:rPr>
                  </w:pPr>
                </w:p>
              </w:tc>
              <w:tc>
                <w:tcPr>
                  <w:tcW w:w="952" w:type="pct"/>
                  <w:noWrap w:val="0"/>
                  <w:vAlign w:val="center"/>
                </w:tcPr>
                <w:p w14:paraId="4B94AE0D">
                  <w:pPr>
                    <w:spacing w:line="240" w:lineRule="exact"/>
                    <w:jc w:val="center"/>
                    <w:rPr>
                      <w:rFonts w:hint="eastAsia"/>
                      <w:color w:val="auto"/>
                      <w:sz w:val="21"/>
                      <w:szCs w:val="21"/>
                    </w:rPr>
                  </w:pPr>
                  <w:r>
                    <w:rPr>
                      <w:rFonts w:hint="eastAsia"/>
                      <w:color w:val="auto"/>
                      <w:sz w:val="21"/>
                      <w:szCs w:val="21"/>
                    </w:rPr>
                    <w:t>HW49</w:t>
                  </w:r>
                </w:p>
                <w:p w14:paraId="1C75CAA7">
                  <w:pPr>
                    <w:spacing w:line="240" w:lineRule="exact"/>
                    <w:jc w:val="center"/>
                    <w:rPr>
                      <w:rFonts w:hint="eastAsia"/>
                      <w:sz w:val="21"/>
                      <w:szCs w:val="21"/>
                    </w:rPr>
                  </w:pPr>
                  <w:r>
                    <w:rPr>
                      <w:rFonts w:hint="eastAsia"/>
                      <w:color w:val="auto"/>
                      <w:sz w:val="21"/>
                      <w:szCs w:val="21"/>
                    </w:rPr>
                    <w:t>900-04</w:t>
                  </w:r>
                  <w:r>
                    <w:rPr>
                      <w:rFonts w:hint="eastAsia"/>
                      <w:color w:val="auto"/>
                      <w:sz w:val="21"/>
                      <w:szCs w:val="21"/>
                      <w:lang w:val="en-US" w:eastAsia="zh-CN"/>
                    </w:rPr>
                    <w:t>7</w:t>
                  </w:r>
                  <w:r>
                    <w:rPr>
                      <w:rFonts w:hint="eastAsia"/>
                      <w:color w:val="auto"/>
                      <w:sz w:val="21"/>
                      <w:szCs w:val="21"/>
                    </w:rPr>
                    <w:t>-49</w:t>
                  </w:r>
                </w:p>
              </w:tc>
              <w:tc>
                <w:tcPr>
                  <w:tcW w:w="579" w:type="pct"/>
                  <w:noWrap w:val="0"/>
                  <w:vAlign w:val="center"/>
                </w:tcPr>
                <w:p w14:paraId="79B89DC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7.588</w:t>
                  </w:r>
                </w:p>
              </w:tc>
              <w:tc>
                <w:tcPr>
                  <w:tcW w:w="959" w:type="pct"/>
                  <w:vMerge w:val="continue"/>
                  <w:noWrap w:val="0"/>
                  <w:vAlign w:val="center"/>
                </w:tcPr>
                <w:p w14:paraId="2BA1738F">
                  <w:pPr>
                    <w:widowControl/>
                    <w:spacing w:line="300" w:lineRule="exact"/>
                    <w:jc w:val="center"/>
                    <w:rPr>
                      <w:color w:val="auto"/>
                      <w:kern w:val="0"/>
                      <w:sz w:val="21"/>
                      <w:szCs w:val="21"/>
                    </w:rPr>
                  </w:pPr>
                </w:p>
              </w:tc>
            </w:tr>
            <w:tr w14:paraId="36D4C46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2" w:type="pct"/>
                  <w:shd w:val="clear" w:color="auto" w:fill="auto"/>
                  <w:noWrap w:val="0"/>
                  <w:vAlign w:val="center"/>
                </w:tcPr>
                <w:p w14:paraId="28011CF6">
                  <w:pPr>
                    <w:widowControl/>
                    <w:spacing w:line="300" w:lineRule="exact"/>
                    <w:jc w:val="center"/>
                    <w:rPr>
                      <w:rFonts w:hint="default"/>
                      <w:color w:val="auto"/>
                      <w:kern w:val="0"/>
                      <w:sz w:val="21"/>
                      <w:szCs w:val="21"/>
                      <w:lang w:val="en-US" w:eastAsia="zh-CN"/>
                    </w:rPr>
                  </w:pPr>
                  <w:r>
                    <w:rPr>
                      <w:rFonts w:hint="eastAsia"/>
                      <w:color w:val="auto"/>
                      <w:kern w:val="0"/>
                      <w:sz w:val="21"/>
                      <w:szCs w:val="21"/>
                      <w:lang w:val="en-US" w:eastAsia="zh-CN"/>
                    </w:rPr>
                    <w:t>6</w:t>
                  </w:r>
                </w:p>
              </w:tc>
              <w:tc>
                <w:tcPr>
                  <w:tcW w:w="933" w:type="pct"/>
                  <w:noWrap w:val="0"/>
                  <w:vAlign w:val="center"/>
                </w:tcPr>
                <w:p w14:paraId="539B9F31">
                  <w:pPr>
                    <w:snapToGrid w:val="0"/>
                    <w:spacing w:line="280" w:lineRule="exact"/>
                    <w:jc w:val="center"/>
                    <w:rPr>
                      <w:rFonts w:hint="default"/>
                      <w:color w:val="auto"/>
                      <w:sz w:val="21"/>
                      <w:szCs w:val="21"/>
                      <w:lang w:val="en-US" w:eastAsia="zh-CN"/>
                    </w:rPr>
                  </w:pPr>
                  <w:r>
                    <w:rPr>
                      <w:rFonts w:hint="eastAsia"/>
                      <w:color w:val="auto"/>
                      <w:sz w:val="21"/>
                      <w:szCs w:val="21"/>
                      <w:lang w:val="en-US" w:eastAsia="zh-CN"/>
                    </w:rPr>
                    <w:t>废活性炭</w:t>
                  </w:r>
                </w:p>
              </w:tc>
              <w:tc>
                <w:tcPr>
                  <w:tcW w:w="827" w:type="pct"/>
                  <w:noWrap w:val="0"/>
                  <w:vAlign w:val="center"/>
                </w:tcPr>
                <w:p w14:paraId="19F6C918">
                  <w:pPr>
                    <w:spacing w:line="300" w:lineRule="exact"/>
                    <w:jc w:val="center"/>
                    <w:rPr>
                      <w:rFonts w:hint="default"/>
                      <w:bCs/>
                      <w:color w:val="auto"/>
                      <w:sz w:val="21"/>
                      <w:szCs w:val="21"/>
                      <w:lang w:val="en-US" w:eastAsia="zh-CN"/>
                    </w:rPr>
                  </w:pPr>
                  <w:r>
                    <w:rPr>
                      <w:rFonts w:hint="eastAsia"/>
                      <w:bCs/>
                      <w:color w:val="auto"/>
                      <w:sz w:val="21"/>
                      <w:szCs w:val="21"/>
                      <w:lang w:val="en-US" w:eastAsia="zh-CN"/>
                    </w:rPr>
                    <w:t>废气处理</w:t>
                  </w:r>
                </w:p>
              </w:tc>
              <w:tc>
                <w:tcPr>
                  <w:tcW w:w="433" w:type="pct"/>
                  <w:vMerge w:val="continue"/>
                  <w:noWrap w:val="0"/>
                  <w:vAlign w:val="center"/>
                </w:tcPr>
                <w:p w14:paraId="64ED6A0E">
                  <w:pPr>
                    <w:spacing w:line="300" w:lineRule="exact"/>
                    <w:jc w:val="center"/>
                    <w:rPr>
                      <w:color w:val="auto"/>
                      <w:sz w:val="21"/>
                      <w:szCs w:val="21"/>
                    </w:rPr>
                  </w:pPr>
                </w:p>
              </w:tc>
              <w:tc>
                <w:tcPr>
                  <w:tcW w:w="952" w:type="pct"/>
                  <w:noWrap w:val="0"/>
                  <w:vAlign w:val="center"/>
                </w:tcPr>
                <w:p w14:paraId="5CB68FE1">
                  <w:pPr>
                    <w:spacing w:line="240" w:lineRule="exact"/>
                    <w:jc w:val="center"/>
                    <w:rPr>
                      <w:rFonts w:hint="eastAsia"/>
                      <w:color w:val="auto"/>
                      <w:sz w:val="21"/>
                      <w:szCs w:val="21"/>
                    </w:rPr>
                  </w:pPr>
                  <w:r>
                    <w:rPr>
                      <w:rFonts w:hint="eastAsia"/>
                      <w:color w:val="auto"/>
                      <w:sz w:val="21"/>
                      <w:szCs w:val="21"/>
                    </w:rPr>
                    <w:t>HW49</w:t>
                  </w:r>
                </w:p>
                <w:p w14:paraId="2BD5A27B">
                  <w:pPr>
                    <w:spacing w:line="240" w:lineRule="exact"/>
                    <w:jc w:val="center"/>
                    <w:rPr>
                      <w:rFonts w:hint="eastAsia"/>
                      <w:color w:val="auto"/>
                      <w:sz w:val="21"/>
                      <w:szCs w:val="21"/>
                    </w:rPr>
                  </w:pPr>
                  <w:r>
                    <w:rPr>
                      <w:rFonts w:hint="eastAsia"/>
                      <w:color w:val="auto"/>
                      <w:sz w:val="21"/>
                      <w:szCs w:val="21"/>
                    </w:rPr>
                    <w:t>900-0</w:t>
                  </w:r>
                  <w:r>
                    <w:rPr>
                      <w:rFonts w:hint="eastAsia"/>
                      <w:color w:val="auto"/>
                      <w:sz w:val="21"/>
                      <w:szCs w:val="21"/>
                      <w:lang w:val="en-US" w:eastAsia="zh-CN"/>
                    </w:rPr>
                    <w:t>39-</w:t>
                  </w:r>
                  <w:r>
                    <w:rPr>
                      <w:rFonts w:hint="eastAsia"/>
                      <w:color w:val="auto"/>
                      <w:sz w:val="21"/>
                      <w:szCs w:val="21"/>
                    </w:rPr>
                    <w:t>49</w:t>
                  </w:r>
                </w:p>
              </w:tc>
              <w:tc>
                <w:tcPr>
                  <w:tcW w:w="579" w:type="pct"/>
                  <w:noWrap w:val="0"/>
                  <w:vAlign w:val="center"/>
                </w:tcPr>
                <w:p w14:paraId="2ABBEB7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0.231</w:t>
                  </w:r>
                </w:p>
              </w:tc>
              <w:tc>
                <w:tcPr>
                  <w:tcW w:w="959" w:type="pct"/>
                  <w:vMerge w:val="continue"/>
                  <w:noWrap w:val="0"/>
                  <w:vAlign w:val="center"/>
                </w:tcPr>
                <w:p w14:paraId="1651C1F9">
                  <w:pPr>
                    <w:widowControl/>
                    <w:spacing w:line="300" w:lineRule="exact"/>
                    <w:jc w:val="center"/>
                    <w:rPr>
                      <w:color w:val="auto"/>
                      <w:kern w:val="0"/>
                      <w:sz w:val="21"/>
                      <w:szCs w:val="21"/>
                    </w:rPr>
                  </w:pPr>
                </w:p>
              </w:tc>
            </w:tr>
            <w:tr w14:paraId="3900E487">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12" w:type="pct"/>
                  <w:noWrap w:val="0"/>
                  <w:vAlign w:val="center"/>
                </w:tcPr>
                <w:p w14:paraId="3AFEB764">
                  <w:pPr>
                    <w:widowControl/>
                    <w:spacing w:line="300" w:lineRule="exact"/>
                    <w:jc w:val="center"/>
                    <w:rPr>
                      <w:rFonts w:hint="default" w:eastAsia="宋体"/>
                      <w:color w:val="auto"/>
                      <w:kern w:val="0"/>
                      <w:sz w:val="21"/>
                      <w:szCs w:val="21"/>
                      <w:lang w:val="en-US" w:eastAsia="zh-CN"/>
                    </w:rPr>
                  </w:pPr>
                  <w:r>
                    <w:rPr>
                      <w:rFonts w:hint="eastAsia"/>
                      <w:color w:val="auto"/>
                      <w:kern w:val="0"/>
                      <w:sz w:val="21"/>
                      <w:szCs w:val="21"/>
                      <w:lang w:val="en-US" w:eastAsia="zh-CN"/>
                    </w:rPr>
                    <w:t>7</w:t>
                  </w:r>
                </w:p>
              </w:tc>
              <w:tc>
                <w:tcPr>
                  <w:tcW w:w="933" w:type="pct"/>
                  <w:tcBorders>
                    <w:bottom w:val="single" w:color="auto" w:sz="12" w:space="0"/>
                  </w:tcBorders>
                  <w:noWrap w:val="0"/>
                  <w:vAlign w:val="center"/>
                </w:tcPr>
                <w:p w14:paraId="1DB57CFA">
                  <w:pPr>
                    <w:snapToGrid w:val="0"/>
                    <w:spacing w:line="280" w:lineRule="exact"/>
                    <w:jc w:val="center"/>
                    <w:rPr>
                      <w:color w:val="auto"/>
                      <w:sz w:val="21"/>
                      <w:szCs w:val="21"/>
                    </w:rPr>
                  </w:pPr>
                  <w:r>
                    <w:rPr>
                      <w:rFonts w:hint="eastAsia"/>
                      <w:color w:val="auto"/>
                      <w:sz w:val="21"/>
                      <w:szCs w:val="21"/>
                    </w:rPr>
                    <w:t>生活垃圾</w:t>
                  </w:r>
                </w:p>
              </w:tc>
              <w:tc>
                <w:tcPr>
                  <w:tcW w:w="827" w:type="pct"/>
                  <w:tcBorders>
                    <w:bottom w:val="single" w:color="auto" w:sz="12" w:space="0"/>
                  </w:tcBorders>
                  <w:noWrap w:val="0"/>
                  <w:vAlign w:val="center"/>
                </w:tcPr>
                <w:p w14:paraId="406FDF3B">
                  <w:pPr>
                    <w:spacing w:line="320" w:lineRule="exact"/>
                    <w:jc w:val="center"/>
                    <w:rPr>
                      <w:color w:val="auto"/>
                      <w:sz w:val="21"/>
                      <w:szCs w:val="21"/>
                    </w:rPr>
                  </w:pPr>
                  <w:r>
                    <w:rPr>
                      <w:color w:val="auto"/>
                      <w:sz w:val="21"/>
                      <w:szCs w:val="21"/>
                    </w:rPr>
                    <w:t>员工生活</w:t>
                  </w:r>
                </w:p>
              </w:tc>
              <w:tc>
                <w:tcPr>
                  <w:tcW w:w="433" w:type="pct"/>
                  <w:noWrap w:val="0"/>
                  <w:vAlign w:val="center"/>
                </w:tcPr>
                <w:p w14:paraId="30D361DD">
                  <w:pPr>
                    <w:spacing w:line="300" w:lineRule="exact"/>
                    <w:jc w:val="center"/>
                    <w:rPr>
                      <w:color w:val="auto"/>
                      <w:sz w:val="21"/>
                      <w:szCs w:val="21"/>
                    </w:rPr>
                  </w:pPr>
                  <w:r>
                    <w:rPr>
                      <w:color w:val="auto"/>
                      <w:sz w:val="21"/>
                      <w:szCs w:val="21"/>
                    </w:rPr>
                    <w:t>/</w:t>
                  </w:r>
                </w:p>
              </w:tc>
              <w:tc>
                <w:tcPr>
                  <w:tcW w:w="952" w:type="pct"/>
                  <w:tcBorders>
                    <w:bottom w:val="single" w:color="auto" w:sz="12" w:space="0"/>
                  </w:tcBorders>
                  <w:noWrap w:val="0"/>
                  <w:vAlign w:val="center"/>
                </w:tcPr>
                <w:p w14:paraId="6ADB1948">
                  <w:pPr>
                    <w:spacing w:line="280" w:lineRule="exact"/>
                    <w:jc w:val="center"/>
                    <w:rPr>
                      <w:color w:val="auto"/>
                      <w:sz w:val="21"/>
                      <w:szCs w:val="21"/>
                    </w:rPr>
                  </w:pPr>
                  <w:r>
                    <w:rPr>
                      <w:color w:val="auto"/>
                      <w:sz w:val="21"/>
                      <w:szCs w:val="21"/>
                    </w:rPr>
                    <w:t>/</w:t>
                  </w:r>
                </w:p>
              </w:tc>
              <w:tc>
                <w:tcPr>
                  <w:tcW w:w="579" w:type="pct"/>
                  <w:tcBorders>
                    <w:bottom w:val="single" w:color="auto" w:sz="12" w:space="0"/>
                  </w:tcBorders>
                  <w:noWrap w:val="0"/>
                  <w:vAlign w:val="center"/>
                </w:tcPr>
                <w:p w14:paraId="521E80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rPr>
                  </w:pPr>
                  <w:r>
                    <w:rPr>
                      <w:rFonts w:hint="eastAsia"/>
                      <w:color w:val="auto"/>
                      <w:sz w:val="21"/>
                      <w:szCs w:val="21"/>
                      <w:lang w:val="en-US" w:eastAsia="zh-CN"/>
                    </w:rPr>
                    <w:t>1.5</w:t>
                  </w:r>
                </w:p>
              </w:tc>
              <w:tc>
                <w:tcPr>
                  <w:tcW w:w="959" w:type="pct"/>
                  <w:noWrap w:val="0"/>
                  <w:vAlign w:val="center"/>
                </w:tcPr>
                <w:p w14:paraId="7B610BCD">
                  <w:pPr>
                    <w:widowControl/>
                    <w:spacing w:line="300" w:lineRule="exact"/>
                    <w:jc w:val="center"/>
                    <w:rPr>
                      <w:rFonts w:hint="default" w:eastAsia="宋体"/>
                      <w:color w:val="auto"/>
                      <w:kern w:val="0"/>
                      <w:sz w:val="21"/>
                      <w:szCs w:val="21"/>
                      <w:lang w:val="en-US" w:eastAsia="zh-CN"/>
                    </w:rPr>
                  </w:pPr>
                  <w:r>
                    <w:rPr>
                      <w:rFonts w:hint="eastAsia"/>
                      <w:color w:val="auto"/>
                      <w:kern w:val="0"/>
                      <w:sz w:val="21"/>
                      <w:szCs w:val="21"/>
                      <w:lang w:val="en-US" w:eastAsia="zh-CN"/>
                    </w:rPr>
                    <w:t>环卫单位</w:t>
                  </w:r>
                </w:p>
              </w:tc>
            </w:tr>
          </w:tbl>
          <w:p w14:paraId="0BAA24D1">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default"/>
                <w:sz w:val="24"/>
                <w:szCs w:val="24"/>
                <w:lang w:val="en-US"/>
              </w:rPr>
            </w:pPr>
            <w:r>
              <w:rPr>
                <w:color w:val="auto"/>
                <w:sz w:val="24"/>
                <w:szCs w:val="24"/>
              </w:rPr>
              <w:t>本项目产生的固体废弃物主要为一般固废、危险固废和生活垃圾。</w:t>
            </w:r>
          </w:p>
          <w:p w14:paraId="24429F5F">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试剂废包装盒、纯水废瓶为一般固废，处置方式为委外综合利用。</w:t>
            </w:r>
          </w:p>
          <w:p w14:paraId="05303B4B">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eastAsia"/>
                <w:color w:val="000000" w:themeColor="text1"/>
                <w:sz w:val="24"/>
                <w:szCs w:val="24"/>
                <w:lang w:val="en-US" w:eastAsia="zh-CN"/>
                <w14:textFill>
                  <w14:solidFill>
                    <w14:schemeClr w14:val="tx1"/>
                  </w14:solidFill>
                </w14:textFill>
              </w:rPr>
            </w:pPr>
            <w:bookmarkStart w:id="76" w:name="OLE_LINK28"/>
            <w:r>
              <w:rPr>
                <w:rFonts w:hint="eastAsia"/>
                <w:color w:val="000000" w:themeColor="text1"/>
                <w:sz w:val="24"/>
                <w:szCs w:val="24"/>
                <w:lang w:val="en-US" w:eastAsia="zh-CN"/>
                <w14:textFill>
                  <w14:solidFill>
                    <w14:schemeClr w14:val="tx1"/>
                  </w14:solidFill>
                </w14:textFill>
              </w:rPr>
              <w:t>试剂废瓶作为危废，委托有资质单位处置；废渣经灭菌锅灭菌后作为危废收集，委托有资质单位处理；质检废液、不合格品废液、合格品废液经灭菌锅灭菌后与地面清洗废液、设备容器清洗废水经洗手池收集后，储存于储存罐（1t，危废暂存点）内，作为危废，委托有资质单位处置。</w:t>
            </w:r>
            <w:bookmarkEnd w:id="76"/>
          </w:p>
          <w:p w14:paraId="73F524F6">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default"/>
                <w:lang w:val="en-US" w:eastAsia="zh-CN"/>
              </w:rPr>
            </w:pPr>
            <w:r>
              <w:rPr>
                <w:rFonts w:hint="eastAsia"/>
                <w:color w:val="000000" w:themeColor="text1"/>
                <w:sz w:val="24"/>
                <w:szCs w:val="24"/>
                <w:lang w:val="en-US" w:eastAsia="zh-CN"/>
                <w14:textFill>
                  <w14:solidFill>
                    <w14:schemeClr w14:val="tx1"/>
                  </w14:solidFill>
                </w14:textFill>
              </w:rPr>
              <w:t>生活垃圾由环卫单位处置。</w:t>
            </w:r>
          </w:p>
          <w:p w14:paraId="46F4441C">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（1）一般固废</w:t>
            </w:r>
          </w:p>
          <w:p w14:paraId="1FD41E96">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eastAsia"/>
                <w:color w:val="000000" w:themeColor="text1"/>
                <w:sz w:val="24"/>
                <w:szCs w:val="24"/>
                <w:lang w:val="en-US" w:eastAsia="zh-CN"/>
                <w14:textFill>
                  <w14:solidFill>
                    <w14:schemeClr w14:val="tx1"/>
                  </w14:solidFill>
                </w14:textFill>
              </w:rPr>
            </w:pPr>
            <w:r>
              <w:rPr>
                <w:color w:val="000000" w:themeColor="text1"/>
                <w:sz w:val="24"/>
                <w:szCs w:val="24"/>
                <w:lang w:val="en-US" w:eastAsia="zh-CN"/>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设置</w:t>
            </w:r>
            <w:r>
              <w:rPr>
                <w:color w:val="000000" w:themeColor="text1"/>
                <w:sz w:val="24"/>
                <w:szCs w:val="24"/>
                <w:lang w:val="en-US" w:eastAsia="zh-CN"/>
                <w14:textFill>
                  <w14:solidFill>
                    <w14:schemeClr w14:val="tx1"/>
                  </w14:solidFill>
                </w14:textFill>
              </w:rPr>
              <w:t>一般固废堆场储存一般固废，占地面积为</w:t>
            </w:r>
            <w:r>
              <w:rPr>
                <w:rFonts w:hint="eastAsia"/>
                <w:color w:val="000000" w:themeColor="text1"/>
                <w:sz w:val="24"/>
                <w:szCs w:val="24"/>
                <w:lang w:val="en-US" w:eastAsia="zh-CN"/>
                <w14:textFill>
                  <w14:solidFill>
                    <w14:schemeClr w14:val="tx1"/>
                  </w14:solidFill>
                </w14:textFill>
              </w:rPr>
              <w:t>6</w:t>
            </w:r>
            <w:r>
              <w:rPr>
                <w:color w:val="000000" w:themeColor="text1"/>
                <w:sz w:val="24"/>
                <w:szCs w:val="24"/>
                <w:lang w:val="en-US" w:eastAsia="zh-CN"/>
                <w14:textFill>
                  <w14:solidFill>
                    <w14:schemeClr w14:val="tx1"/>
                  </w14:solidFill>
                </w14:textFill>
              </w:rPr>
              <w:t>m</w:t>
            </w:r>
            <w:r>
              <w:rPr>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vertAlign w:val="baseline"/>
                <w:lang w:val="en-US" w:eastAsia="zh-CN"/>
                <w14:textFill>
                  <w14:solidFill>
                    <w14:schemeClr w14:val="tx1"/>
                  </w14:solidFill>
                </w14:textFill>
              </w:rPr>
              <w:t>；本项目一般固废为</w:t>
            </w:r>
            <w:r>
              <w:rPr>
                <w:rFonts w:hint="eastAsia"/>
                <w:color w:val="000000" w:themeColor="text1"/>
                <w:sz w:val="24"/>
                <w:szCs w:val="24"/>
                <w:lang w:val="en-US" w:eastAsia="zh-CN"/>
                <w14:textFill>
                  <w14:solidFill>
                    <w14:schemeClr w14:val="tx1"/>
                  </w14:solidFill>
                </w14:textFill>
              </w:rPr>
              <w:t>试剂废包装盒、纯水废瓶共计0.07t/a，一般固废仓库能够满足储存需求</w:t>
            </w:r>
            <w:r>
              <w:rPr>
                <w:color w:val="000000" w:themeColor="text1"/>
                <w:sz w:val="24"/>
                <w:szCs w:val="24"/>
                <w:lang w:val="en-US" w:eastAsia="zh-CN"/>
                <w14:textFill>
                  <w14:solidFill>
                    <w14:schemeClr w14:val="tx1"/>
                  </w14:solidFill>
                </w14:textFill>
              </w:rPr>
              <w:t>。</w:t>
            </w:r>
          </w:p>
          <w:p w14:paraId="7E6B20CA">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（2）危险固废</w:t>
            </w:r>
          </w:p>
          <w:p w14:paraId="29BAA4BB">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hint="eastAsia"/>
                <w:color w:val="000000" w:themeColor="text1"/>
                <w:sz w:val="24"/>
                <w:szCs w:val="24"/>
                <w:lang w:val="en-US" w:eastAsia="zh-CN"/>
                <w14:textFill>
                  <w14:solidFill>
                    <w14:schemeClr w14:val="tx1"/>
                  </w14:solidFill>
                </w14:textFill>
              </w:rPr>
              <w:t>本项目</w:t>
            </w:r>
            <w:r>
              <w:rPr>
                <w:rFonts w:hint="eastAsia"/>
                <w:color w:val="auto"/>
                <w:sz w:val="24"/>
                <w:szCs w:val="24"/>
                <w:lang w:val="en-US" w:eastAsia="zh-CN"/>
              </w:rPr>
              <w:t>设置</w:t>
            </w:r>
            <w:r>
              <w:rPr>
                <w:color w:val="auto"/>
                <w:sz w:val="24"/>
                <w:szCs w:val="24"/>
                <w:lang w:val="en-US" w:eastAsia="zh-CN"/>
              </w:rPr>
              <w:t>危险固废库房储存危险固废，占地面积为</w:t>
            </w:r>
            <w:r>
              <w:rPr>
                <w:rFonts w:hint="eastAsia"/>
                <w:color w:val="auto"/>
                <w:sz w:val="24"/>
                <w:szCs w:val="24"/>
                <w:lang w:val="en-US" w:eastAsia="zh-CN"/>
              </w:rPr>
              <w:t>3.75</w:t>
            </w:r>
            <w:r>
              <w:rPr>
                <w:color w:val="auto"/>
                <w:sz w:val="24"/>
                <w:szCs w:val="24"/>
                <w:lang w:val="en-US" w:eastAsia="zh-CN"/>
              </w:rPr>
              <w:t>m</w:t>
            </w:r>
            <w:r>
              <w:rPr>
                <w:color w:val="auto"/>
                <w:sz w:val="24"/>
                <w:szCs w:val="24"/>
                <w:vertAlign w:val="superscript"/>
                <w:lang w:val="en-US" w:eastAsia="zh-CN"/>
              </w:rPr>
              <w:t>2</w:t>
            </w:r>
            <w:r>
              <w:rPr>
                <w:color w:val="auto"/>
                <w:sz w:val="24"/>
                <w:szCs w:val="24"/>
                <w:lang w:val="en-US" w:eastAsia="zh-CN"/>
              </w:rPr>
              <w:t>，危险废物贮存场</w:t>
            </w:r>
            <w:r>
              <w:rPr>
                <w:rFonts w:hint="eastAsia"/>
                <w:color w:val="auto"/>
                <w:sz w:val="24"/>
                <w:szCs w:val="24"/>
                <w:lang w:val="en-US" w:eastAsia="zh-CN"/>
              </w:rPr>
              <w:t>已</w:t>
            </w:r>
            <w:r>
              <w:rPr>
                <w:color w:val="auto"/>
                <w:sz w:val="24"/>
                <w:szCs w:val="24"/>
                <w:lang w:val="en-US" w:eastAsia="zh-CN"/>
              </w:rPr>
              <w:t>按照《危险废物贮存污染控制标准》(GB18597-2023）、省生态环境厅关于做好《</w:t>
            </w:r>
            <w:r>
              <w:rPr>
                <w:rFonts w:hint="eastAsia"/>
                <w:color w:val="auto"/>
                <w:sz w:val="24"/>
                <w:szCs w:val="24"/>
                <w:lang w:val="en-US" w:eastAsia="zh-CN"/>
              </w:rPr>
              <w:t>危</w:t>
            </w:r>
            <w:r>
              <w:rPr>
                <w:color w:val="auto"/>
                <w:sz w:val="24"/>
                <w:szCs w:val="24"/>
                <w:lang w:val="en-US" w:eastAsia="zh-CN"/>
              </w:rPr>
              <w:t>险废物贮存污染控制标准》等标准规范实施后危险废物环境管理衔接工作的通知（苏环办[2023]154号）、</w:t>
            </w:r>
            <w:r>
              <w:rPr>
                <w:rFonts w:hint="eastAsia"/>
                <w:color w:val="auto"/>
                <w:sz w:val="24"/>
                <w:szCs w:val="24"/>
                <w:lang w:val="en-US" w:eastAsia="zh-CN"/>
              </w:rPr>
              <w:t>省生态环境厅关于印发《江苏省固体废物全过程环境监管工作意见》的通知（苏环办[2024]16号）</w:t>
            </w:r>
            <w:r>
              <w:rPr>
                <w:color w:val="auto"/>
                <w:sz w:val="24"/>
                <w:szCs w:val="24"/>
                <w:lang w:val="en-US" w:eastAsia="zh-CN"/>
              </w:rPr>
              <w:t>、《市生态环境局关于开展全市固废危废环境隐患排查暨贮存规范化管理专项整治行动的通知》（常环执法〔2019〕40号）进行设置，危废库房均具有固定的区域边界，均具有防风、防雨、防晒和防治危险废物流失、扬散的措施，各类危险废物均置于包装容器或包装袋中，各类危险废物及时清运。</w:t>
            </w:r>
          </w:p>
          <w:p w14:paraId="1F5EFCC7">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default" w:ascii="Times New Roman" w:hAnsi="Times New Roman" w:cs="Times New Roman" w:eastAsiaTheme="minorEastAsia"/>
                <w:b/>
                <w:bCs/>
                <w:lang w:val="en-US" w:eastAsia="zh-CN"/>
              </w:rPr>
            </w:pPr>
            <w:r>
              <w:rPr>
                <w:color w:val="auto"/>
                <w:sz w:val="24"/>
                <w:szCs w:val="24"/>
                <w:lang w:val="en-US" w:eastAsia="zh-CN"/>
              </w:rPr>
              <w:t>考虑到进出口、过道等，有效存储面积按80%计算，则本公司危废库房有效存储面积为</w:t>
            </w:r>
            <w:r>
              <w:rPr>
                <w:rFonts w:hint="eastAsia"/>
                <w:color w:val="auto"/>
                <w:sz w:val="24"/>
                <w:szCs w:val="24"/>
                <w:lang w:val="en-US" w:eastAsia="zh-CN"/>
              </w:rPr>
              <w:t>3</w:t>
            </w:r>
            <w:r>
              <w:rPr>
                <w:color w:val="auto"/>
                <w:sz w:val="24"/>
                <w:szCs w:val="24"/>
                <w:lang w:val="en-US" w:eastAsia="zh-CN"/>
              </w:rPr>
              <w:t>m</w:t>
            </w:r>
            <w:r>
              <w:rPr>
                <w:color w:val="auto"/>
                <w:sz w:val="24"/>
                <w:szCs w:val="24"/>
                <w:vertAlign w:val="superscript"/>
                <w:lang w:val="en-US" w:eastAsia="zh-CN"/>
              </w:rPr>
              <w:t>2</w:t>
            </w:r>
            <w:r>
              <w:rPr>
                <w:color w:val="auto"/>
                <w:sz w:val="24"/>
                <w:szCs w:val="24"/>
                <w:lang w:val="en-US" w:eastAsia="zh-CN"/>
              </w:rPr>
              <w:t>，每平</w:t>
            </w:r>
            <w:r>
              <w:rPr>
                <w:rFonts w:hint="eastAsia"/>
                <w:color w:val="auto"/>
                <w:sz w:val="24"/>
                <w:szCs w:val="24"/>
                <w:lang w:val="en-US" w:eastAsia="zh-CN"/>
              </w:rPr>
              <w:t>方</w:t>
            </w:r>
            <w:r>
              <w:rPr>
                <w:color w:val="auto"/>
                <w:sz w:val="24"/>
                <w:szCs w:val="24"/>
                <w:lang w:val="en-US" w:eastAsia="zh-CN"/>
              </w:rPr>
              <w:t>米危废储存量按1t计。本项目</w:t>
            </w:r>
            <w:r>
              <w:rPr>
                <w:rFonts w:hint="eastAsia"/>
                <w:color w:val="auto"/>
                <w:sz w:val="24"/>
                <w:szCs w:val="24"/>
                <w:lang w:val="en-US" w:eastAsia="zh-CN"/>
              </w:rPr>
              <w:t>建成后</w:t>
            </w:r>
            <w:r>
              <w:rPr>
                <w:color w:val="auto"/>
                <w:sz w:val="24"/>
                <w:szCs w:val="24"/>
                <w:lang w:val="en-US" w:eastAsia="zh-CN"/>
              </w:rPr>
              <w:t>产生的固态危废采用袋装/桶装存放，建成后危废的产生量约为</w:t>
            </w:r>
            <w:r>
              <w:rPr>
                <w:rFonts w:hint="eastAsia"/>
                <w:color w:val="auto"/>
                <w:sz w:val="24"/>
                <w:szCs w:val="24"/>
                <w:lang w:val="en-US" w:eastAsia="zh-CN"/>
              </w:rPr>
              <w:t>1.214</w:t>
            </w:r>
            <w:r>
              <w:rPr>
                <w:color w:val="auto"/>
                <w:sz w:val="24"/>
                <w:szCs w:val="24"/>
                <w:lang w:val="en-US" w:eastAsia="zh-CN"/>
              </w:rPr>
              <w:t>t/a，危废每三个月转移一次，</w:t>
            </w:r>
            <w:r>
              <w:rPr>
                <w:rFonts w:hint="eastAsia"/>
                <w:color w:val="auto"/>
                <w:sz w:val="24"/>
                <w:szCs w:val="24"/>
                <w:lang w:val="en-US" w:eastAsia="zh-CN"/>
              </w:rPr>
              <w:t>最大存储量为0.304t，</w:t>
            </w:r>
            <w:r>
              <w:rPr>
                <w:color w:val="auto"/>
                <w:sz w:val="24"/>
                <w:szCs w:val="24"/>
                <w:lang w:val="en-US" w:eastAsia="zh-CN"/>
              </w:rPr>
              <w:t>则仓库容积能够满足企业危险废物的暂存需求</w:t>
            </w:r>
            <w:r>
              <w:rPr>
                <w:rFonts w:hint="eastAsia"/>
                <w:color w:val="auto"/>
                <w:sz w:val="24"/>
                <w:szCs w:val="24"/>
                <w:lang w:val="en-US" w:eastAsia="zh-CN"/>
              </w:rPr>
              <w:t>；废液收集至储存罐内（危废暂存点），储存罐储存量为1m</w:t>
            </w:r>
            <w:r>
              <w:rPr>
                <w:rFonts w:hint="eastAsia"/>
                <w:color w:val="auto"/>
                <w:sz w:val="24"/>
                <w:szCs w:val="24"/>
                <w:vertAlign w:val="superscript"/>
                <w:lang w:val="en-US" w:eastAsia="zh-CN"/>
              </w:rPr>
              <w:t>3</w:t>
            </w:r>
            <w:r>
              <w:rPr>
                <w:rFonts w:hint="eastAsia"/>
                <w:color w:val="auto"/>
                <w:sz w:val="24"/>
                <w:szCs w:val="24"/>
                <w:lang w:val="en-US" w:eastAsia="zh-CN"/>
              </w:rPr>
              <w:t>，废液每月运一次，最大储存量为0.632t/月，储存罐能够满足废液储存需求。</w:t>
            </w:r>
          </w:p>
          <w:p w14:paraId="6E1BAC2B">
            <w:pPr>
              <w:jc w:val="center"/>
              <w:rPr>
                <w:rFonts w:hint="eastAsia" w:asciiTheme="minorEastAsia" w:hAnsiTheme="minorEastAsia" w:eastAsiaTheme="minorEastAsia" w:cstheme="minorEastAsia"/>
                <w:b/>
                <w:bCs/>
                <w:lang w:val="en-US" w:eastAsia="zh-CN"/>
              </w:rPr>
            </w:pPr>
            <w:r>
              <w:rPr>
                <w:rFonts w:hint="default" w:ascii="Times New Roman" w:hAnsi="Times New Roman" w:cs="Times New Roman" w:eastAsiaTheme="minorEastAsia"/>
                <w:b/>
                <w:bCs/>
                <w:lang w:val="en-US" w:eastAsia="zh-CN"/>
              </w:rPr>
              <w:t>表4-</w:t>
            </w:r>
            <w:r>
              <w:rPr>
                <w:rFonts w:hint="eastAsia" w:cs="Times New Roman" w:eastAsiaTheme="minorEastAsia"/>
                <w:b/>
                <w:bCs/>
                <w:lang w:val="en-US" w:eastAsia="zh-CN"/>
              </w:rPr>
              <w:t xml:space="preserve">21 </w:t>
            </w:r>
            <w:r>
              <w:rPr>
                <w:rFonts w:hint="eastAsia" w:asciiTheme="minorEastAsia" w:hAnsiTheme="minorEastAsia" w:eastAsiaTheme="minorEastAsia" w:cstheme="minorEastAsia"/>
                <w:b/>
                <w:bCs/>
                <w:lang w:val="en-US" w:eastAsia="zh-CN"/>
              </w:rPr>
              <w:t>废物贮存场所基本情况表</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068"/>
              <w:gridCol w:w="893"/>
              <w:gridCol w:w="1196"/>
              <w:gridCol w:w="1101"/>
              <w:gridCol w:w="952"/>
              <w:gridCol w:w="1017"/>
              <w:gridCol w:w="1017"/>
            </w:tblGrid>
            <w:tr w14:paraId="6A65A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vAlign w:val="center"/>
                </w:tcPr>
                <w:p w14:paraId="13E552BE">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贮存场所名称</w:t>
                  </w:r>
                </w:p>
              </w:tc>
              <w:tc>
                <w:tcPr>
                  <w:tcW w:w="1068" w:type="dxa"/>
                  <w:tcBorders>
                    <w:tl2br w:val="nil"/>
                    <w:tr2bl w:val="nil"/>
                  </w:tcBorders>
                  <w:vAlign w:val="center"/>
                </w:tcPr>
                <w:p w14:paraId="43725EE2">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名称</w:t>
                  </w:r>
                </w:p>
              </w:tc>
              <w:tc>
                <w:tcPr>
                  <w:tcW w:w="893" w:type="dxa"/>
                  <w:tcBorders>
                    <w:tl2br w:val="nil"/>
                    <w:tr2bl w:val="nil"/>
                  </w:tcBorders>
                  <w:vAlign w:val="center"/>
                </w:tcPr>
                <w:p w14:paraId="30E61D18">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废物类别</w:t>
                  </w:r>
                </w:p>
              </w:tc>
              <w:tc>
                <w:tcPr>
                  <w:tcW w:w="1196" w:type="dxa"/>
                  <w:tcBorders>
                    <w:tl2br w:val="nil"/>
                    <w:tr2bl w:val="nil"/>
                  </w:tcBorders>
                  <w:vAlign w:val="center"/>
                </w:tcPr>
                <w:p w14:paraId="0653A12A">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废物代码</w:t>
                  </w:r>
                </w:p>
              </w:tc>
              <w:tc>
                <w:tcPr>
                  <w:tcW w:w="1101" w:type="dxa"/>
                  <w:tcBorders>
                    <w:tl2br w:val="nil"/>
                    <w:tr2bl w:val="nil"/>
                  </w:tcBorders>
                  <w:vAlign w:val="center"/>
                </w:tcPr>
                <w:p w14:paraId="16FB5861">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位置</w:t>
                  </w:r>
                </w:p>
              </w:tc>
              <w:tc>
                <w:tcPr>
                  <w:tcW w:w="952" w:type="dxa"/>
                  <w:tcBorders>
                    <w:tl2br w:val="nil"/>
                    <w:tr2bl w:val="nil"/>
                  </w:tcBorders>
                  <w:vAlign w:val="center"/>
                </w:tcPr>
                <w:p w14:paraId="1F7CFE6E">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占地面积（m</w:t>
                  </w:r>
                  <w:r>
                    <w:rPr>
                      <w:rFonts w:hint="eastAsia" w:cs="Times New Roman" w:eastAsiaTheme="minorEastAsia"/>
                      <w:b w:val="0"/>
                      <w:bCs w:val="0"/>
                      <w:sz w:val="21"/>
                      <w:szCs w:val="21"/>
                      <w:vertAlign w:val="superscript"/>
                      <w:lang w:val="en-US" w:eastAsia="zh-CN"/>
                    </w:rPr>
                    <w:t>2</w:t>
                  </w:r>
                  <w:r>
                    <w:rPr>
                      <w:rFonts w:hint="default" w:ascii="Times New Roman" w:hAnsi="Times New Roman" w:cs="Times New Roman" w:eastAsiaTheme="minorEastAsia"/>
                      <w:b w:val="0"/>
                      <w:bCs w:val="0"/>
                      <w:sz w:val="21"/>
                      <w:szCs w:val="21"/>
                      <w:vertAlign w:val="baseline"/>
                      <w:lang w:val="en-US" w:eastAsia="zh-CN"/>
                    </w:rPr>
                    <w:t>）</w:t>
                  </w:r>
                </w:p>
              </w:tc>
              <w:tc>
                <w:tcPr>
                  <w:tcW w:w="1017" w:type="dxa"/>
                  <w:tcBorders>
                    <w:tl2br w:val="nil"/>
                    <w:tr2bl w:val="nil"/>
                  </w:tcBorders>
                  <w:vAlign w:val="center"/>
                </w:tcPr>
                <w:p w14:paraId="2713CD19">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储存方式</w:t>
                  </w:r>
                </w:p>
              </w:tc>
              <w:tc>
                <w:tcPr>
                  <w:tcW w:w="1017" w:type="dxa"/>
                  <w:tcBorders>
                    <w:tl2br w:val="nil"/>
                    <w:tr2bl w:val="nil"/>
                  </w:tcBorders>
                  <w:vAlign w:val="center"/>
                </w:tcPr>
                <w:p w14:paraId="635F7CEF">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储存周期</w:t>
                  </w:r>
                </w:p>
              </w:tc>
            </w:tr>
            <w:tr w14:paraId="0E78C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00" w:type="dxa"/>
                  <w:vMerge w:val="restart"/>
                  <w:tcBorders>
                    <w:tl2br w:val="nil"/>
                    <w:tr2bl w:val="nil"/>
                  </w:tcBorders>
                  <w:vAlign w:val="center"/>
                </w:tcPr>
                <w:p w14:paraId="41CD8D7D">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危废仓库</w:t>
                  </w:r>
                </w:p>
              </w:tc>
              <w:tc>
                <w:tcPr>
                  <w:tcW w:w="1068" w:type="dxa"/>
                  <w:tcBorders>
                    <w:tl2br w:val="nil"/>
                    <w:tr2bl w:val="nil"/>
                  </w:tcBorders>
                  <w:vAlign w:val="center"/>
                </w:tcPr>
                <w:p w14:paraId="3F8E23C8">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试剂</w:t>
                  </w:r>
                  <w:r>
                    <w:rPr>
                      <w:rFonts w:hint="eastAsia" w:cs="Times New Roman" w:eastAsiaTheme="minorEastAsia"/>
                      <w:color w:val="auto"/>
                      <w:sz w:val="21"/>
                      <w:szCs w:val="21"/>
                      <w:lang w:val="en-US" w:eastAsia="zh-CN"/>
                    </w:rPr>
                    <w:t>废瓶</w:t>
                  </w:r>
                </w:p>
              </w:tc>
              <w:tc>
                <w:tcPr>
                  <w:tcW w:w="893" w:type="dxa"/>
                  <w:tcBorders>
                    <w:tl2br w:val="nil"/>
                    <w:tr2bl w:val="nil"/>
                  </w:tcBorders>
                  <w:vAlign w:val="center"/>
                </w:tcPr>
                <w:p w14:paraId="019CB39F">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HW49</w:t>
                  </w:r>
                </w:p>
              </w:tc>
              <w:tc>
                <w:tcPr>
                  <w:tcW w:w="1196" w:type="dxa"/>
                  <w:tcBorders>
                    <w:tl2br w:val="nil"/>
                    <w:tr2bl w:val="nil"/>
                  </w:tcBorders>
                  <w:vAlign w:val="center"/>
                </w:tcPr>
                <w:p w14:paraId="140481D0">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sz w:val="21"/>
                      <w:szCs w:val="21"/>
                    </w:rPr>
                    <w:t>900-0</w:t>
                  </w:r>
                  <w:r>
                    <w:rPr>
                      <w:rFonts w:hint="default" w:ascii="Times New Roman" w:hAnsi="Times New Roman" w:cs="Times New Roman" w:eastAsiaTheme="minorEastAsia"/>
                      <w:color w:val="auto"/>
                      <w:sz w:val="21"/>
                      <w:szCs w:val="21"/>
                      <w:lang w:val="en-US" w:eastAsia="zh-CN"/>
                    </w:rPr>
                    <w:t>4</w:t>
                  </w:r>
                  <w:r>
                    <w:rPr>
                      <w:rFonts w:hint="eastAsia"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-49</w:t>
                  </w:r>
                </w:p>
              </w:tc>
              <w:tc>
                <w:tcPr>
                  <w:tcW w:w="1101" w:type="dxa"/>
                  <w:vMerge w:val="restart"/>
                  <w:tcBorders>
                    <w:tl2br w:val="nil"/>
                    <w:tr2bl w:val="nil"/>
                  </w:tcBorders>
                  <w:vAlign w:val="center"/>
                </w:tcPr>
                <w:p w14:paraId="1E2D321D">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cs="Times New Roman" w:eastAsiaTheme="minorEastAsia"/>
                      <w:b w:val="0"/>
                      <w:bCs w:val="0"/>
                      <w:sz w:val="21"/>
                      <w:szCs w:val="21"/>
                      <w:vertAlign w:val="baseline"/>
                      <w:lang w:val="en-US" w:eastAsia="zh-CN"/>
                    </w:rPr>
                    <w:t>车间东南侧</w:t>
                  </w:r>
                </w:p>
              </w:tc>
              <w:tc>
                <w:tcPr>
                  <w:tcW w:w="952" w:type="dxa"/>
                  <w:vMerge w:val="restart"/>
                  <w:tcBorders>
                    <w:tl2br w:val="nil"/>
                    <w:tr2bl w:val="nil"/>
                  </w:tcBorders>
                  <w:vAlign w:val="center"/>
                </w:tcPr>
                <w:p w14:paraId="0D0F5D12">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3</w:t>
                  </w:r>
                </w:p>
              </w:tc>
              <w:tc>
                <w:tcPr>
                  <w:tcW w:w="1017" w:type="dxa"/>
                  <w:tcBorders>
                    <w:tl2br w:val="nil"/>
                    <w:tr2bl w:val="nil"/>
                  </w:tcBorders>
                  <w:vAlign w:val="center"/>
                </w:tcPr>
                <w:p w14:paraId="65784F53">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托盘</w:t>
                  </w:r>
                </w:p>
              </w:tc>
              <w:tc>
                <w:tcPr>
                  <w:tcW w:w="1017" w:type="dxa"/>
                  <w:vMerge w:val="restart"/>
                  <w:tcBorders>
                    <w:tl2br w:val="nil"/>
                    <w:tr2bl w:val="nil"/>
                  </w:tcBorders>
                  <w:vAlign w:val="center"/>
                </w:tcPr>
                <w:p w14:paraId="104C455F">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不超过90天</w:t>
                  </w:r>
                </w:p>
              </w:tc>
            </w:tr>
            <w:tr w14:paraId="6AFC6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00" w:type="dxa"/>
                  <w:vMerge w:val="continue"/>
                  <w:tcBorders>
                    <w:tl2br w:val="nil"/>
                    <w:tr2bl w:val="nil"/>
                  </w:tcBorders>
                  <w:vAlign w:val="center"/>
                </w:tcPr>
                <w:p w14:paraId="2530B2FB">
                  <w:pPr>
                    <w:spacing w:line="240" w:lineRule="auto"/>
                    <w:jc w:val="center"/>
                  </w:pPr>
                </w:p>
              </w:tc>
              <w:tc>
                <w:tcPr>
                  <w:tcW w:w="1068" w:type="dxa"/>
                  <w:tcBorders>
                    <w:tl2br w:val="nil"/>
                    <w:tr2bl w:val="nil"/>
                  </w:tcBorders>
                  <w:vAlign w:val="center"/>
                </w:tcPr>
                <w:p w14:paraId="0E07ED78">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废渣</w:t>
                  </w:r>
                </w:p>
              </w:tc>
              <w:tc>
                <w:tcPr>
                  <w:tcW w:w="893" w:type="dxa"/>
                  <w:tcBorders>
                    <w:tl2br w:val="nil"/>
                    <w:tr2bl w:val="nil"/>
                  </w:tcBorders>
                  <w:vAlign w:val="center"/>
                </w:tcPr>
                <w:p w14:paraId="440E4980">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HW49</w:t>
                  </w:r>
                </w:p>
              </w:tc>
              <w:tc>
                <w:tcPr>
                  <w:tcW w:w="1196" w:type="dxa"/>
                  <w:tcBorders>
                    <w:tl2br w:val="nil"/>
                    <w:tr2bl w:val="nil"/>
                  </w:tcBorders>
                  <w:vAlign w:val="center"/>
                </w:tcPr>
                <w:p w14:paraId="738EF55A">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900-04</w:t>
                  </w:r>
                  <w:r>
                    <w:rPr>
                      <w:rFonts w:hint="default"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rPr>
                    <w:t>-49</w:t>
                  </w:r>
                </w:p>
              </w:tc>
              <w:tc>
                <w:tcPr>
                  <w:tcW w:w="1101" w:type="dxa"/>
                  <w:vMerge w:val="continue"/>
                  <w:tcBorders>
                    <w:tl2br w:val="nil"/>
                    <w:tr2bl w:val="nil"/>
                  </w:tcBorders>
                  <w:vAlign w:val="center"/>
                </w:tcPr>
                <w:p w14:paraId="07F692AC">
                  <w:pPr>
                    <w:spacing w:line="240" w:lineRule="auto"/>
                    <w:jc w:val="center"/>
                    <w:rPr>
                      <w:rFonts w:hint="default" w:ascii="Times New Roman" w:hAnsi="Times New Roman" w:cs="Times New Roman" w:eastAsiaTheme="minorEastAsia"/>
                      <w:color w:val="auto"/>
                      <w:sz w:val="21"/>
                      <w:szCs w:val="21"/>
                      <w:lang w:val="en-US" w:eastAsia="zh-CN"/>
                    </w:rPr>
                  </w:pPr>
                </w:p>
              </w:tc>
              <w:tc>
                <w:tcPr>
                  <w:tcW w:w="952" w:type="dxa"/>
                  <w:vMerge w:val="continue"/>
                  <w:tcBorders>
                    <w:tl2br w:val="nil"/>
                    <w:tr2bl w:val="nil"/>
                  </w:tcBorders>
                  <w:vAlign w:val="center"/>
                </w:tcPr>
                <w:p w14:paraId="2DB6A452">
                  <w:pPr>
                    <w:spacing w:line="240" w:lineRule="auto"/>
                    <w:jc w:val="center"/>
                    <w:rPr>
                      <w:rFonts w:hint="default" w:ascii="Times New Roman" w:hAnsi="Times New Roman" w:cs="Times New Roman" w:eastAsiaTheme="minorEastAsia"/>
                      <w:color w:val="auto"/>
                      <w:sz w:val="21"/>
                      <w:szCs w:val="21"/>
                      <w:lang w:val="en-US" w:eastAsia="zh-CN"/>
                    </w:rPr>
                  </w:pPr>
                </w:p>
              </w:tc>
              <w:tc>
                <w:tcPr>
                  <w:tcW w:w="1017" w:type="dxa"/>
                  <w:tcBorders>
                    <w:tl2br w:val="nil"/>
                    <w:tr2bl w:val="nil"/>
                  </w:tcBorders>
                  <w:vAlign w:val="center"/>
                </w:tcPr>
                <w:p w14:paraId="3D44284F">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包装袋</w:t>
                  </w:r>
                </w:p>
              </w:tc>
              <w:tc>
                <w:tcPr>
                  <w:tcW w:w="1017" w:type="dxa"/>
                  <w:vMerge w:val="continue"/>
                  <w:tcBorders>
                    <w:tl2br w:val="nil"/>
                    <w:tr2bl w:val="nil"/>
                  </w:tcBorders>
                  <w:vAlign w:val="center"/>
                </w:tcPr>
                <w:p w14:paraId="0227A87C">
                  <w:pPr>
                    <w:spacing w:line="240" w:lineRule="auto"/>
                    <w:jc w:val="center"/>
                    <w:rPr>
                      <w:rFonts w:hint="default" w:ascii="Times New Roman" w:hAnsi="Times New Roman" w:cs="Times New Roman" w:eastAsiaTheme="minorEastAsia"/>
                      <w:color w:val="auto"/>
                      <w:sz w:val="21"/>
                      <w:szCs w:val="21"/>
                      <w:lang w:val="en-US" w:eastAsia="zh-CN"/>
                    </w:rPr>
                  </w:pPr>
                </w:p>
              </w:tc>
            </w:tr>
            <w:tr w14:paraId="58F5C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00" w:type="dxa"/>
                  <w:vMerge w:val="continue"/>
                  <w:tcBorders>
                    <w:tl2br w:val="nil"/>
                    <w:tr2bl w:val="nil"/>
                  </w:tcBorders>
                  <w:vAlign w:val="center"/>
                </w:tcPr>
                <w:p w14:paraId="2EB03453">
                  <w:pPr>
                    <w:spacing w:line="240" w:lineRule="auto"/>
                    <w:jc w:val="center"/>
                    <w:rPr>
                      <w:rFonts w:hint="default" w:ascii="Times New Roman" w:hAnsi="Times New Roman" w:cs="Times New Roman" w:eastAsiaTheme="minorEastAsia"/>
                      <w:color w:val="auto"/>
                      <w:sz w:val="21"/>
                      <w:szCs w:val="21"/>
                      <w:lang w:val="en-US" w:eastAsia="zh-CN"/>
                    </w:rPr>
                  </w:pPr>
                </w:p>
              </w:tc>
              <w:tc>
                <w:tcPr>
                  <w:tcW w:w="1068" w:type="dxa"/>
                  <w:tcBorders>
                    <w:tl2br w:val="nil"/>
                    <w:tr2bl w:val="nil"/>
                  </w:tcBorders>
                  <w:vAlign w:val="center"/>
                </w:tcPr>
                <w:p w14:paraId="09CE1C48">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废活性炭</w:t>
                  </w:r>
                </w:p>
              </w:tc>
              <w:tc>
                <w:tcPr>
                  <w:tcW w:w="893" w:type="dxa"/>
                  <w:tcBorders>
                    <w:tl2br w:val="nil"/>
                    <w:tr2bl w:val="nil"/>
                  </w:tcBorders>
                  <w:vAlign w:val="center"/>
                </w:tcPr>
                <w:p w14:paraId="7458241B">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HW49</w:t>
                  </w:r>
                </w:p>
              </w:tc>
              <w:tc>
                <w:tcPr>
                  <w:tcW w:w="1196" w:type="dxa"/>
                  <w:tcBorders>
                    <w:tl2br w:val="nil"/>
                    <w:tr2bl w:val="nil"/>
                  </w:tcBorders>
                  <w:vAlign w:val="center"/>
                </w:tcPr>
                <w:p w14:paraId="21C5E39C">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900-0</w:t>
                  </w:r>
                  <w:r>
                    <w:rPr>
                      <w:rFonts w:hint="eastAsia" w:ascii="Times New Roman" w:hAnsi="Times New Roman" w:cs="Times New Roman" w:eastAsiaTheme="minorEastAsia"/>
                      <w:color w:val="auto"/>
                      <w:sz w:val="21"/>
                      <w:szCs w:val="21"/>
                      <w:lang w:val="en-US" w:eastAsia="zh-CN"/>
                    </w:rPr>
                    <w:t>39</w:t>
                  </w:r>
                  <w:r>
                    <w:rPr>
                      <w:rFonts w:hint="default" w:ascii="Times New Roman" w:hAnsi="Times New Roman" w:cs="Times New Roman" w:eastAsiaTheme="minorEastAsia"/>
                      <w:color w:val="auto"/>
                      <w:sz w:val="21"/>
                      <w:szCs w:val="21"/>
                    </w:rPr>
                    <w:t>-49</w:t>
                  </w:r>
                </w:p>
              </w:tc>
              <w:tc>
                <w:tcPr>
                  <w:tcW w:w="1101" w:type="dxa"/>
                  <w:vMerge w:val="continue"/>
                  <w:tcBorders>
                    <w:tl2br w:val="nil"/>
                    <w:tr2bl w:val="nil"/>
                  </w:tcBorders>
                  <w:vAlign w:val="center"/>
                </w:tcPr>
                <w:p w14:paraId="3220F35F">
                  <w:pPr>
                    <w:spacing w:line="240" w:lineRule="auto"/>
                    <w:jc w:val="center"/>
                    <w:rPr>
                      <w:rFonts w:hint="default" w:ascii="Times New Roman" w:hAnsi="Times New Roman" w:cs="Times New Roman" w:eastAsiaTheme="minorEastAsia"/>
                      <w:color w:val="auto"/>
                      <w:sz w:val="21"/>
                      <w:szCs w:val="21"/>
                      <w:lang w:val="en-US" w:eastAsia="zh-CN"/>
                    </w:rPr>
                  </w:pPr>
                </w:p>
              </w:tc>
              <w:tc>
                <w:tcPr>
                  <w:tcW w:w="952" w:type="dxa"/>
                  <w:vMerge w:val="continue"/>
                  <w:tcBorders>
                    <w:tl2br w:val="nil"/>
                    <w:tr2bl w:val="nil"/>
                  </w:tcBorders>
                  <w:vAlign w:val="center"/>
                </w:tcPr>
                <w:p w14:paraId="78FBF588">
                  <w:pPr>
                    <w:spacing w:line="240" w:lineRule="auto"/>
                    <w:jc w:val="center"/>
                    <w:rPr>
                      <w:rFonts w:hint="default" w:ascii="Times New Roman" w:hAnsi="Times New Roman" w:cs="Times New Roman" w:eastAsiaTheme="minorEastAsia"/>
                      <w:color w:val="auto"/>
                      <w:sz w:val="21"/>
                      <w:szCs w:val="21"/>
                      <w:lang w:val="en-US" w:eastAsia="zh-CN"/>
                    </w:rPr>
                  </w:pPr>
                </w:p>
              </w:tc>
              <w:tc>
                <w:tcPr>
                  <w:tcW w:w="1017" w:type="dxa"/>
                  <w:tcBorders>
                    <w:tl2br w:val="nil"/>
                    <w:tr2bl w:val="nil"/>
                  </w:tcBorders>
                  <w:vAlign w:val="center"/>
                </w:tcPr>
                <w:p w14:paraId="4B9A8A47">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包装袋</w:t>
                  </w:r>
                </w:p>
              </w:tc>
              <w:tc>
                <w:tcPr>
                  <w:tcW w:w="1017" w:type="dxa"/>
                  <w:vMerge w:val="continue"/>
                  <w:tcBorders>
                    <w:tl2br w:val="nil"/>
                    <w:tr2bl w:val="nil"/>
                  </w:tcBorders>
                  <w:vAlign w:val="center"/>
                </w:tcPr>
                <w:p w14:paraId="381EA540">
                  <w:pPr>
                    <w:spacing w:line="240" w:lineRule="auto"/>
                    <w:jc w:val="center"/>
                    <w:rPr>
                      <w:rFonts w:hint="default" w:ascii="Times New Roman" w:hAnsi="Times New Roman" w:cs="Times New Roman" w:eastAsiaTheme="minorEastAsia"/>
                      <w:color w:val="auto"/>
                      <w:sz w:val="21"/>
                      <w:szCs w:val="21"/>
                      <w:lang w:val="en-US" w:eastAsia="zh-CN"/>
                    </w:rPr>
                  </w:pPr>
                </w:p>
              </w:tc>
            </w:tr>
            <w:tr w14:paraId="00E8F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vAlign w:val="center"/>
                </w:tcPr>
                <w:p w14:paraId="6213CFD1">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cs="Times New Roman" w:eastAsiaTheme="minorEastAsia"/>
                      <w:b w:val="0"/>
                      <w:bCs w:val="0"/>
                      <w:sz w:val="21"/>
                      <w:szCs w:val="21"/>
                      <w:vertAlign w:val="baseline"/>
                      <w:lang w:val="en-US" w:eastAsia="zh-CN"/>
                    </w:rPr>
                    <w:t>储存罐（危废暂存点）</w:t>
                  </w:r>
                </w:p>
              </w:tc>
              <w:tc>
                <w:tcPr>
                  <w:tcW w:w="1068" w:type="dxa"/>
                  <w:tcBorders>
                    <w:tl2br w:val="nil"/>
                    <w:tr2bl w:val="nil"/>
                  </w:tcBorders>
                  <w:vAlign w:val="center"/>
                </w:tcPr>
                <w:p w14:paraId="3C04663B">
                  <w:pPr>
                    <w:snapToGri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废液</w:t>
                  </w:r>
                </w:p>
              </w:tc>
              <w:tc>
                <w:tcPr>
                  <w:tcW w:w="893" w:type="dxa"/>
                  <w:tcBorders>
                    <w:tl2br w:val="nil"/>
                    <w:tr2bl w:val="nil"/>
                  </w:tcBorders>
                  <w:vAlign w:val="center"/>
                </w:tcPr>
                <w:p w14:paraId="25DB1313">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rPr>
                    <w:t>HW49</w:t>
                  </w:r>
                </w:p>
              </w:tc>
              <w:tc>
                <w:tcPr>
                  <w:tcW w:w="1196" w:type="dxa"/>
                  <w:tcBorders>
                    <w:tl2br w:val="nil"/>
                    <w:tr2bl w:val="nil"/>
                  </w:tcBorders>
                  <w:vAlign w:val="center"/>
                </w:tcPr>
                <w:p w14:paraId="3A6E9758">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sz w:val="21"/>
                      <w:szCs w:val="21"/>
                    </w:rPr>
                    <w:t>900-04</w:t>
                  </w:r>
                  <w:r>
                    <w:rPr>
                      <w:rFonts w:hint="default"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rPr>
                    <w:t>-49</w:t>
                  </w:r>
                </w:p>
              </w:tc>
              <w:tc>
                <w:tcPr>
                  <w:tcW w:w="1101" w:type="dxa"/>
                  <w:tcBorders>
                    <w:tl2br w:val="nil"/>
                    <w:tr2bl w:val="nil"/>
                  </w:tcBorders>
                  <w:vAlign w:val="center"/>
                </w:tcPr>
                <w:p w14:paraId="496DC5C9">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车间外一楼北侧</w:t>
                  </w:r>
                </w:p>
              </w:tc>
              <w:tc>
                <w:tcPr>
                  <w:tcW w:w="952" w:type="dxa"/>
                  <w:tcBorders>
                    <w:tl2br w:val="nil"/>
                    <w:tr2bl w:val="nil"/>
                  </w:tcBorders>
                  <w:vAlign w:val="center"/>
                </w:tcPr>
                <w:p w14:paraId="685FB08C">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p>
              </w:tc>
              <w:tc>
                <w:tcPr>
                  <w:tcW w:w="1017" w:type="dxa"/>
                  <w:tcBorders>
                    <w:tl2br w:val="nil"/>
                    <w:tr2bl w:val="nil"/>
                  </w:tcBorders>
                  <w:vAlign w:val="center"/>
                </w:tcPr>
                <w:p w14:paraId="6F63811B">
                  <w:pPr>
                    <w:spacing w:line="240" w:lineRule="auto"/>
                    <w:jc w:val="center"/>
                    <w:rPr>
                      <w:rFonts w:hint="default" w:ascii="Times New Roman" w:hAnsi="Times New Roman" w:cs="Times New Roman" w:eastAsiaTheme="minorEastAsia"/>
                      <w:b w:val="0"/>
                      <w:bCs w:val="0"/>
                      <w:sz w:val="21"/>
                      <w:szCs w:val="21"/>
                      <w:vertAlign w:val="baseline"/>
                      <w:lang w:val="en-US" w:eastAsia="zh-CN"/>
                    </w:rPr>
                  </w:pPr>
                  <w:r>
                    <w:rPr>
                      <w:rFonts w:hint="eastAsia" w:cs="Times New Roman" w:eastAsiaTheme="minorEastAsia"/>
                      <w:b w:val="0"/>
                      <w:bCs w:val="0"/>
                      <w:sz w:val="21"/>
                      <w:szCs w:val="21"/>
                      <w:vertAlign w:val="baseline"/>
                      <w:lang w:val="en-US" w:eastAsia="zh-CN"/>
                    </w:rPr>
                    <w:t>储存罐</w:t>
                  </w:r>
                  <w:r>
                    <w:rPr>
                      <w:rFonts w:hint="default" w:ascii="Times New Roman" w:hAnsi="Times New Roman" w:cs="Times New Roman" w:eastAsiaTheme="minorEastAsia"/>
                      <w:b w:val="0"/>
                      <w:bCs w:val="0"/>
                      <w:sz w:val="21"/>
                      <w:szCs w:val="21"/>
                      <w:vertAlign w:val="baseline"/>
                      <w:lang w:val="en-US" w:eastAsia="zh-CN"/>
                    </w:rPr>
                    <w:t>内</w:t>
                  </w:r>
                </w:p>
              </w:tc>
              <w:tc>
                <w:tcPr>
                  <w:tcW w:w="1017" w:type="dxa"/>
                  <w:vMerge w:val="continue"/>
                  <w:tcBorders>
                    <w:tl2br w:val="nil"/>
                    <w:tr2bl w:val="nil"/>
                  </w:tcBorders>
                  <w:vAlign w:val="center"/>
                </w:tcPr>
                <w:p w14:paraId="29DE7BB8">
                  <w:pPr>
                    <w:spacing w:line="240" w:lineRule="auto"/>
                    <w:jc w:val="center"/>
                    <w:rPr>
                      <w:rFonts w:hint="default" w:ascii="Times New Roman" w:hAnsi="Times New Roman" w:cs="Times New Roman" w:eastAsiaTheme="minorEastAsia"/>
                      <w:b w:val="0"/>
                      <w:bCs w:val="0"/>
                      <w:sz w:val="21"/>
                      <w:szCs w:val="21"/>
                      <w:vertAlign w:val="baseline"/>
                      <w:lang w:val="en-US" w:eastAsia="zh-CN"/>
                    </w:rPr>
                  </w:pPr>
                </w:p>
              </w:tc>
            </w:tr>
          </w:tbl>
          <w:p w14:paraId="6090B533">
            <w:pPr>
              <w:keepNext w:val="0"/>
              <w:keepLines w:val="0"/>
              <w:pageBreakBefore w:val="0"/>
              <w:tabs>
                <w:tab w:val="left" w:pos="1684"/>
              </w:tabs>
              <w:kinsoku/>
              <w:wordWrap/>
              <w:overflowPunct/>
              <w:topLinePunct w:val="0"/>
              <w:autoSpaceDE/>
              <w:autoSpaceDN/>
              <w:bidi w:val="0"/>
              <w:adjustRightInd/>
              <w:spacing w:line="480" w:lineRule="exact"/>
              <w:textAlignment w:val="auto"/>
              <w:rPr>
                <w:b/>
                <w:bCs/>
                <w:color w:val="auto"/>
                <w:sz w:val="24"/>
                <w:szCs w:val="24"/>
              </w:rPr>
            </w:pPr>
            <w:r>
              <w:rPr>
                <w:b/>
                <w:bCs/>
                <w:color w:val="auto"/>
                <w:sz w:val="24"/>
                <w:szCs w:val="24"/>
              </w:rPr>
              <w:t>4.4环境管理要求</w:t>
            </w:r>
          </w:p>
          <w:p w14:paraId="55D39719">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w:t>
            </w:r>
            <w:r>
              <w:rPr>
                <w:rFonts w:hint="eastAsia"/>
                <w:color w:val="auto"/>
                <w:sz w:val="24"/>
                <w:szCs w:val="24"/>
                <w:lang w:val="en-US" w:eastAsia="zh-CN"/>
              </w:rPr>
              <w:t>1</w:t>
            </w:r>
            <w:r>
              <w:rPr>
                <w:color w:val="auto"/>
                <w:sz w:val="24"/>
                <w:szCs w:val="24"/>
                <w:lang w:val="en-US" w:eastAsia="zh-CN"/>
              </w:rPr>
              <w:t>）一般固废贮存要求</w:t>
            </w:r>
          </w:p>
          <w:p w14:paraId="73B5A592">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000000" w:themeColor="text1"/>
                <w:sz w:val="24"/>
                <w:szCs w:val="24"/>
                <w:lang w:val="en-US" w:eastAsia="zh-CN"/>
                <w14:textFill>
                  <w14:solidFill>
                    <w14:schemeClr w14:val="tx1"/>
                  </w14:solidFill>
                </w14:textFill>
              </w:rPr>
              <w:t>一般工业废物贮存场所一般固废贮存于一般固废堆场，定期交由相关单位综合利用。一般固体废物暂存场所占地按照《一般工业固体废物贮存、处置场污染控制标准》（GB18599-2020）、《环境保护图形标志-固体废物贮存（处置场）》（GB15562.2-1995）相关要求进行建设，底层铺设10cm厚成品水泥混凝土，中层铺设5cm厚的成品普通防腐水泥，渗透系数小于1.0×10-7cm/s，满足防渗要求</w:t>
            </w:r>
            <w:r>
              <w:rPr>
                <w:color w:val="auto"/>
                <w:sz w:val="24"/>
                <w:szCs w:val="24"/>
                <w:lang w:val="en-US" w:eastAsia="zh-CN"/>
              </w:rPr>
              <w:t>。</w:t>
            </w:r>
          </w:p>
          <w:p w14:paraId="68F5C0CA">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w:t>
            </w:r>
            <w:r>
              <w:rPr>
                <w:rFonts w:hint="eastAsia"/>
                <w:color w:val="auto"/>
                <w:sz w:val="24"/>
                <w:szCs w:val="24"/>
                <w:lang w:val="en-US" w:eastAsia="zh-CN"/>
              </w:rPr>
              <w:t>2</w:t>
            </w:r>
            <w:r>
              <w:rPr>
                <w:color w:val="auto"/>
                <w:sz w:val="24"/>
                <w:szCs w:val="24"/>
                <w:lang w:val="en-US" w:eastAsia="zh-CN"/>
              </w:rPr>
              <w:t>）危险废物相关要求</w:t>
            </w:r>
          </w:p>
          <w:p w14:paraId="7774EEC0">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①</w:t>
            </w:r>
            <w:r>
              <w:rPr>
                <w:color w:val="auto"/>
                <w:sz w:val="24"/>
                <w:szCs w:val="24"/>
                <w:lang w:val="en-US" w:eastAsia="zh-CN"/>
              </w:rPr>
              <w:t>根据</w:t>
            </w:r>
            <w:r>
              <w:rPr>
                <w:rFonts w:hint="eastAsia"/>
                <w:color w:val="auto"/>
                <w:sz w:val="24"/>
                <w:szCs w:val="24"/>
                <w:lang w:val="en-US" w:eastAsia="zh-CN"/>
              </w:rPr>
              <w:t>省生态环境厅关于印发《江苏省固体废物全过程环境监管工作意见》的通知（苏环办[2024]16号）</w:t>
            </w:r>
            <w:r>
              <w:rPr>
                <w:color w:val="auto"/>
                <w:sz w:val="24"/>
                <w:szCs w:val="24"/>
                <w:lang w:val="en-US" w:eastAsia="zh-CN"/>
              </w:rPr>
              <w:t>要求：</w:t>
            </w:r>
          </w:p>
          <w:p w14:paraId="33DD6988">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eastAsia"/>
                <w:color w:val="auto"/>
                <w:sz w:val="24"/>
                <w:szCs w:val="24"/>
                <w:lang w:val="en-US" w:eastAsia="zh-CN"/>
              </w:rPr>
            </w:pPr>
            <w:r>
              <w:rPr>
                <w:rFonts w:hint="eastAsia"/>
                <w:color w:val="auto"/>
                <w:sz w:val="24"/>
                <w:szCs w:val="24"/>
                <w:lang w:val="en-US" w:eastAsia="zh-CN"/>
              </w:rPr>
              <w:t>规范贮存管理要求。根据《危险废物贮存污染控制标准》GB18597-2023)，采用危险废物贮存设施进行贮存，符合相应的污染控制标准；同时满足《江苏省危险废物集中收集体系建设工作方案(试行)》（苏环办[2021]290号）中关于贮存周期和贮存量的要求。</w:t>
            </w:r>
          </w:p>
          <w:p w14:paraId="52638C75">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落实信息公开制度。</w:t>
            </w:r>
            <w:r>
              <w:rPr>
                <w:rFonts w:hint="eastAsia"/>
                <w:color w:val="auto"/>
                <w:sz w:val="24"/>
                <w:szCs w:val="24"/>
                <w:lang w:val="en-US" w:eastAsia="zh-CN"/>
              </w:rPr>
              <w:t>危险废物环境重点监管单位要在出入口、设施内部、危险废物运输车辆通道等关键位置设置视频监控并与中控室联网，通过设立公开栏、标志牌等方式，主动公开危险废物产生和利用处置等有关信息。</w:t>
            </w:r>
          </w:p>
          <w:p w14:paraId="450BFEC9">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②</w:t>
            </w:r>
            <w:r>
              <w:rPr>
                <w:rFonts w:hint="eastAsia"/>
                <w:color w:val="auto"/>
                <w:sz w:val="24"/>
                <w:szCs w:val="24"/>
                <w:lang w:val="en-US" w:eastAsia="zh-CN"/>
              </w:rPr>
              <w:t>对</w:t>
            </w:r>
            <w:r>
              <w:rPr>
                <w:color w:val="auto"/>
                <w:sz w:val="24"/>
                <w:szCs w:val="24"/>
                <w:lang w:val="en-US" w:eastAsia="zh-CN"/>
              </w:rPr>
              <w:t>照</w:t>
            </w:r>
            <w:r>
              <w:rPr>
                <w:rFonts w:hint="eastAsia"/>
                <w:color w:val="auto"/>
                <w:sz w:val="24"/>
                <w:szCs w:val="24"/>
                <w:lang w:val="en-US" w:eastAsia="zh-CN"/>
              </w:rPr>
              <w:t>省生态环境厅关于印发《江苏省固体废物全过程环境监管工作意见》的通知（苏环办[2024]16号）</w:t>
            </w:r>
            <w:r>
              <w:rPr>
                <w:color w:val="auto"/>
                <w:sz w:val="24"/>
                <w:szCs w:val="24"/>
                <w:lang w:val="en-US" w:eastAsia="zh-CN"/>
              </w:rPr>
              <w:t>中要求建造，危废仓库应建有堵截泄漏的裙脚，地面与裙脚用坚固防渗的材料建造，有防风、防晒、防雨设施。硬化地面耐腐蚀，地面无裂隙；不相容的危险废物堆放区有隔离间隔断，装载液体、半固体危险废物的容器内留有足够空间，容器顶部与液体表面之间保留100毫米以上的空间。</w:t>
            </w:r>
          </w:p>
          <w:p w14:paraId="6625B163">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③</w:t>
            </w:r>
            <w:r>
              <w:rPr>
                <w:color w:val="auto"/>
                <w:sz w:val="24"/>
                <w:szCs w:val="24"/>
                <w:lang w:val="en-US" w:eastAsia="zh-CN"/>
              </w:rPr>
              <w:t>根据《危险废物贮存污染控制标准》(GB18597-2023），危险废物贮存容器要求如下：</w:t>
            </w:r>
          </w:p>
          <w:p w14:paraId="0A183961">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a.应当使用符合标准的容器盛装危险废物；</w:t>
            </w:r>
          </w:p>
          <w:p w14:paraId="3393083F">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b.盛装危险废物的容器及材质要满足相应的强度要求；</w:t>
            </w:r>
          </w:p>
          <w:p w14:paraId="46BDE5AB">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c.盛装危险废物的容器必须完好无损；</w:t>
            </w:r>
          </w:p>
          <w:p w14:paraId="0709F7B2">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d.盛装危险废物的容器材质和衬里要与危险废物相容（不相互反应）；</w:t>
            </w:r>
          </w:p>
          <w:p w14:paraId="7D1476EA">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e.液体危险废物可注入开孔直径不超过70毫米并有放气孔的桶中。</w:t>
            </w:r>
          </w:p>
          <w:p w14:paraId="3DEEBFCE">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④</w:t>
            </w:r>
            <w:r>
              <w:rPr>
                <w:color w:val="auto"/>
                <w:sz w:val="24"/>
                <w:szCs w:val="24"/>
                <w:lang w:val="en-US" w:eastAsia="zh-CN"/>
              </w:rPr>
              <w:t>根据《危险废物收集、贮存、运输技术规范》，本公司</w:t>
            </w:r>
            <w:r>
              <w:rPr>
                <w:rFonts w:hint="eastAsia"/>
                <w:color w:val="auto"/>
                <w:sz w:val="24"/>
                <w:szCs w:val="24"/>
                <w:lang w:val="en-US" w:eastAsia="zh-CN"/>
              </w:rPr>
              <w:t>生产</w:t>
            </w:r>
            <w:r>
              <w:rPr>
                <w:color w:val="auto"/>
                <w:sz w:val="24"/>
                <w:szCs w:val="24"/>
                <w:lang w:val="en-US" w:eastAsia="zh-CN"/>
              </w:rPr>
              <w:t>过程中产生的危险废物转移按照《危险废物转移联单管理办法》执行；危险废物应储存在适当的包装容器内并储存于危废库房内，具体包装应符合如下要求</w:t>
            </w:r>
            <w:r>
              <w:rPr>
                <w:rFonts w:hint="eastAsia"/>
                <w:color w:val="auto"/>
                <w:sz w:val="24"/>
                <w:szCs w:val="24"/>
                <w:lang w:val="en-US" w:eastAsia="zh-CN"/>
              </w:rPr>
              <w:t>；</w:t>
            </w:r>
          </w:p>
          <w:p w14:paraId="0D573CC9">
            <w:pPr>
              <w:pStyle w:val="7"/>
              <w:keepNext w:val="0"/>
              <w:keepLines w:val="0"/>
              <w:pageBreakBefore w:val="0"/>
              <w:widowControl/>
              <w:numPr>
                <w:ilvl w:val="0"/>
                <w:numId w:val="16"/>
              </w:numPr>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包装材质要与危险废物相容，可根据废物特性选择钢、铝、塑料等材质；</w:t>
            </w:r>
          </w:p>
          <w:p w14:paraId="3A5D095E">
            <w:pPr>
              <w:pStyle w:val="7"/>
              <w:keepNext w:val="0"/>
              <w:keepLines w:val="0"/>
              <w:pageBreakBefore w:val="0"/>
              <w:widowControl/>
              <w:numPr>
                <w:ilvl w:val="0"/>
                <w:numId w:val="16"/>
              </w:numPr>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性质类似的废物可收集到同一容器中，性质不相容的危险废物不应混合包装；</w:t>
            </w:r>
          </w:p>
          <w:p w14:paraId="54E719C0">
            <w:pPr>
              <w:pStyle w:val="7"/>
              <w:keepNext w:val="0"/>
              <w:keepLines w:val="0"/>
              <w:pageBreakBefore w:val="0"/>
              <w:widowControl/>
              <w:numPr>
                <w:ilvl w:val="0"/>
                <w:numId w:val="16"/>
              </w:numPr>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危险废物包装应能有效隔断危险废物迁移扩散途径，并达到防渗、防漏要求；</w:t>
            </w:r>
          </w:p>
          <w:p w14:paraId="728DBC2D">
            <w:pPr>
              <w:pStyle w:val="7"/>
              <w:keepNext w:val="0"/>
              <w:keepLines w:val="0"/>
              <w:pageBreakBefore w:val="0"/>
              <w:widowControl/>
              <w:numPr>
                <w:ilvl w:val="0"/>
                <w:numId w:val="16"/>
              </w:numPr>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包装好的危险废物应设置相应的标签，标签信息应填写完整</w:t>
            </w:r>
            <w:r>
              <w:rPr>
                <w:rFonts w:hint="eastAsia"/>
                <w:color w:val="auto"/>
                <w:sz w:val="24"/>
                <w:szCs w:val="24"/>
                <w:lang w:val="en-US" w:eastAsia="zh-CN"/>
              </w:rPr>
              <w:t>详实</w:t>
            </w:r>
            <w:r>
              <w:rPr>
                <w:color w:val="auto"/>
                <w:sz w:val="24"/>
                <w:szCs w:val="24"/>
                <w:lang w:val="en-US" w:eastAsia="zh-CN"/>
              </w:rPr>
              <w:t>；</w:t>
            </w:r>
          </w:p>
          <w:p w14:paraId="01BBEA7E">
            <w:pPr>
              <w:pStyle w:val="7"/>
              <w:keepNext w:val="0"/>
              <w:keepLines w:val="0"/>
              <w:pageBreakBefore w:val="0"/>
              <w:widowControl/>
              <w:numPr>
                <w:ilvl w:val="0"/>
                <w:numId w:val="16"/>
              </w:numPr>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盛装过危险废物的包装袋或包装容器破损后应按危险废物进行管理和处置；</w:t>
            </w:r>
          </w:p>
          <w:p w14:paraId="4647A713">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危险废物还应根据GB 12463的有关要求进行运输包装。</w:t>
            </w:r>
          </w:p>
          <w:p w14:paraId="29FBD139">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⑤</w:t>
            </w:r>
            <w:r>
              <w:rPr>
                <w:color w:val="auto"/>
                <w:sz w:val="24"/>
                <w:szCs w:val="24"/>
                <w:lang w:val="en-US" w:eastAsia="zh-CN"/>
              </w:rPr>
              <w:t>根据《省生态环境厅关于印发江苏省危险废物贮存规范化管理专项整治行动方案的通知》（苏环办[2019]149号）：</w:t>
            </w:r>
          </w:p>
          <w:p w14:paraId="231DF528">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在贮存设施建设方面：在明显位置按照《环境保护图形标志固体废物贮存(处置)场》(GB 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w:t>
            </w:r>
          </w:p>
          <w:p w14:paraId="0F6538E8">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在管理制度落实方面：建立规范的危险废物贮存台账，如实记录废物名称、种类、数量、来源、出入库时间、去向、交接人签字等内容。</w:t>
            </w:r>
          </w:p>
          <w:p w14:paraId="35CF3010">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⑥</w:t>
            </w:r>
            <w:r>
              <w:rPr>
                <w:color w:val="auto"/>
                <w:sz w:val="24"/>
                <w:szCs w:val="24"/>
                <w:lang w:val="en-US" w:eastAsia="zh-CN"/>
              </w:rPr>
              <w:t>危险废物处理过程要求</w:t>
            </w:r>
          </w:p>
          <w:p w14:paraId="08E5B121">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a.项目在危险废物的转移时，按有关规定签订危险废物转移单，并需得到有关环境行政主管部门的批准。同时，在危险固废转移前，要设立专门场地严格按要求保存，不得随意堆放，防止对周围环境造成影响。</w:t>
            </w:r>
          </w:p>
          <w:p w14:paraId="7E0F7391">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b.处置单位应严格按照有关处置规定对废物进行处置，不得产生二次污染。</w:t>
            </w:r>
          </w:p>
          <w:p w14:paraId="5603E388">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因此，采取以上措施后，本项目产生的各种固体废物均得到了有效处理，不会造成二次污染，从环保角度考虑，固体废物防治措施可行。</w:t>
            </w:r>
          </w:p>
          <w:p w14:paraId="5874BBD2">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⑦</w:t>
            </w:r>
            <w:r>
              <w:rPr>
                <w:color w:val="auto"/>
                <w:sz w:val="24"/>
                <w:szCs w:val="24"/>
                <w:lang w:val="en-US" w:eastAsia="zh-CN"/>
              </w:rPr>
              <w:t>危险废物运输时的中转、装卸过程应遵守以下技术要求：</w:t>
            </w:r>
          </w:p>
          <w:p w14:paraId="04231025">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卸货区的工作人员应熟悉废物的危险特性，并配备适当的个人防护装备，装卸剧毒废物应配备特殊的防护装备。</w:t>
            </w:r>
          </w:p>
          <w:p w14:paraId="5CDA322D">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装卸区应配备必要的消防设备和设施，并设置明显的指示标志。</w:t>
            </w:r>
          </w:p>
          <w:p w14:paraId="67335710">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危险废物装卸区应设置隔离设施，液态废物卸载区应设置收集槽和缓冲罐。</w:t>
            </w:r>
          </w:p>
          <w:p w14:paraId="5570E0A7">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422ECCEB">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⑧</w:t>
            </w:r>
            <w:r>
              <w:rPr>
                <w:color w:val="auto"/>
                <w:sz w:val="24"/>
                <w:szCs w:val="24"/>
                <w:lang w:val="en-US" w:eastAsia="zh-CN"/>
              </w:rPr>
              <w:t>根据《省生态环境厅关于做好江苏省危险废物全生命周期监控系统上线运行工作的通知》（苏环办[2020]401号）：</w:t>
            </w:r>
          </w:p>
          <w:p w14:paraId="6C9F5926">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本项目</w:t>
            </w:r>
            <w:r>
              <w:rPr>
                <w:rFonts w:hint="eastAsia"/>
                <w:color w:val="auto"/>
                <w:sz w:val="24"/>
                <w:szCs w:val="24"/>
                <w:lang w:val="en-US" w:eastAsia="zh-CN"/>
              </w:rPr>
              <w:t>依托现有一座</w:t>
            </w:r>
            <w:r>
              <w:rPr>
                <w:color w:val="auto"/>
                <w:sz w:val="24"/>
                <w:szCs w:val="24"/>
                <w:lang w:val="en-US" w:eastAsia="zh-CN"/>
              </w:rPr>
              <w:t>危废库房，建设单位需加强自身环境保护主体责任意识，及时通过新系统实时申报危险废物产生、贮存、转移及利用处置等信息，建立包装识别信息化标识，形成组织构架清晰、责任主体明确的危险废物信息化管理体系。</w:t>
            </w:r>
          </w:p>
          <w:p w14:paraId="0DFFBAA2">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⑨</w:t>
            </w:r>
            <w:r>
              <w:rPr>
                <w:color w:val="auto"/>
                <w:sz w:val="24"/>
                <w:szCs w:val="24"/>
                <w:lang w:val="en-US" w:eastAsia="zh-CN"/>
              </w:rPr>
              <w:t>环境管理台账要求</w:t>
            </w:r>
          </w:p>
          <w:p w14:paraId="7AE28F98">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eastAsia"/>
                <w:color w:val="000000" w:themeColor="text1"/>
                <w:sz w:val="24"/>
                <w:szCs w:val="24"/>
                <w:lang w:val="en-US" w:eastAsia="zh-CN"/>
                <w14:textFill>
                  <w14:solidFill>
                    <w14:schemeClr w14:val="tx1"/>
                  </w14:solidFill>
                </w14:textFill>
              </w:rPr>
            </w:pPr>
            <w:r>
              <w:rPr>
                <w:color w:val="auto"/>
                <w:sz w:val="24"/>
                <w:szCs w:val="24"/>
                <w:lang w:val="en-US" w:eastAsia="zh-CN"/>
              </w:rPr>
              <w:t>根据《省生态环境厅关于将排污单位活性炭使用更换纳入排污许可管理的通知》，本项目为涉活性炭吸附排污单位，根据《排污许可管理条例》、《关于印发&lt;重点行业挥发性有机物综合治理方案&gt;的通知》（环大气〔2019〕53号）及《挥发性有机物治理实用手册》中的要求，排污单位应建立环境管理台账记录制度，对吸附剂种类及填装情况，一次性吸附剂更换时间和更换量，再生型吸附剂再生周期、更换情况，废吸附剂储存、处置情况，进行详细记录并妥善保存。环境管理台账记录保存期限不得少于5年。</w:t>
            </w:r>
          </w:p>
          <w:p w14:paraId="782A4C16">
            <w:pPr>
              <w:keepNext w:val="0"/>
              <w:keepLines w:val="0"/>
              <w:pageBreakBefore w:val="0"/>
              <w:kinsoku/>
              <w:wordWrap/>
              <w:overflowPunct/>
              <w:topLinePunct w:val="0"/>
              <w:autoSpaceDE/>
              <w:autoSpaceDN/>
              <w:bidi w:val="0"/>
              <w:adjustRightInd/>
              <w:spacing w:line="480" w:lineRule="exact"/>
              <w:textAlignment w:val="auto"/>
              <w:rPr>
                <w:b/>
                <w:bCs/>
                <w:color w:val="auto"/>
                <w:spacing w:val="-4"/>
                <w:sz w:val="24"/>
                <w:szCs w:val="24"/>
              </w:rPr>
            </w:pPr>
            <w:r>
              <w:rPr>
                <w:b/>
                <w:bCs/>
                <w:color w:val="auto"/>
                <w:spacing w:val="-4"/>
                <w:sz w:val="24"/>
                <w:szCs w:val="24"/>
              </w:rPr>
              <w:t>5、地下水污染防治措施</w:t>
            </w:r>
          </w:p>
          <w:p w14:paraId="1CC5E1D3">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地下水保护应以预防为主，减少污染物进入地下水含水层的</w:t>
            </w:r>
            <w:r>
              <w:rPr>
                <w:rFonts w:hint="eastAsia"/>
                <w:color w:val="auto"/>
                <w:sz w:val="24"/>
                <w:szCs w:val="24"/>
                <w:lang w:val="en-US" w:eastAsia="zh-CN"/>
              </w:rPr>
              <w:t>概</w:t>
            </w:r>
            <w:r>
              <w:rPr>
                <w:color w:val="auto"/>
                <w:sz w:val="24"/>
                <w:szCs w:val="24"/>
                <w:lang w:val="en-US" w:eastAsia="zh-CN"/>
              </w:rPr>
              <w:t>率和途径，并制定和实施地下水监测井长期监测计划，一旦发现地下水遭受污染，应及时采取补救措施。针对本项目可能发生的地下水污染，防治措施按照“源头控制、分区防护、污染监控、应急响应”相结合的原则，从污染物的产生、入渗、扩散、应急响应全方位进行控制。</w:t>
            </w:r>
          </w:p>
          <w:p w14:paraId="5ECFF004">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（1）地下水污染分析</w:t>
            </w:r>
          </w:p>
          <w:p w14:paraId="52395D70">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①</w:t>
            </w:r>
            <w:r>
              <w:rPr>
                <w:color w:val="auto"/>
                <w:sz w:val="24"/>
                <w:szCs w:val="24"/>
                <w:lang w:val="en-US" w:eastAsia="zh-CN"/>
              </w:rPr>
              <w:t>地下水污染源分析</w:t>
            </w:r>
          </w:p>
          <w:p w14:paraId="11E1C2F8">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eastAsia"/>
                <w:color w:val="auto"/>
                <w:sz w:val="24"/>
                <w:szCs w:val="24"/>
                <w:lang w:val="en-US" w:eastAsia="zh-CN"/>
              </w:rPr>
            </w:pPr>
            <w:r>
              <w:rPr>
                <w:color w:val="auto"/>
                <w:sz w:val="24"/>
                <w:szCs w:val="24"/>
                <w:lang w:val="en-US" w:eastAsia="zh-CN"/>
              </w:rPr>
              <w:t>本项目可能造成地下水污染影响的区域为</w:t>
            </w:r>
            <w:r>
              <w:rPr>
                <w:rFonts w:hint="eastAsia"/>
                <w:color w:val="auto"/>
                <w:sz w:val="24"/>
                <w:szCs w:val="24"/>
                <w:lang w:val="en-US" w:eastAsia="zh-CN"/>
              </w:rPr>
              <w:t>废液储存区、生产车间、</w:t>
            </w:r>
            <w:r>
              <w:rPr>
                <w:color w:val="auto"/>
                <w:sz w:val="24"/>
                <w:szCs w:val="24"/>
                <w:lang w:val="en-US" w:eastAsia="zh-CN"/>
              </w:rPr>
              <w:t>危废库房</w:t>
            </w:r>
            <w:r>
              <w:rPr>
                <w:rFonts w:hint="eastAsia"/>
                <w:color w:val="auto"/>
                <w:sz w:val="24"/>
                <w:szCs w:val="24"/>
                <w:lang w:val="en-US" w:eastAsia="zh-CN"/>
              </w:rPr>
              <w:t>和试剂间</w:t>
            </w:r>
            <w:r>
              <w:rPr>
                <w:color w:val="auto"/>
                <w:sz w:val="24"/>
                <w:szCs w:val="24"/>
                <w:lang w:val="en-US" w:eastAsia="zh-CN"/>
              </w:rPr>
              <w:t>。</w:t>
            </w:r>
            <w:r>
              <w:rPr>
                <w:rFonts w:hint="eastAsia"/>
                <w:color w:val="auto"/>
                <w:sz w:val="24"/>
                <w:szCs w:val="24"/>
                <w:lang w:val="en-US" w:eastAsia="zh-CN"/>
              </w:rPr>
              <w:t>可能的污染途径为：在事故状态（即非正常工况）下，则有可能发生物料或废水的渗漏或泄漏，防渗措施破坏等现象，由此造成对 地下水环境的影响。废液储罐破损导致污染物泄漏至土壤并进入地下水。此外，本项目发生火灾事故时，产生的消防废水亦有进入地下水的可能。</w:t>
            </w:r>
          </w:p>
          <w:p w14:paraId="661195E8">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②</w:t>
            </w:r>
            <w:r>
              <w:rPr>
                <w:color w:val="auto"/>
                <w:sz w:val="24"/>
                <w:szCs w:val="24"/>
                <w:lang w:val="en-US" w:eastAsia="zh-CN"/>
              </w:rPr>
              <w:t>地下水污染类型</w:t>
            </w:r>
          </w:p>
          <w:p w14:paraId="55B19C66">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事故情况下，若出现设施故障、管道破裂、防渗层损坏开裂等现象，物料将对地下水造成点源污染，污染物可能下渗至孔隙潜水及承压层中，从而在含水层中运移。</w:t>
            </w:r>
          </w:p>
          <w:p w14:paraId="51DEA5CE">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③</w:t>
            </w:r>
            <w:r>
              <w:rPr>
                <w:color w:val="auto"/>
                <w:sz w:val="24"/>
                <w:szCs w:val="24"/>
                <w:lang w:val="en-US" w:eastAsia="zh-CN"/>
              </w:rPr>
              <w:t>地下水污染途径分析</w:t>
            </w:r>
          </w:p>
          <w:p w14:paraId="22DB3F82">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本项目污染物泄漏后进入地下，首先在包气带中垂直向下迁移，并进入含水层中。污染物进入地下水后，以对流作用和弥散作用为主。另外，污染物在含水层中的迁移行为还包括吸附解析、挥发和生物降解。</w:t>
            </w:r>
          </w:p>
          <w:p w14:paraId="32128AE8">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（2）地下水污染防控措施</w:t>
            </w:r>
          </w:p>
          <w:p w14:paraId="6AA66383">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①</w:t>
            </w:r>
            <w:r>
              <w:rPr>
                <w:color w:val="auto"/>
                <w:sz w:val="24"/>
                <w:szCs w:val="24"/>
                <w:lang w:val="en-US" w:eastAsia="zh-CN"/>
              </w:rPr>
              <w:t>源头控制措施</w:t>
            </w:r>
          </w:p>
          <w:p w14:paraId="5A6E1F06">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各类风险区域具有防泄漏措施及应急处理设施，防止污染物的跑、冒、滴、漏，将污染物泄漏的可能性降到最低限度。对于危废库房周边设地沟、导流槽，确保泄漏物料统一收集至事故池。事故池及其他可能有物料泄漏的区域应做好管线及水池的防渗漏、防腐蚀处理，并应做闭水试验。建立有效的事故废水收集系统，污水和雨水排放口设置雨水截止阀。尽快将地面上的废水收集进入废水收集系统，减少废水在地面上的停留时间并防止废水进入雨水系统进而污染地下水。</w:t>
            </w:r>
          </w:p>
          <w:p w14:paraId="259771D3">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加强废气污染防治措施管理和维护，确保其正常运行，减少气态污染物沉降造成土壤及地下水污染。</w:t>
            </w:r>
          </w:p>
          <w:p w14:paraId="037B91D0">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②</w:t>
            </w:r>
            <w:r>
              <w:rPr>
                <w:color w:val="auto"/>
                <w:sz w:val="24"/>
                <w:szCs w:val="24"/>
                <w:lang w:val="en-US" w:eastAsia="zh-CN"/>
              </w:rPr>
              <w:t>分区防渗措施</w:t>
            </w:r>
          </w:p>
          <w:p w14:paraId="3A0AAB83">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eastAsia"/>
                <w:color w:val="auto"/>
                <w:sz w:val="24"/>
                <w:szCs w:val="24"/>
                <w:lang w:val="en-US" w:eastAsia="zh-CN"/>
              </w:rPr>
            </w:pPr>
            <w:r>
              <w:rPr>
                <w:color w:val="auto"/>
                <w:sz w:val="24"/>
                <w:szCs w:val="24"/>
                <w:lang w:val="en-US" w:eastAsia="zh-CN"/>
              </w:rPr>
              <w:t>根据《环境影响评价技术导则 地下水环境》(HJ 610-2016)，对已颁布污染控制国家标准或防渗技术规范的行业，防渗技术要求按照相应标准或规范执行，故危废库房的防渗技术要求按照《危险废物贮存污染控制标准》(GB18597-2023）要求执行，具体防控措施及措施有效相符性见下表，目前厂区内均按照要求进行分区防渗措施</w:t>
            </w:r>
          </w:p>
          <w:p w14:paraId="42B49338">
            <w:pPr>
              <w:pStyle w:val="7"/>
              <w:spacing w:before="0" w:after="0" w:line="360" w:lineRule="exact"/>
              <w:jc w:val="center"/>
              <w:rPr>
                <w:b/>
                <w:color w:val="auto"/>
                <w:sz w:val="21"/>
                <w:szCs w:val="21"/>
                <w:lang w:val="en-US" w:eastAsia="zh-CN"/>
              </w:rPr>
            </w:pPr>
            <w:r>
              <w:rPr>
                <w:b/>
                <w:color w:val="auto"/>
                <w:sz w:val="21"/>
                <w:szCs w:val="21"/>
                <w:lang w:val="en-US" w:eastAsia="zh-CN"/>
              </w:rPr>
              <w:t>表4-</w:t>
            </w:r>
            <w:r>
              <w:rPr>
                <w:rFonts w:hint="eastAsia"/>
                <w:b/>
                <w:color w:val="auto"/>
                <w:sz w:val="21"/>
                <w:szCs w:val="21"/>
                <w:lang w:val="en-US" w:eastAsia="zh-CN"/>
              </w:rPr>
              <w:t>22</w:t>
            </w:r>
            <w:r>
              <w:rPr>
                <w:b/>
                <w:color w:val="auto"/>
                <w:sz w:val="21"/>
                <w:szCs w:val="21"/>
                <w:lang w:val="en-US" w:eastAsia="zh-CN"/>
              </w:rPr>
              <w:t xml:space="preserve"> 本项目分区防渗方案及防渗措施表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96"/>
              <w:gridCol w:w="1124"/>
              <w:gridCol w:w="3104"/>
              <w:gridCol w:w="3622"/>
            </w:tblGrid>
            <w:tr w14:paraId="4EDE8D1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7" w:type="pct"/>
                  <w:noWrap w:val="0"/>
                  <w:vAlign w:val="center"/>
                </w:tcPr>
                <w:p w14:paraId="20F528F5">
                  <w:pPr>
                    <w:kinsoku w:val="0"/>
                    <w:overflowPunct w:val="0"/>
                    <w:autoSpaceDE w:val="0"/>
                    <w:autoSpaceDN w:val="0"/>
                    <w:adjustRightInd w:val="0"/>
                    <w:spacing w:line="300" w:lineRule="exact"/>
                    <w:ind w:left="54"/>
                    <w:jc w:val="left"/>
                    <w:rPr>
                      <w:b/>
                      <w:bCs/>
                      <w:color w:val="auto"/>
                      <w:kern w:val="0"/>
                      <w:sz w:val="21"/>
                      <w:szCs w:val="21"/>
                    </w:rPr>
                  </w:pPr>
                  <w:r>
                    <w:rPr>
                      <w:b/>
                      <w:bCs/>
                      <w:color w:val="auto"/>
                      <w:kern w:val="0"/>
                      <w:sz w:val="21"/>
                      <w:szCs w:val="21"/>
                    </w:rPr>
                    <w:t>序号</w:t>
                  </w:r>
                </w:p>
              </w:tc>
              <w:tc>
                <w:tcPr>
                  <w:tcW w:w="673" w:type="pct"/>
                  <w:noWrap w:val="0"/>
                  <w:vAlign w:val="center"/>
                </w:tcPr>
                <w:p w14:paraId="69B7D1E3">
                  <w:pPr>
                    <w:kinsoku w:val="0"/>
                    <w:overflowPunct w:val="0"/>
                    <w:autoSpaceDE w:val="0"/>
                    <w:autoSpaceDN w:val="0"/>
                    <w:adjustRightInd w:val="0"/>
                    <w:spacing w:line="300" w:lineRule="exact"/>
                    <w:ind w:left="77"/>
                    <w:jc w:val="center"/>
                    <w:rPr>
                      <w:b/>
                      <w:bCs/>
                      <w:color w:val="auto"/>
                      <w:kern w:val="0"/>
                      <w:sz w:val="21"/>
                      <w:szCs w:val="21"/>
                    </w:rPr>
                  </w:pPr>
                  <w:r>
                    <w:rPr>
                      <w:b/>
                      <w:bCs/>
                      <w:color w:val="auto"/>
                      <w:kern w:val="0"/>
                      <w:sz w:val="21"/>
                      <w:szCs w:val="21"/>
                    </w:rPr>
                    <w:t>防治分区</w:t>
                  </w:r>
                </w:p>
              </w:tc>
              <w:tc>
                <w:tcPr>
                  <w:tcW w:w="1859" w:type="pct"/>
                  <w:noWrap w:val="0"/>
                  <w:vAlign w:val="center"/>
                </w:tcPr>
                <w:p w14:paraId="11B775DC">
                  <w:pPr>
                    <w:kinsoku w:val="0"/>
                    <w:overflowPunct w:val="0"/>
                    <w:autoSpaceDE w:val="0"/>
                    <w:autoSpaceDN w:val="0"/>
                    <w:adjustRightInd w:val="0"/>
                    <w:spacing w:line="300" w:lineRule="exact"/>
                    <w:ind w:left="225"/>
                    <w:jc w:val="center"/>
                    <w:rPr>
                      <w:b/>
                      <w:bCs/>
                      <w:color w:val="auto"/>
                      <w:kern w:val="0"/>
                      <w:sz w:val="21"/>
                      <w:szCs w:val="21"/>
                    </w:rPr>
                  </w:pPr>
                  <w:r>
                    <w:rPr>
                      <w:b/>
                      <w:bCs/>
                      <w:color w:val="auto"/>
                      <w:kern w:val="0"/>
                      <w:sz w:val="21"/>
                      <w:szCs w:val="21"/>
                    </w:rPr>
                    <w:t>分区位置</w:t>
                  </w:r>
                </w:p>
              </w:tc>
              <w:tc>
                <w:tcPr>
                  <w:tcW w:w="2169" w:type="pct"/>
                  <w:noWrap w:val="0"/>
                  <w:vAlign w:val="center"/>
                </w:tcPr>
                <w:p w14:paraId="5AD5340B">
                  <w:pPr>
                    <w:kinsoku w:val="0"/>
                    <w:overflowPunct w:val="0"/>
                    <w:autoSpaceDE w:val="0"/>
                    <w:autoSpaceDN w:val="0"/>
                    <w:adjustRightInd w:val="0"/>
                    <w:spacing w:line="300" w:lineRule="exact"/>
                    <w:ind w:right="5"/>
                    <w:jc w:val="center"/>
                    <w:rPr>
                      <w:b/>
                      <w:bCs/>
                      <w:color w:val="auto"/>
                      <w:kern w:val="0"/>
                      <w:sz w:val="21"/>
                      <w:szCs w:val="21"/>
                    </w:rPr>
                  </w:pPr>
                  <w:r>
                    <w:rPr>
                      <w:b/>
                      <w:bCs/>
                      <w:color w:val="auto"/>
                      <w:kern w:val="0"/>
                      <w:sz w:val="21"/>
                      <w:szCs w:val="21"/>
                    </w:rPr>
                    <w:t>防渗要求</w:t>
                  </w:r>
                </w:p>
              </w:tc>
            </w:tr>
            <w:tr w14:paraId="3ABEC29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7" w:type="pct"/>
                  <w:noWrap w:val="0"/>
                  <w:vAlign w:val="center"/>
                </w:tcPr>
                <w:p w14:paraId="1FC3D44A">
                  <w:pPr>
                    <w:autoSpaceDE w:val="0"/>
                    <w:autoSpaceDN w:val="0"/>
                    <w:adjustRightInd w:val="0"/>
                    <w:spacing w:line="300" w:lineRule="exact"/>
                    <w:jc w:val="center"/>
                    <w:rPr>
                      <w:color w:val="auto"/>
                      <w:kern w:val="0"/>
                      <w:sz w:val="21"/>
                      <w:szCs w:val="21"/>
                    </w:rPr>
                  </w:pPr>
                  <w:r>
                    <w:rPr>
                      <w:color w:val="auto"/>
                      <w:kern w:val="0"/>
                      <w:sz w:val="21"/>
                      <w:szCs w:val="21"/>
                    </w:rPr>
                    <w:t>1</w:t>
                  </w:r>
                </w:p>
              </w:tc>
              <w:tc>
                <w:tcPr>
                  <w:tcW w:w="673" w:type="pct"/>
                  <w:noWrap w:val="0"/>
                  <w:vAlign w:val="center"/>
                </w:tcPr>
                <w:p w14:paraId="7B33A174">
                  <w:pPr>
                    <w:kinsoku w:val="0"/>
                    <w:overflowPunct w:val="0"/>
                    <w:autoSpaceDE w:val="0"/>
                    <w:autoSpaceDN w:val="0"/>
                    <w:adjustRightInd w:val="0"/>
                    <w:spacing w:line="300" w:lineRule="exact"/>
                    <w:ind w:right="75"/>
                    <w:jc w:val="center"/>
                    <w:rPr>
                      <w:color w:val="auto"/>
                      <w:kern w:val="0"/>
                      <w:sz w:val="21"/>
                      <w:szCs w:val="21"/>
                    </w:rPr>
                  </w:pPr>
                  <w:r>
                    <w:rPr>
                      <w:color w:val="auto"/>
                      <w:kern w:val="0"/>
                      <w:sz w:val="21"/>
                      <w:szCs w:val="21"/>
                    </w:rPr>
                    <w:t>重点污染防治区</w:t>
                  </w:r>
                </w:p>
              </w:tc>
              <w:tc>
                <w:tcPr>
                  <w:tcW w:w="1859" w:type="pct"/>
                  <w:noWrap w:val="0"/>
                  <w:vAlign w:val="center"/>
                </w:tcPr>
                <w:p w14:paraId="3A13F2C5">
                  <w:pPr>
                    <w:kinsoku w:val="0"/>
                    <w:overflowPunct w:val="0"/>
                    <w:autoSpaceDE w:val="0"/>
                    <w:autoSpaceDN w:val="0"/>
                    <w:adjustRightInd w:val="0"/>
                    <w:spacing w:line="300" w:lineRule="exact"/>
                    <w:jc w:val="center"/>
                    <w:rPr>
                      <w:rFonts w:hint="default" w:eastAsia="宋体"/>
                      <w:color w:val="auto"/>
                      <w:kern w:val="0"/>
                      <w:sz w:val="21"/>
                      <w:szCs w:val="21"/>
                      <w:lang w:val="en-US" w:eastAsia="zh-CN"/>
                    </w:rPr>
                  </w:pPr>
                  <w:r>
                    <w:rPr>
                      <w:rFonts w:hint="eastAsia"/>
                      <w:color w:val="auto"/>
                      <w:sz w:val="21"/>
                      <w:szCs w:val="21"/>
                      <w:lang w:val="en-US" w:eastAsia="zh-CN"/>
                    </w:rPr>
                    <w:t>危废暂存点（废液储罐）</w:t>
                  </w:r>
                  <w:r>
                    <w:rPr>
                      <w:rFonts w:hint="eastAsia"/>
                      <w:color w:val="auto"/>
                      <w:sz w:val="21"/>
                      <w:szCs w:val="21"/>
                    </w:rPr>
                    <w:t>、</w:t>
                  </w:r>
                  <w:r>
                    <w:rPr>
                      <w:rFonts w:hint="eastAsia"/>
                      <w:color w:val="auto"/>
                      <w:sz w:val="21"/>
                      <w:szCs w:val="21"/>
                      <w:lang w:val="en-US" w:eastAsia="zh-CN"/>
                    </w:rPr>
                    <w:t>生产车间</w:t>
                  </w:r>
                  <w:r>
                    <w:rPr>
                      <w:rFonts w:hint="eastAsia"/>
                      <w:color w:val="auto"/>
                      <w:sz w:val="21"/>
                      <w:szCs w:val="21"/>
                    </w:rPr>
                    <w:t>、</w:t>
                  </w:r>
                  <w:r>
                    <w:rPr>
                      <w:color w:val="auto"/>
                      <w:sz w:val="21"/>
                      <w:szCs w:val="21"/>
                    </w:rPr>
                    <w:t>危废库房</w:t>
                  </w:r>
                  <w:r>
                    <w:rPr>
                      <w:rFonts w:hint="eastAsia"/>
                      <w:color w:val="auto"/>
                      <w:sz w:val="21"/>
                      <w:szCs w:val="21"/>
                      <w:lang w:eastAsia="zh-CN"/>
                    </w:rPr>
                    <w:t>、</w:t>
                  </w:r>
                  <w:r>
                    <w:rPr>
                      <w:rFonts w:hint="eastAsia"/>
                      <w:color w:val="auto"/>
                      <w:sz w:val="21"/>
                      <w:szCs w:val="21"/>
                      <w:lang w:val="en-US" w:eastAsia="zh-CN"/>
                    </w:rPr>
                    <w:t>试剂间、</w:t>
                  </w:r>
                  <w:r>
                    <w:rPr>
                      <w:rFonts w:hint="eastAsia"/>
                      <w:color w:val="000000" w:themeColor="text1"/>
                      <w:sz w:val="21"/>
                      <w:szCs w:val="21"/>
                      <w:lang w:val="en-US" w:eastAsia="zh-CN"/>
                      <w14:textFill>
                        <w14:solidFill>
                          <w14:schemeClr w14:val="tx1"/>
                        </w14:solidFill>
                      </w14:textFill>
                    </w:rPr>
                    <w:t>事故应急池</w:t>
                  </w:r>
                </w:p>
              </w:tc>
              <w:tc>
                <w:tcPr>
                  <w:tcW w:w="2169" w:type="pct"/>
                  <w:noWrap w:val="0"/>
                  <w:vAlign w:val="center"/>
                </w:tcPr>
                <w:p w14:paraId="4966E763">
                  <w:pPr>
                    <w:kinsoku w:val="0"/>
                    <w:overflowPunct w:val="0"/>
                    <w:autoSpaceDE w:val="0"/>
                    <w:autoSpaceDN w:val="0"/>
                    <w:adjustRightInd w:val="0"/>
                    <w:spacing w:line="300" w:lineRule="exact"/>
                    <w:jc w:val="center"/>
                    <w:rPr>
                      <w:color w:val="auto"/>
                      <w:kern w:val="0"/>
                      <w:sz w:val="21"/>
                      <w:szCs w:val="21"/>
                    </w:rPr>
                  </w:pPr>
                  <w:r>
                    <w:rPr>
                      <w:color w:val="auto"/>
                      <w:spacing w:val="-11"/>
                      <w:kern w:val="0"/>
                      <w:sz w:val="21"/>
                      <w:szCs w:val="21"/>
                    </w:rPr>
                    <w:t>依</w:t>
                  </w:r>
                  <w:r>
                    <w:rPr>
                      <w:color w:val="auto"/>
                      <w:spacing w:val="-11"/>
                      <w:sz w:val="21"/>
                      <w:szCs w:val="21"/>
                    </w:rPr>
                    <w:t>据《危险废物贮存污染控制标准》(GB18597-2023）进行防腐、防渗处理</w:t>
                  </w:r>
                </w:p>
              </w:tc>
            </w:tr>
            <w:tr w14:paraId="323587A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7" w:type="pct"/>
                  <w:noWrap w:val="0"/>
                  <w:vAlign w:val="center"/>
                </w:tcPr>
                <w:p w14:paraId="4E843EC0">
                  <w:pPr>
                    <w:kinsoku w:val="0"/>
                    <w:overflowPunct w:val="0"/>
                    <w:autoSpaceDE w:val="0"/>
                    <w:autoSpaceDN w:val="0"/>
                    <w:adjustRightInd w:val="0"/>
                    <w:spacing w:line="300" w:lineRule="exact"/>
                    <w:ind w:left="3"/>
                    <w:jc w:val="center"/>
                    <w:rPr>
                      <w:color w:val="auto"/>
                      <w:kern w:val="0"/>
                      <w:sz w:val="21"/>
                      <w:szCs w:val="21"/>
                    </w:rPr>
                  </w:pPr>
                  <w:r>
                    <w:rPr>
                      <w:color w:val="auto"/>
                      <w:kern w:val="0"/>
                      <w:sz w:val="21"/>
                      <w:szCs w:val="21"/>
                    </w:rPr>
                    <w:t>2</w:t>
                  </w:r>
                </w:p>
              </w:tc>
              <w:tc>
                <w:tcPr>
                  <w:tcW w:w="673" w:type="pct"/>
                  <w:noWrap w:val="0"/>
                  <w:vAlign w:val="center"/>
                </w:tcPr>
                <w:p w14:paraId="411C8223">
                  <w:pPr>
                    <w:kinsoku w:val="0"/>
                    <w:overflowPunct w:val="0"/>
                    <w:autoSpaceDE w:val="0"/>
                    <w:autoSpaceDN w:val="0"/>
                    <w:adjustRightInd w:val="0"/>
                    <w:spacing w:line="300" w:lineRule="exact"/>
                    <w:ind w:left="166" w:hanging="89"/>
                    <w:jc w:val="center"/>
                    <w:rPr>
                      <w:color w:val="auto"/>
                      <w:kern w:val="0"/>
                      <w:sz w:val="21"/>
                      <w:szCs w:val="21"/>
                    </w:rPr>
                  </w:pPr>
                  <w:r>
                    <w:rPr>
                      <w:color w:val="auto"/>
                      <w:kern w:val="0"/>
                      <w:sz w:val="21"/>
                      <w:szCs w:val="21"/>
                    </w:rPr>
                    <w:t>一般污染</w:t>
                  </w:r>
                </w:p>
                <w:p w14:paraId="14A3A534">
                  <w:pPr>
                    <w:kinsoku w:val="0"/>
                    <w:overflowPunct w:val="0"/>
                    <w:autoSpaceDE w:val="0"/>
                    <w:autoSpaceDN w:val="0"/>
                    <w:adjustRightInd w:val="0"/>
                    <w:spacing w:line="300" w:lineRule="exact"/>
                    <w:ind w:left="166"/>
                    <w:jc w:val="center"/>
                    <w:rPr>
                      <w:color w:val="auto"/>
                      <w:kern w:val="0"/>
                      <w:sz w:val="21"/>
                      <w:szCs w:val="21"/>
                    </w:rPr>
                  </w:pPr>
                  <w:r>
                    <w:rPr>
                      <w:color w:val="auto"/>
                      <w:kern w:val="0"/>
                      <w:sz w:val="21"/>
                      <w:szCs w:val="21"/>
                    </w:rPr>
                    <w:t>防治区</w:t>
                  </w:r>
                </w:p>
              </w:tc>
              <w:tc>
                <w:tcPr>
                  <w:tcW w:w="1859" w:type="pct"/>
                  <w:noWrap w:val="0"/>
                  <w:vAlign w:val="center"/>
                </w:tcPr>
                <w:p w14:paraId="3C141393">
                  <w:pPr>
                    <w:kinsoku w:val="0"/>
                    <w:overflowPunct w:val="0"/>
                    <w:autoSpaceDE w:val="0"/>
                    <w:autoSpaceDN w:val="0"/>
                    <w:adjustRightInd w:val="0"/>
                    <w:spacing w:line="300" w:lineRule="exact"/>
                    <w:ind w:left="45"/>
                    <w:jc w:val="center"/>
                    <w:rPr>
                      <w:rFonts w:hint="default" w:eastAsia="宋体"/>
                      <w:color w:val="auto"/>
                      <w:kern w:val="0"/>
                      <w:sz w:val="21"/>
                      <w:szCs w:val="21"/>
                      <w:lang w:val="en-US" w:eastAsia="zh-CN"/>
                    </w:rPr>
                  </w:pPr>
                  <w:r>
                    <w:rPr>
                      <w:rFonts w:hint="eastAsia"/>
                      <w:color w:val="000000" w:themeColor="text1"/>
                      <w:kern w:val="0"/>
                      <w:sz w:val="21"/>
                      <w:szCs w:val="21"/>
                      <w:lang w:val="en-US" w:eastAsia="zh-CN"/>
                      <w14:textFill>
                        <w14:solidFill>
                          <w14:schemeClr w14:val="tx1"/>
                        </w14:solidFill>
                      </w14:textFill>
                    </w:rPr>
                    <w:t>办公室、一般固废仓库</w:t>
                  </w:r>
                </w:p>
              </w:tc>
              <w:tc>
                <w:tcPr>
                  <w:tcW w:w="2169" w:type="pct"/>
                  <w:noWrap w:val="0"/>
                  <w:vAlign w:val="center"/>
                </w:tcPr>
                <w:p w14:paraId="616CDB2F">
                  <w:pPr>
                    <w:kinsoku w:val="0"/>
                    <w:overflowPunct w:val="0"/>
                    <w:autoSpaceDE w:val="0"/>
                    <w:autoSpaceDN w:val="0"/>
                    <w:adjustRightInd w:val="0"/>
                    <w:spacing w:line="300" w:lineRule="exact"/>
                    <w:jc w:val="center"/>
                    <w:rPr>
                      <w:color w:val="auto"/>
                      <w:kern w:val="0"/>
                      <w:sz w:val="21"/>
                      <w:szCs w:val="21"/>
                    </w:rPr>
                  </w:pPr>
                  <w:r>
                    <w:rPr>
                      <w:color w:val="auto"/>
                      <w:kern w:val="0"/>
                      <w:sz w:val="21"/>
                      <w:szCs w:val="21"/>
                    </w:rPr>
                    <w:t>地面基础防渗和构筑物防渗等级达到渗透系数≤1.0×10</w:t>
                  </w:r>
                  <w:r>
                    <w:rPr>
                      <w:color w:val="auto"/>
                      <w:kern w:val="0"/>
                      <w:sz w:val="21"/>
                      <w:szCs w:val="21"/>
                      <w:vertAlign w:val="superscript"/>
                    </w:rPr>
                    <w:t>-7</w:t>
                  </w:r>
                  <w:r>
                    <w:rPr>
                      <w:color w:val="auto"/>
                      <w:kern w:val="0"/>
                      <w:sz w:val="21"/>
                      <w:szCs w:val="21"/>
                    </w:rPr>
                    <w:t>cm/s，相当于不小于1.5m厚的粘土防护层</w:t>
                  </w:r>
                </w:p>
              </w:tc>
            </w:tr>
          </w:tbl>
          <w:p w14:paraId="255DF6AC">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③</w:t>
            </w:r>
            <w:r>
              <w:rPr>
                <w:color w:val="auto"/>
                <w:sz w:val="24"/>
                <w:szCs w:val="24"/>
                <w:lang w:val="en-US" w:eastAsia="zh-CN"/>
              </w:rPr>
              <w:t>应急响应措施</w:t>
            </w:r>
          </w:p>
          <w:p w14:paraId="25D2CFA8">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制定风险事故应急响应的目的是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74A618AE">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（3）地下水环境影响分析</w:t>
            </w:r>
          </w:p>
          <w:p w14:paraId="2EA51FDE">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本项目可能对地下水产生影响的主要区域在</w:t>
            </w:r>
            <w:r>
              <w:rPr>
                <w:rFonts w:hint="eastAsia"/>
                <w:color w:val="auto"/>
                <w:sz w:val="24"/>
                <w:szCs w:val="24"/>
                <w:lang w:val="en-US" w:eastAsia="zh-CN"/>
              </w:rPr>
              <w:t>废液储存区、生产车间、</w:t>
            </w:r>
            <w:r>
              <w:rPr>
                <w:color w:val="auto"/>
                <w:sz w:val="24"/>
                <w:szCs w:val="24"/>
                <w:lang w:val="en-US" w:eastAsia="zh-CN"/>
              </w:rPr>
              <w:t>危废库房</w:t>
            </w:r>
            <w:r>
              <w:rPr>
                <w:rFonts w:hint="eastAsia"/>
                <w:color w:val="auto"/>
                <w:sz w:val="24"/>
                <w:szCs w:val="24"/>
                <w:lang w:val="en-US" w:eastAsia="zh-CN"/>
              </w:rPr>
              <w:t>和试剂间</w:t>
            </w:r>
            <w:r>
              <w:rPr>
                <w:color w:val="auto"/>
                <w:sz w:val="24"/>
                <w:szCs w:val="24"/>
                <w:lang w:val="en-US" w:eastAsia="zh-CN"/>
              </w:rPr>
              <w:t>，均采取了地下水防渗处理措施。正常生产时车间的跑冒滴漏不会下渗到地下水中。室外管道和阀门的跑冒滴漏水量较小。且本项目用地现状为工业用地，确保各项防渗措施得以落实、加强维护和厂区环境管理的前提下，正常工况下对地下水基本无渗漏，污染较小。</w:t>
            </w:r>
          </w:p>
          <w:p w14:paraId="4D04D54E">
            <w:pPr>
              <w:keepNext w:val="0"/>
              <w:keepLines w:val="0"/>
              <w:pageBreakBefore w:val="0"/>
              <w:kinsoku/>
              <w:wordWrap/>
              <w:overflowPunct/>
              <w:topLinePunct w:val="0"/>
              <w:autoSpaceDE/>
              <w:autoSpaceDN/>
              <w:bidi w:val="0"/>
              <w:adjustRightInd/>
              <w:spacing w:line="480" w:lineRule="exact"/>
              <w:textAlignment w:val="auto"/>
              <w:rPr>
                <w:b/>
                <w:bCs/>
                <w:color w:val="auto"/>
                <w:spacing w:val="-4"/>
                <w:sz w:val="24"/>
                <w:szCs w:val="24"/>
              </w:rPr>
            </w:pPr>
            <w:r>
              <w:rPr>
                <w:b/>
                <w:bCs/>
                <w:color w:val="auto"/>
                <w:spacing w:val="-4"/>
                <w:sz w:val="24"/>
                <w:szCs w:val="24"/>
              </w:rPr>
              <w:t>6、土壤污染防治措施</w:t>
            </w:r>
          </w:p>
          <w:p w14:paraId="63CF0B0B">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（1）土壤污染类型及途径</w:t>
            </w:r>
          </w:p>
          <w:p w14:paraId="5B79B273">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运营期土壤环境影响识别主要针对本项目产生的废气。废气中的主要污染物为非甲烷总烃。根据厂区周边环境，200m范围</w:t>
            </w:r>
            <w:r>
              <w:rPr>
                <w:rFonts w:hint="eastAsia"/>
                <w:color w:val="auto"/>
                <w:sz w:val="24"/>
                <w:szCs w:val="24"/>
                <w:lang w:val="en-US" w:eastAsia="zh-CN"/>
              </w:rPr>
              <w:t>有196m处的元巷村</w:t>
            </w:r>
            <w:r>
              <w:rPr>
                <w:color w:val="auto"/>
                <w:sz w:val="24"/>
                <w:szCs w:val="24"/>
                <w:lang w:val="en-US" w:eastAsia="zh-CN"/>
              </w:rPr>
              <w:t>，本项目土壤环境影响类型与影响途径见表4-</w:t>
            </w:r>
            <w:r>
              <w:rPr>
                <w:rFonts w:hint="eastAsia"/>
                <w:color w:val="auto"/>
                <w:sz w:val="24"/>
                <w:szCs w:val="24"/>
                <w:lang w:val="en-US" w:eastAsia="zh-CN"/>
              </w:rPr>
              <w:t>23</w:t>
            </w:r>
            <w:r>
              <w:rPr>
                <w:color w:val="auto"/>
                <w:sz w:val="24"/>
                <w:szCs w:val="24"/>
                <w:lang w:val="en-US" w:eastAsia="zh-CN"/>
              </w:rPr>
              <w:t>，初步分析可能影响的范围。</w:t>
            </w:r>
          </w:p>
          <w:p w14:paraId="48C1D800">
            <w:pPr>
              <w:pStyle w:val="7"/>
              <w:spacing w:before="0" w:after="0" w:line="360" w:lineRule="exact"/>
              <w:jc w:val="center"/>
              <w:rPr>
                <w:b/>
                <w:color w:val="auto"/>
                <w:sz w:val="21"/>
                <w:szCs w:val="21"/>
                <w:lang w:val="en-US" w:eastAsia="zh-CN"/>
              </w:rPr>
            </w:pPr>
            <w:r>
              <w:rPr>
                <w:b/>
                <w:color w:val="auto"/>
                <w:sz w:val="21"/>
                <w:szCs w:val="21"/>
                <w:lang w:val="en-US" w:eastAsia="zh-CN"/>
              </w:rPr>
              <w:t>表4-</w:t>
            </w:r>
            <w:r>
              <w:rPr>
                <w:rFonts w:hint="eastAsia"/>
                <w:b/>
                <w:color w:val="auto"/>
                <w:sz w:val="21"/>
                <w:szCs w:val="21"/>
                <w:lang w:val="en-US" w:eastAsia="zh-CN"/>
              </w:rPr>
              <w:t>23</w:t>
            </w:r>
            <w:r>
              <w:rPr>
                <w:b/>
                <w:color w:val="auto"/>
                <w:sz w:val="21"/>
                <w:szCs w:val="21"/>
                <w:lang w:val="en-US" w:eastAsia="zh-CN"/>
              </w:rPr>
              <w:t xml:space="preserve"> 本项目土壤环境影响类型与影响途径表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51"/>
              <w:gridCol w:w="1630"/>
              <w:gridCol w:w="1630"/>
              <w:gridCol w:w="1630"/>
              <w:gridCol w:w="1631"/>
            </w:tblGrid>
            <w:tr w14:paraId="496E6E9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451" w:type="dxa"/>
                  <w:vMerge w:val="restart"/>
                  <w:noWrap w:val="0"/>
                  <w:vAlign w:val="center"/>
                </w:tcPr>
                <w:p w14:paraId="61605DCA">
                  <w:pPr>
                    <w:kinsoku w:val="0"/>
                    <w:overflowPunct w:val="0"/>
                    <w:autoSpaceDE w:val="0"/>
                    <w:autoSpaceDN w:val="0"/>
                    <w:adjustRightInd w:val="0"/>
                    <w:spacing w:line="280" w:lineRule="exact"/>
                    <w:ind w:left="54"/>
                    <w:jc w:val="center"/>
                    <w:rPr>
                      <w:b/>
                      <w:bCs/>
                      <w:color w:val="auto"/>
                      <w:kern w:val="0"/>
                      <w:sz w:val="21"/>
                      <w:szCs w:val="21"/>
                    </w:rPr>
                  </w:pPr>
                  <w:r>
                    <w:rPr>
                      <w:b/>
                      <w:bCs/>
                      <w:color w:val="auto"/>
                      <w:kern w:val="0"/>
                      <w:sz w:val="21"/>
                      <w:szCs w:val="21"/>
                    </w:rPr>
                    <w:t>不同时段</w:t>
                  </w:r>
                </w:p>
              </w:tc>
              <w:tc>
                <w:tcPr>
                  <w:tcW w:w="6521" w:type="dxa"/>
                  <w:gridSpan w:val="4"/>
                  <w:noWrap w:val="0"/>
                  <w:vAlign w:val="center"/>
                </w:tcPr>
                <w:p w14:paraId="6976954C">
                  <w:pPr>
                    <w:kinsoku w:val="0"/>
                    <w:overflowPunct w:val="0"/>
                    <w:autoSpaceDE w:val="0"/>
                    <w:autoSpaceDN w:val="0"/>
                    <w:adjustRightInd w:val="0"/>
                    <w:spacing w:line="280" w:lineRule="exact"/>
                    <w:ind w:right="5"/>
                    <w:jc w:val="center"/>
                    <w:rPr>
                      <w:rFonts w:hint="eastAsia" w:eastAsia="宋体"/>
                      <w:b/>
                      <w:bCs/>
                      <w:color w:val="auto"/>
                      <w:kern w:val="0"/>
                      <w:sz w:val="21"/>
                      <w:szCs w:val="21"/>
                      <w:lang w:val="en-US" w:eastAsia="zh-CN"/>
                    </w:rPr>
                  </w:pPr>
                  <w:r>
                    <w:rPr>
                      <w:b/>
                      <w:bCs/>
                      <w:color w:val="auto"/>
                      <w:kern w:val="0"/>
                      <w:sz w:val="21"/>
                      <w:szCs w:val="21"/>
                    </w:rPr>
                    <w:t>污染影响型</w:t>
                  </w:r>
                  <w:r>
                    <w:rPr>
                      <w:rFonts w:hint="eastAsia"/>
                      <w:b/>
                      <w:bCs/>
                      <w:color w:val="auto"/>
                      <w:kern w:val="0"/>
                      <w:sz w:val="21"/>
                      <w:szCs w:val="21"/>
                      <w:lang w:val="en-US" w:eastAsia="zh-CN"/>
                    </w:rPr>
                    <w:t xml:space="preserve"> </w:t>
                  </w:r>
                </w:p>
              </w:tc>
            </w:tr>
            <w:tr w14:paraId="2AEC568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451" w:type="dxa"/>
                  <w:vMerge w:val="continue"/>
                  <w:noWrap w:val="0"/>
                  <w:vAlign w:val="center"/>
                </w:tcPr>
                <w:p w14:paraId="6BC8216F">
                  <w:pPr>
                    <w:autoSpaceDE w:val="0"/>
                    <w:autoSpaceDN w:val="0"/>
                    <w:adjustRightInd w:val="0"/>
                    <w:spacing w:line="280" w:lineRule="exact"/>
                    <w:jc w:val="center"/>
                    <w:rPr>
                      <w:color w:val="auto"/>
                      <w:kern w:val="0"/>
                      <w:sz w:val="21"/>
                      <w:szCs w:val="21"/>
                    </w:rPr>
                  </w:pPr>
                </w:p>
              </w:tc>
              <w:tc>
                <w:tcPr>
                  <w:tcW w:w="1630" w:type="dxa"/>
                  <w:noWrap w:val="0"/>
                  <w:vAlign w:val="center"/>
                </w:tcPr>
                <w:p w14:paraId="10D79DAB">
                  <w:pPr>
                    <w:kinsoku w:val="0"/>
                    <w:overflowPunct w:val="0"/>
                    <w:autoSpaceDE w:val="0"/>
                    <w:autoSpaceDN w:val="0"/>
                    <w:adjustRightInd w:val="0"/>
                    <w:spacing w:line="280" w:lineRule="exact"/>
                    <w:ind w:right="75"/>
                    <w:jc w:val="center"/>
                    <w:rPr>
                      <w:color w:val="auto"/>
                      <w:kern w:val="0"/>
                      <w:sz w:val="21"/>
                      <w:szCs w:val="21"/>
                    </w:rPr>
                  </w:pPr>
                  <w:r>
                    <w:rPr>
                      <w:color w:val="auto"/>
                      <w:kern w:val="0"/>
                      <w:sz w:val="21"/>
                      <w:szCs w:val="21"/>
                    </w:rPr>
                    <w:t>大气沉降</w:t>
                  </w:r>
                </w:p>
              </w:tc>
              <w:tc>
                <w:tcPr>
                  <w:tcW w:w="1630" w:type="dxa"/>
                  <w:noWrap w:val="0"/>
                  <w:vAlign w:val="center"/>
                </w:tcPr>
                <w:p w14:paraId="476F9E29">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地面漫流</w:t>
                  </w:r>
                </w:p>
              </w:tc>
              <w:tc>
                <w:tcPr>
                  <w:tcW w:w="1630" w:type="dxa"/>
                  <w:tcBorders>
                    <w:right w:val="single" w:color="auto" w:sz="4" w:space="0"/>
                  </w:tcBorders>
                  <w:noWrap w:val="0"/>
                  <w:vAlign w:val="center"/>
                </w:tcPr>
                <w:p w14:paraId="2F9E6BD9">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垂直入渗</w:t>
                  </w:r>
                </w:p>
              </w:tc>
              <w:tc>
                <w:tcPr>
                  <w:tcW w:w="1631" w:type="dxa"/>
                  <w:tcBorders>
                    <w:left w:val="single" w:color="auto" w:sz="4" w:space="0"/>
                  </w:tcBorders>
                  <w:noWrap w:val="0"/>
                  <w:vAlign w:val="center"/>
                </w:tcPr>
                <w:p w14:paraId="23E6FC7B">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其他</w:t>
                  </w:r>
                </w:p>
              </w:tc>
            </w:tr>
            <w:tr w14:paraId="374D53F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451" w:type="dxa"/>
                  <w:noWrap w:val="0"/>
                  <w:vAlign w:val="center"/>
                </w:tcPr>
                <w:p w14:paraId="284D3EDF">
                  <w:pPr>
                    <w:kinsoku w:val="0"/>
                    <w:overflowPunct w:val="0"/>
                    <w:autoSpaceDE w:val="0"/>
                    <w:autoSpaceDN w:val="0"/>
                    <w:adjustRightInd w:val="0"/>
                    <w:spacing w:line="280" w:lineRule="exact"/>
                    <w:ind w:left="3"/>
                    <w:jc w:val="center"/>
                    <w:rPr>
                      <w:color w:val="auto"/>
                      <w:kern w:val="0"/>
                      <w:sz w:val="21"/>
                      <w:szCs w:val="21"/>
                    </w:rPr>
                  </w:pPr>
                  <w:r>
                    <w:rPr>
                      <w:color w:val="auto"/>
                      <w:kern w:val="0"/>
                      <w:sz w:val="21"/>
                      <w:szCs w:val="21"/>
                    </w:rPr>
                    <w:t>建设期</w:t>
                  </w:r>
                </w:p>
              </w:tc>
              <w:tc>
                <w:tcPr>
                  <w:tcW w:w="1630" w:type="dxa"/>
                  <w:noWrap w:val="0"/>
                  <w:vAlign w:val="center"/>
                </w:tcPr>
                <w:p w14:paraId="062C09CC">
                  <w:pPr>
                    <w:kinsoku w:val="0"/>
                    <w:overflowPunct w:val="0"/>
                    <w:autoSpaceDE w:val="0"/>
                    <w:autoSpaceDN w:val="0"/>
                    <w:adjustRightInd w:val="0"/>
                    <w:spacing w:line="280" w:lineRule="exact"/>
                    <w:ind w:left="166"/>
                    <w:jc w:val="center"/>
                    <w:rPr>
                      <w:color w:val="auto"/>
                      <w:kern w:val="0"/>
                      <w:sz w:val="21"/>
                      <w:szCs w:val="21"/>
                    </w:rPr>
                  </w:pPr>
                  <w:r>
                    <w:rPr>
                      <w:color w:val="auto"/>
                      <w:kern w:val="0"/>
                      <w:sz w:val="21"/>
                      <w:szCs w:val="21"/>
                    </w:rPr>
                    <w:t>/</w:t>
                  </w:r>
                </w:p>
              </w:tc>
              <w:tc>
                <w:tcPr>
                  <w:tcW w:w="1630" w:type="dxa"/>
                  <w:noWrap w:val="0"/>
                  <w:vAlign w:val="center"/>
                </w:tcPr>
                <w:p w14:paraId="76B30003">
                  <w:pPr>
                    <w:kinsoku w:val="0"/>
                    <w:overflowPunct w:val="0"/>
                    <w:autoSpaceDE w:val="0"/>
                    <w:autoSpaceDN w:val="0"/>
                    <w:adjustRightInd w:val="0"/>
                    <w:spacing w:line="280" w:lineRule="exact"/>
                    <w:ind w:left="45"/>
                    <w:jc w:val="center"/>
                    <w:rPr>
                      <w:color w:val="auto"/>
                      <w:kern w:val="0"/>
                      <w:sz w:val="21"/>
                      <w:szCs w:val="21"/>
                    </w:rPr>
                  </w:pPr>
                  <w:r>
                    <w:rPr>
                      <w:color w:val="auto"/>
                      <w:kern w:val="0"/>
                      <w:sz w:val="21"/>
                      <w:szCs w:val="21"/>
                    </w:rPr>
                    <w:t>/</w:t>
                  </w:r>
                </w:p>
              </w:tc>
              <w:tc>
                <w:tcPr>
                  <w:tcW w:w="1630" w:type="dxa"/>
                  <w:tcBorders>
                    <w:right w:val="single" w:color="auto" w:sz="4" w:space="0"/>
                  </w:tcBorders>
                  <w:noWrap w:val="0"/>
                  <w:vAlign w:val="center"/>
                </w:tcPr>
                <w:p w14:paraId="7E8E63CF">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w:t>
                  </w:r>
                </w:p>
              </w:tc>
              <w:tc>
                <w:tcPr>
                  <w:tcW w:w="1631" w:type="dxa"/>
                  <w:tcBorders>
                    <w:left w:val="single" w:color="auto" w:sz="4" w:space="0"/>
                  </w:tcBorders>
                  <w:noWrap w:val="0"/>
                  <w:vAlign w:val="center"/>
                </w:tcPr>
                <w:p w14:paraId="29FF008C">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w:t>
                  </w:r>
                </w:p>
              </w:tc>
            </w:tr>
            <w:tr w14:paraId="77F9F3B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451" w:type="dxa"/>
                  <w:noWrap w:val="0"/>
                  <w:vAlign w:val="center"/>
                </w:tcPr>
                <w:p w14:paraId="18237D1B">
                  <w:pPr>
                    <w:kinsoku w:val="0"/>
                    <w:overflowPunct w:val="0"/>
                    <w:autoSpaceDE w:val="0"/>
                    <w:autoSpaceDN w:val="0"/>
                    <w:adjustRightInd w:val="0"/>
                    <w:spacing w:line="280" w:lineRule="exact"/>
                    <w:ind w:left="3"/>
                    <w:jc w:val="center"/>
                    <w:rPr>
                      <w:color w:val="auto"/>
                      <w:kern w:val="0"/>
                      <w:sz w:val="21"/>
                      <w:szCs w:val="21"/>
                    </w:rPr>
                  </w:pPr>
                  <w:r>
                    <w:rPr>
                      <w:color w:val="auto"/>
                      <w:kern w:val="0"/>
                      <w:sz w:val="21"/>
                      <w:szCs w:val="21"/>
                    </w:rPr>
                    <w:t>运营期</w:t>
                  </w:r>
                </w:p>
              </w:tc>
              <w:tc>
                <w:tcPr>
                  <w:tcW w:w="1630" w:type="dxa"/>
                  <w:noWrap w:val="0"/>
                  <w:vAlign w:val="center"/>
                </w:tcPr>
                <w:p w14:paraId="2E3C7D17">
                  <w:pPr>
                    <w:kinsoku w:val="0"/>
                    <w:overflowPunct w:val="0"/>
                    <w:autoSpaceDE w:val="0"/>
                    <w:autoSpaceDN w:val="0"/>
                    <w:adjustRightInd w:val="0"/>
                    <w:spacing w:line="280" w:lineRule="exact"/>
                    <w:ind w:left="166"/>
                    <w:jc w:val="center"/>
                    <w:rPr>
                      <w:color w:val="auto"/>
                      <w:kern w:val="0"/>
                      <w:sz w:val="21"/>
                      <w:szCs w:val="21"/>
                    </w:rPr>
                  </w:pPr>
                  <w:r>
                    <w:rPr>
                      <w:color w:val="auto"/>
                      <w:kern w:val="0"/>
                      <w:sz w:val="21"/>
                      <w:szCs w:val="21"/>
                    </w:rPr>
                    <w:t>√</w:t>
                  </w:r>
                </w:p>
              </w:tc>
              <w:tc>
                <w:tcPr>
                  <w:tcW w:w="1630" w:type="dxa"/>
                  <w:noWrap w:val="0"/>
                  <w:vAlign w:val="center"/>
                </w:tcPr>
                <w:p w14:paraId="17F1115E">
                  <w:pPr>
                    <w:kinsoku w:val="0"/>
                    <w:overflowPunct w:val="0"/>
                    <w:autoSpaceDE w:val="0"/>
                    <w:autoSpaceDN w:val="0"/>
                    <w:adjustRightInd w:val="0"/>
                    <w:spacing w:line="280" w:lineRule="exact"/>
                    <w:ind w:left="45"/>
                    <w:jc w:val="center"/>
                    <w:rPr>
                      <w:color w:val="auto"/>
                      <w:kern w:val="0"/>
                      <w:sz w:val="21"/>
                      <w:szCs w:val="21"/>
                    </w:rPr>
                  </w:pPr>
                  <w:r>
                    <w:rPr>
                      <w:color w:val="auto"/>
                      <w:kern w:val="0"/>
                      <w:sz w:val="21"/>
                      <w:szCs w:val="21"/>
                    </w:rPr>
                    <w:t>/</w:t>
                  </w:r>
                </w:p>
              </w:tc>
              <w:tc>
                <w:tcPr>
                  <w:tcW w:w="1630" w:type="dxa"/>
                  <w:tcBorders>
                    <w:right w:val="single" w:color="auto" w:sz="4" w:space="0"/>
                  </w:tcBorders>
                  <w:noWrap w:val="0"/>
                  <w:vAlign w:val="center"/>
                </w:tcPr>
                <w:p w14:paraId="713428EE">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w:t>
                  </w:r>
                </w:p>
              </w:tc>
              <w:tc>
                <w:tcPr>
                  <w:tcW w:w="1631" w:type="dxa"/>
                  <w:tcBorders>
                    <w:left w:val="single" w:color="auto" w:sz="4" w:space="0"/>
                  </w:tcBorders>
                  <w:noWrap w:val="0"/>
                  <w:vAlign w:val="center"/>
                </w:tcPr>
                <w:p w14:paraId="680CA241">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w:t>
                  </w:r>
                </w:p>
              </w:tc>
            </w:tr>
            <w:tr w14:paraId="010B640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451" w:type="dxa"/>
                  <w:noWrap w:val="0"/>
                  <w:vAlign w:val="center"/>
                </w:tcPr>
                <w:p w14:paraId="787B98B2">
                  <w:pPr>
                    <w:kinsoku w:val="0"/>
                    <w:overflowPunct w:val="0"/>
                    <w:autoSpaceDE w:val="0"/>
                    <w:autoSpaceDN w:val="0"/>
                    <w:adjustRightInd w:val="0"/>
                    <w:spacing w:line="280" w:lineRule="exact"/>
                    <w:ind w:left="3"/>
                    <w:jc w:val="center"/>
                    <w:rPr>
                      <w:color w:val="auto"/>
                      <w:kern w:val="0"/>
                      <w:sz w:val="21"/>
                      <w:szCs w:val="21"/>
                    </w:rPr>
                  </w:pPr>
                  <w:r>
                    <w:rPr>
                      <w:color w:val="auto"/>
                      <w:kern w:val="0"/>
                      <w:sz w:val="21"/>
                      <w:szCs w:val="21"/>
                    </w:rPr>
                    <w:t>服务期满后</w:t>
                  </w:r>
                </w:p>
              </w:tc>
              <w:tc>
                <w:tcPr>
                  <w:tcW w:w="1630" w:type="dxa"/>
                  <w:noWrap w:val="0"/>
                  <w:vAlign w:val="center"/>
                </w:tcPr>
                <w:p w14:paraId="7E704CAC">
                  <w:pPr>
                    <w:kinsoku w:val="0"/>
                    <w:overflowPunct w:val="0"/>
                    <w:autoSpaceDE w:val="0"/>
                    <w:autoSpaceDN w:val="0"/>
                    <w:adjustRightInd w:val="0"/>
                    <w:spacing w:line="280" w:lineRule="exact"/>
                    <w:ind w:left="166"/>
                    <w:jc w:val="center"/>
                    <w:rPr>
                      <w:color w:val="auto"/>
                      <w:kern w:val="0"/>
                      <w:sz w:val="21"/>
                      <w:szCs w:val="21"/>
                    </w:rPr>
                  </w:pPr>
                  <w:r>
                    <w:rPr>
                      <w:color w:val="auto"/>
                      <w:kern w:val="0"/>
                      <w:sz w:val="21"/>
                      <w:szCs w:val="21"/>
                    </w:rPr>
                    <w:t>/</w:t>
                  </w:r>
                </w:p>
              </w:tc>
              <w:tc>
                <w:tcPr>
                  <w:tcW w:w="1630" w:type="dxa"/>
                  <w:noWrap w:val="0"/>
                  <w:vAlign w:val="center"/>
                </w:tcPr>
                <w:p w14:paraId="3A9CC18A">
                  <w:pPr>
                    <w:kinsoku w:val="0"/>
                    <w:overflowPunct w:val="0"/>
                    <w:autoSpaceDE w:val="0"/>
                    <w:autoSpaceDN w:val="0"/>
                    <w:adjustRightInd w:val="0"/>
                    <w:spacing w:line="280" w:lineRule="exact"/>
                    <w:ind w:left="45"/>
                    <w:jc w:val="center"/>
                    <w:rPr>
                      <w:color w:val="auto"/>
                      <w:kern w:val="0"/>
                      <w:sz w:val="21"/>
                      <w:szCs w:val="21"/>
                    </w:rPr>
                  </w:pPr>
                  <w:r>
                    <w:rPr>
                      <w:color w:val="auto"/>
                      <w:kern w:val="0"/>
                      <w:sz w:val="21"/>
                      <w:szCs w:val="21"/>
                    </w:rPr>
                    <w:t>/</w:t>
                  </w:r>
                </w:p>
              </w:tc>
              <w:tc>
                <w:tcPr>
                  <w:tcW w:w="1630" w:type="dxa"/>
                  <w:tcBorders>
                    <w:right w:val="single" w:color="auto" w:sz="4" w:space="0"/>
                  </w:tcBorders>
                  <w:noWrap w:val="0"/>
                  <w:vAlign w:val="center"/>
                </w:tcPr>
                <w:p w14:paraId="142EADC7">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w:t>
                  </w:r>
                </w:p>
              </w:tc>
              <w:tc>
                <w:tcPr>
                  <w:tcW w:w="1631" w:type="dxa"/>
                  <w:tcBorders>
                    <w:left w:val="single" w:color="auto" w:sz="4" w:space="0"/>
                  </w:tcBorders>
                  <w:noWrap w:val="0"/>
                  <w:vAlign w:val="center"/>
                </w:tcPr>
                <w:p w14:paraId="486310A0">
                  <w:pPr>
                    <w:kinsoku w:val="0"/>
                    <w:overflowPunct w:val="0"/>
                    <w:autoSpaceDE w:val="0"/>
                    <w:autoSpaceDN w:val="0"/>
                    <w:adjustRightInd w:val="0"/>
                    <w:spacing w:line="280" w:lineRule="exact"/>
                    <w:jc w:val="center"/>
                    <w:rPr>
                      <w:color w:val="auto"/>
                      <w:kern w:val="0"/>
                      <w:sz w:val="21"/>
                      <w:szCs w:val="21"/>
                    </w:rPr>
                  </w:pPr>
                  <w:r>
                    <w:rPr>
                      <w:color w:val="auto"/>
                      <w:kern w:val="0"/>
                      <w:sz w:val="21"/>
                      <w:szCs w:val="21"/>
                    </w:rPr>
                    <w:t>/</w:t>
                  </w:r>
                </w:p>
              </w:tc>
            </w:tr>
          </w:tbl>
          <w:p w14:paraId="5C59A118">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由上表可知，运营期本项目排放的污染物主要通过大气沉降进入土壤。</w:t>
            </w:r>
          </w:p>
          <w:p w14:paraId="7946FE2A">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大气沉降：本项目排放的非甲烷总烃可能通过大气沉降方式污染土壤环境，主要集中在土壤表层。非甲烷总烃会在土壤中积累，导致土壤理化性质改变，肥力下降。</w:t>
            </w:r>
          </w:p>
          <w:p w14:paraId="5A671516">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（3）污染防治措施</w:t>
            </w:r>
          </w:p>
          <w:p w14:paraId="41D3208D">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①</w:t>
            </w:r>
            <w:r>
              <w:rPr>
                <w:color w:val="auto"/>
                <w:sz w:val="24"/>
                <w:szCs w:val="24"/>
                <w:lang w:val="en-US" w:eastAsia="zh-CN"/>
              </w:rPr>
              <w:t>污染源及污染途径</w:t>
            </w:r>
          </w:p>
          <w:p w14:paraId="62496C57">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本项目对土壤环境的可能影响区域主要为：</w:t>
            </w:r>
            <w:r>
              <w:rPr>
                <w:rFonts w:hint="eastAsia"/>
                <w:color w:val="auto"/>
                <w:sz w:val="24"/>
                <w:szCs w:val="24"/>
                <w:lang w:val="en-US" w:eastAsia="zh-CN"/>
              </w:rPr>
              <w:t>废液储存区、生产车间、</w:t>
            </w:r>
            <w:r>
              <w:rPr>
                <w:color w:val="auto"/>
                <w:sz w:val="24"/>
                <w:szCs w:val="24"/>
                <w:lang w:val="en-US" w:eastAsia="zh-CN"/>
              </w:rPr>
              <w:t>危废库房</w:t>
            </w:r>
            <w:r>
              <w:rPr>
                <w:rFonts w:hint="eastAsia"/>
                <w:color w:val="auto"/>
                <w:sz w:val="24"/>
                <w:szCs w:val="24"/>
                <w:lang w:val="en-US" w:eastAsia="zh-CN"/>
              </w:rPr>
              <w:t>和试剂间</w:t>
            </w:r>
            <w:r>
              <w:rPr>
                <w:color w:val="auto"/>
                <w:sz w:val="24"/>
                <w:szCs w:val="24"/>
                <w:lang w:val="en-US" w:eastAsia="zh-CN"/>
              </w:rPr>
              <w:t>。</w:t>
            </w:r>
          </w:p>
          <w:p w14:paraId="18F12E4A">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rFonts w:ascii="宋体" w:hAnsi="宋体"/>
                <w:color w:val="auto"/>
                <w:sz w:val="24"/>
                <w:szCs w:val="24"/>
                <w:lang w:val="en-US" w:eastAsia="zh-CN"/>
              </w:rPr>
              <w:t>②</w:t>
            </w:r>
            <w:r>
              <w:rPr>
                <w:color w:val="auto"/>
                <w:sz w:val="24"/>
                <w:szCs w:val="24"/>
                <w:lang w:val="en-US" w:eastAsia="zh-CN"/>
              </w:rPr>
              <w:t>源头控制措施</w:t>
            </w:r>
          </w:p>
          <w:p w14:paraId="6E3AD625">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为保护土壤环境，采取防控措施从源头控制对土壤的污染。实施清洁生产和循环经济，减少污染物的排放量。从设计、管理各种工艺设备和物料运输管线上，防止和减少污染物的跑冒滴漏，合理布局，减少污染物的泄</w:t>
            </w:r>
            <w:r>
              <w:rPr>
                <w:rFonts w:hint="eastAsia"/>
                <w:color w:val="auto"/>
                <w:sz w:val="24"/>
                <w:szCs w:val="24"/>
                <w:lang w:val="en-US" w:eastAsia="zh-CN"/>
              </w:rPr>
              <w:t>漏</w:t>
            </w:r>
            <w:r>
              <w:rPr>
                <w:color w:val="auto"/>
                <w:sz w:val="24"/>
                <w:szCs w:val="24"/>
                <w:lang w:val="en-US" w:eastAsia="zh-CN"/>
              </w:rPr>
              <w:t>途径。</w:t>
            </w:r>
          </w:p>
          <w:p w14:paraId="14613101">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目前</w:t>
            </w:r>
            <w:r>
              <w:rPr>
                <w:rFonts w:hint="eastAsia"/>
                <w:color w:val="auto"/>
                <w:sz w:val="24"/>
                <w:szCs w:val="24"/>
                <w:lang w:val="en-US" w:eastAsia="zh-CN"/>
              </w:rPr>
              <w:t>废水储存区、生产车间、</w:t>
            </w:r>
            <w:r>
              <w:rPr>
                <w:color w:val="auto"/>
                <w:sz w:val="24"/>
                <w:szCs w:val="24"/>
                <w:lang w:val="en-US" w:eastAsia="zh-CN"/>
              </w:rPr>
              <w:t>危废库房</w:t>
            </w:r>
            <w:r>
              <w:rPr>
                <w:rFonts w:hint="eastAsia"/>
                <w:color w:val="auto"/>
                <w:sz w:val="24"/>
                <w:szCs w:val="24"/>
                <w:lang w:val="en-US" w:eastAsia="zh-CN"/>
              </w:rPr>
              <w:t>和试剂间</w:t>
            </w:r>
            <w:r>
              <w:rPr>
                <w:color w:val="auto"/>
                <w:sz w:val="24"/>
                <w:szCs w:val="24"/>
                <w:lang w:val="en-US" w:eastAsia="zh-CN"/>
              </w:rPr>
              <w:t>均已做防渗漏处理，以确保各物料的冒溢能被回收；固体废弃物在厂内暂存期间，如属有毒有害物质，用桶包装后储存。</w:t>
            </w:r>
          </w:p>
          <w:p w14:paraId="24A85AF9">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（4）土壤环境影响分析</w:t>
            </w:r>
          </w:p>
          <w:p w14:paraId="499D46CD">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本项目正常工况下排放的有机废气贡献浓度较低，以大气沉降方式进入土壤，在确保各项防渗措施得以落实、加强维护和厂区环境管理的前提下，土壤累积影响很小，不会对周边土壤产生明显影响。</w:t>
            </w:r>
          </w:p>
          <w:p w14:paraId="11C4E318">
            <w:pPr>
              <w:keepNext w:val="0"/>
              <w:keepLines w:val="0"/>
              <w:pageBreakBefore w:val="0"/>
              <w:kinsoku/>
              <w:wordWrap/>
              <w:overflowPunct/>
              <w:topLinePunct w:val="0"/>
              <w:autoSpaceDE/>
              <w:autoSpaceDN/>
              <w:bidi w:val="0"/>
              <w:spacing w:line="480" w:lineRule="exact"/>
              <w:textAlignment w:val="auto"/>
              <w:rPr>
                <w:b/>
                <w:bCs/>
                <w:color w:val="auto"/>
                <w:spacing w:val="-4"/>
                <w:sz w:val="24"/>
                <w:szCs w:val="24"/>
              </w:rPr>
            </w:pPr>
            <w:r>
              <w:rPr>
                <w:color w:val="auto"/>
                <w:sz w:val="24"/>
                <w:szCs w:val="24"/>
              </w:rPr>
              <w:t>7</w:t>
            </w:r>
            <w:r>
              <w:rPr>
                <w:b/>
                <w:bCs/>
                <w:color w:val="auto"/>
                <w:spacing w:val="-4"/>
                <w:sz w:val="24"/>
                <w:szCs w:val="24"/>
              </w:rPr>
              <w:t>、生态</w:t>
            </w:r>
          </w:p>
          <w:p w14:paraId="7404289E">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本项目</w:t>
            </w:r>
            <w:r>
              <w:rPr>
                <w:rFonts w:hint="eastAsia"/>
                <w:color w:val="auto"/>
                <w:sz w:val="24"/>
                <w:szCs w:val="24"/>
                <w:lang w:val="en-US" w:eastAsia="zh-CN"/>
              </w:rPr>
              <w:t>利用现有厂房</w:t>
            </w:r>
            <w:r>
              <w:rPr>
                <w:color w:val="auto"/>
                <w:sz w:val="24"/>
                <w:szCs w:val="24"/>
                <w:lang w:val="en-US" w:eastAsia="zh-CN"/>
              </w:rPr>
              <w:t>进行</w:t>
            </w:r>
            <w:r>
              <w:rPr>
                <w:rFonts w:hint="eastAsia"/>
                <w:color w:val="auto"/>
                <w:sz w:val="24"/>
                <w:szCs w:val="24"/>
                <w:lang w:val="en-US" w:eastAsia="zh-CN"/>
              </w:rPr>
              <w:t>生产</w:t>
            </w:r>
            <w:r>
              <w:rPr>
                <w:color w:val="auto"/>
                <w:sz w:val="24"/>
                <w:szCs w:val="24"/>
                <w:lang w:val="en-US" w:eastAsia="zh-CN"/>
              </w:rPr>
              <w:t>建设，不改变厂址内土地利用现状，对厂界外生态不产生影响。</w:t>
            </w:r>
          </w:p>
          <w:p w14:paraId="62184D34">
            <w:pPr>
              <w:keepNext w:val="0"/>
              <w:keepLines w:val="0"/>
              <w:pageBreakBefore w:val="0"/>
              <w:kinsoku/>
              <w:wordWrap/>
              <w:overflowPunct/>
              <w:topLinePunct w:val="0"/>
              <w:autoSpaceDE/>
              <w:autoSpaceDN/>
              <w:bidi w:val="0"/>
              <w:spacing w:line="480" w:lineRule="exact"/>
              <w:textAlignment w:val="auto"/>
              <w:rPr>
                <w:b/>
                <w:bCs/>
                <w:color w:val="auto"/>
                <w:spacing w:val="-4"/>
                <w:sz w:val="24"/>
                <w:szCs w:val="24"/>
              </w:rPr>
            </w:pPr>
            <w:r>
              <w:rPr>
                <w:b/>
                <w:bCs/>
                <w:color w:val="auto"/>
                <w:spacing w:val="-4"/>
                <w:sz w:val="24"/>
                <w:szCs w:val="24"/>
              </w:rPr>
              <w:t>8、环境风险</w:t>
            </w:r>
          </w:p>
          <w:p w14:paraId="581010F7">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（一）环境风险评价</w:t>
            </w:r>
          </w:p>
          <w:p w14:paraId="0E931D2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1、环境风险识别</w:t>
            </w:r>
          </w:p>
          <w:p w14:paraId="4F6CB21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（1）评价依据</w:t>
            </w:r>
          </w:p>
          <w:p w14:paraId="7B51D893">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①风险调查</w:t>
            </w:r>
          </w:p>
          <w:p w14:paraId="19C121E5">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参照《建设项目环境风险评价技术导则》(HJ169-2018)附录B表B.1内容，本项目建成后全厂风险物质主要为机油、各类危废等。</w:t>
            </w:r>
          </w:p>
          <w:p w14:paraId="4A7D333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②风险潜势初判</w:t>
            </w:r>
          </w:p>
          <w:p w14:paraId="56FB18F0">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根据《建设项目环境风险评价技术导则》(HJ169-2018)中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7DFC8CCD">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当只涉及一种危险物质时，计算该物质的总量与其临界量比值，即为Q；</w:t>
            </w:r>
          </w:p>
          <w:p w14:paraId="0075F42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当存在多种危险物质时，则按下式计算物质总量与其临界量比值（Q）：</w:t>
            </w:r>
          </w:p>
          <w:p w14:paraId="3D382CC8">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color w:val="auto"/>
                <w:kern w:val="0"/>
                <w:sz w:val="24"/>
                <w:szCs w:val="24"/>
                <w:highlight w:val="none"/>
              </w:rPr>
              <w:drawing>
                <wp:anchor distT="0" distB="0" distL="114300" distR="114300" simplePos="0" relativeHeight="251660288" behindDoc="0" locked="0" layoutInCell="1" allowOverlap="1">
                  <wp:simplePos x="0" y="0"/>
                  <wp:positionH relativeFrom="column">
                    <wp:posOffset>1445260</wp:posOffset>
                  </wp:positionH>
                  <wp:positionV relativeFrom="paragraph">
                    <wp:posOffset>70485</wp:posOffset>
                  </wp:positionV>
                  <wp:extent cx="1657350" cy="427990"/>
                  <wp:effectExtent l="0" t="0" r="3810" b="13970"/>
                  <wp:wrapNone/>
                  <wp:docPr id="4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10"/>
                          <pic:cNvPicPr>
                            <a:picLocks noChangeAspect="1"/>
                          </pic:cNvPicPr>
                        </pic:nvPicPr>
                        <pic:blipFill>
                          <a:blip r:embed="rId32"/>
                          <a:stretch>
                            <a:fillRect/>
                          </a:stretch>
                        </pic:blipFill>
                        <pic:spPr>
                          <a:xfrm>
                            <a:off x="0" y="0"/>
                            <a:ext cx="1657350" cy="427990"/>
                          </a:xfrm>
                          <a:prstGeom prst="rect">
                            <a:avLst/>
                          </a:prstGeom>
                          <a:noFill/>
                          <a:ln>
                            <a:noFill/>
                          </a:ln>
                        </pic:spPr>
                      </pic:pic>
                    </a:graphicData>
                  </a:graphic>
                </wp:anchor>
              </w:drawing>
            </w:r>
          </w:p>
          <w:p w14:paraId="05A645D5">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p>
          <w:p w14:paraId="19E38C66">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式中：q1，q2，...，qn——每种危险物质的最大存在总量，t；</w:t>
            </w:r>
          </w:p>
          <w:p w14:paraId="45A12F72">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Q1,Q2，...，Qn——每种危险物质的临界量，t。</w:t>
            </w:r>
          </w:p>
          <w:p w14:paraId="333B224A">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当Q&lt;1时，该项目环境风险潜势为Ⅰ。</w:t>
            </w:r>
          </w:p>
          <w:p w14:paraId="3FA2135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当Q≥1时，将Q值划分为：1≤Q&lt;10；10≤Q&lt;100；Q≥100。</w:t>
            </w:r>
          </w:p>
          <w:p w14:paraId="19949B02">
            <w:pPr>
              <w:ind w:firstLine="422" w:firstLineChars="200"/>
              <w:jc w:val="center"/>
              <w:rPr>
                <w:b/>
                <w:bCs/>
                <w:color w:val="auto"/>
                <w:kern w:val="0"/>
                <w:sz w:val="21"/>
                <w:szCs w:val="21"/>
                <w:highlight w:val="none"/>
              </w:rPr>
            </w:pPr>
            <w:r>
              <w:rPr>
                <w:b/>
                <w:bCs/>
                <w:color w:val="auto"/>
                <w:kern w:val="0"/>
                <w:sz w:val="21"/>
                <w:szCs w:val="21"/>
                <w:highlight w:val="none"/>
              </w:rPr>
              <w:t>表4-</w:t>
            </w:r>
            <w:r>
              <w:rPr>
                <w:rFonts w:hint="eastAsia"/>
                <w:b/>
                <w:bCs/>
                <w:color w:val="auto"/>
                <w:kern w:val="0"/>
                <w:sz w:val="21"/>
                <w:szCs w:val="21"/>
                <w:highlight w:val="none"/>
                <w:lang w:val="en-US" w:eastAsia="zh-CN"/>
              </w:rPr>
              <w:t>24</w:t>
            </w:r>
            <w:r>
              <w:rPr>
                <w:b/>
                <w:bCs/>
                <w:color w:val="auto"/>
                <w:kern w:val="0"/>
                <w:sz w:val="21"/>
                <w:szCs w:val="21"/>
                <w:highlight w:val="none"/>
              </w:rPr>
              <w:t xml:space="preserve">  Q值计算结果一览表</w:t>
            </w:r>
          </w:p>
          <w:tbl>
            <w:tblPr>
              <w:tblStyle w:val="22"/>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591"/>
              <w:gridCol w:w="1444"/>
              <w:gridCol w:w="1259"/>
              <w:gridCol w:w="1130"/>
              <w:gridCol w:w="977"/>
              <w:gridCol w:w="1236"/>
              <w:gridCol w:w="1709"/>
            </w:tblGrid>
            <w:tr w14:paraId="56AC358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blHeader/>
                <w:jc w:val="center"/>
              </w:trPr>
              <w:tc>
                <w:tcPr>
                  <w:tcW w:w="354" w:type="pct"/>
                  <w:noWrap w:val="0"/>
                  <w:tcMar>
                    <w:top w:w="0" w:type="dxa"/>
                    <w:left w:w="108" w:type="dxa"/>
                    <w:bottom w:w="0" w:type="dxa"/>
                    <w:right w:w="108" w:type="dxa"/>
                  </w:tcMar>
                  <w:vAlign w:val="center"/>
                </w:tcPr>
                <w:p w14:paraId="341747BF">
                  <w:pPr>
                    <w:jc w:val="center"/>
                    <w:rPr>
                      <w:b/>
                      <w:bCs/>
                      <w:color w:val="auto"/>
                      <w:kern w:val="0"/>
                      <w:sz w:val="21"/>
                      <w:szCs w:val="21"/>
                      <w:highlight w:val="none"/>
                    </w:rPr>
                  </w:pPr>
                  <w:r>
                    <w:rPr>
                      <w:b/>
                      <w:bCs/>
                      <w:color w:val="auto"/>
                      <w:kern w:val="0"/>
                      <w:sz w:val="21"/>
                      <w:szCs w:val="21"/>
                      <w:highlight w:val="none"/>
                    </w:rPr>
                    <w:t>序号</w:t>
                  </w:r>
                </w:p>
              </w:tc>
              <w:tc>
                <w:tcPr>
                  <w:tcW w:w="865" w:type="pct"/>
                  <w:noWrap w:val="0"/>
                  <w:tcMar>
                    <w:top w:w="0" w:type="dxa"/>
                    <w:left w:w="108" w:type="dxa"/>
                    <w:bottom w:w="0" w:type="dxa"/>
                    <w:right w:w="108" w:type="dxa"/>
                  </w:tcMar>
                  <w:vAlign w:val="center"/>
                </w:tcPr>
                <w:p w14:paraId="29F39EBA">
                  <w:pPr>
                    <w:jc w:val="center"/>
                    <w:rPr>
                      <w:b/>
                      <w:bCs/>
                      <w:color w:val="auto"/>
                      <w:kern w:val="0"/>
                      <w:sz w:val="21"/>
                      <w:szCs w:val="21"/>
                      <w:highlight w:val="none"/>
                    </w:rPr>
                  </w:pPr>
                  <w:r>
                    <w:rPr>
                      <w:b/>
                      <w:bCs/>
                      <w:color w:val="auto"/>
                      <w:kern w:val="0"/>
                      <w:sz w:val="21"/>
                      <w:szCs w:val="21"/>
                      <w:highlight w:val="none"/>
                    </w:rPr>
                    <w:t>物质名称</w:t>
                  </w:r>
                </w:p>
              </w:tc>
              <w:tc>
                <w:tcPr>
                  <w:tcW w:w="754" w:type="pct"/>
                  <w:noWrap w:val="0"/>
                  <w:tcMar>
                    <w:top w:w="0" w:type="dxa"/>
                    <w:left w:w="108" w:type="dxa"/>
                    <w:bottom w:w="0" w:type="dxa"/>
                    <w:right w:w="108" w:type="dxa"/>
                  </w:tcMar>
                  <w:vAlign w:val="center"/>
                </w:tcPr>
                <w:p w14:paraId="4C671213">
                  <w:pPr>
                    <w:jc w:val="center"/>
                    <w:rPr>
                      <w:b/>
                      <w:bCs/>
                      <w:color w:val="auto"/>
                      <w:kern w:val="0"/>
                      <w:sz w:val="21"/>
                      <w:szCs w:val="21"/>
                      <w:highlight w:val="none"/>
                    </w:rPr>
                  </w:pPr>
                  <w:r>
                    <w:rPr>
                      <w:b/>
                      <w:bCs/>
                      <w:color w:val="auto"/>
                      <w:kern w:val="0"/>
                      <w:sz w:val="21"/>
                      <w:szCs w:val="21"/>
                      <w:highlight w:val="none"/>
                    </w:rPr>
                    <w:t>CAS号</w:t>
                  </w:r>
                </w:p>
              </w:tc>
              <w:tc>
                <w:tcPr>
                  <w:tcW w:w="676" w:type="pct"/>
                  <w:noWrap w:val="0"/>
                  <w:tcMar>
                    <w:top w:w="0" w:type="dxa"/>
                    <w:left w:w="108" w:type="dxa"/>
                    <w:bottom w:w="0" w:type="dxa"/>
                    <w:right w:w="108" w:type="dxa"/>
                  </w:tcMar>
                  <w:vAlign w:val="center"/>
                </w:tcPr>
                <w:p w14:paraId="54DC1F4A">
                  <w:pPr>
                    <w:jc w:val="center"/>
                    <w:rPr>
                      <w:b/>
                      <w:bCs/>
                      <w:color w:val="auto"/>
                      <w:kern w:val="0"/>
                      <w:sz w:val="21"/>
                      <w:szCs w:val="21"/>
                      <w:highlight w:val="none"/>
                    </w:rPr>
                  </w:pPr>
                  <w:r>
                    <w:rPr>
                      <w:b/>
                      <w:bCs/>
                      <w:color w:val="auto"/>
                      <w:kern w:val="0"/>
                      <w:sz w:val="21"/>
                      <w:szCs w:val="21"/>
                      <w:highlight w:val="none"/>
                    </w:rPr>
                    <w:t>最大存在总量（吨）</w:t>
                  </w:r>
                </w:p>
              </w:tc>
              <w:tc>
                <w:tcPr>
                  <w:tcW w:w="585" w:type="pct"/>
                  <w:noWrap w:val="0"/>
                  <w:tcMar>
                    <w:top w:w="0" w:type="dxa"/>
                    <w:left w:w="108" w:type="dxa"/>
                    <w:bottom w:w="0" w:type="dxa"/>
                    <w:right w:w="108" w:type="dxa"/>
                  </w:tcMar>
                  <w:vAlign w:val="center"/>
                </w:tcPr>
                <w:p w14:paraId="34D8F8C3">
                  <w:pPr>
                    <w:jc w:val="center"/>
                    <w:rPr>
                      <w:b/>
                      <w:bCs/>
                      <w:color w:val="auto"/>
                      <w:kern w:val="0"/>
                      <w:sz w:val="21"/>
                      <w:szCs w:val="21"/>
                      <w:highlight w:val="none"/>
                    </w:rPr>
                  </w:pPr>
                  <w:r>
                    <w:rPr>
                      <w:b/>
                      <w:bCs/>
                      <w:color w:val="auto"/>
                      <w:kern w:val="0"/>
                      <w:sz w:val="21"/>
                      <w:szCs w:val="21"/>
                      <w:highlight w:val="none"/>
                    </w:rPr>
                    <w:t>临界量（吨）</w:t>
                  </w:r>
                </w:p>
              </w:tc>
              <w:tc>
                <w:tcPr>
                  <w:tcW w:w="740" w:type="pct"/>
                  <w:noWrap w:val="0"/>
                  <w:tcMar>
                    <w:top w:w="0" w:type="dxa"/>
                    <w:left w:w="108" w:type="dxa"/>
                    <w:bottom w:w="0" w:type="dxa"/>
                    <w:right w:w="108" w:type="dxa"/>
                  </w:tcMar>
                  <w:vAlign w:val="center"/>
                </w:tcPr>
                <w:p w14:paraId="5BEEC148">
                  <w:pPr>
                    <w:jc w:val="center"/>
                    <w:rPr>
                      <w:b/>
                      <w:bCs/>
                      <w:color w:val="auto"/>
                      <w:kern w:val="0"/>
                      <w:sz w:val="21"/>
                      <w:szCs w:val="21"/>
                      <w:highlight w:val="none"/>
                    </w:rPr>
                  </w:pPr>
                  <w:r>
                    <w:rPr>
                      <w:b/>
                      <w:bCs/>
                      <w:color w:val="auto"/>
                      <w:kern w:val="0"/>
                      <w:sz w:val="21"/>
                      <w:szCs w:val="21"/>
                      <w:highlight w:val="none"/>
                    </w:rPr>
                    <w:t>物质数量与临界量比值（Q）</w:t>
                  </w:r>
                </w:p>
              </w:tc>
              <w:tc>
                <w:tcPr>
                  <w:tcW w:w="1023" w:type="pct"/>
                  <w:noWrap w:val="0"/>
                  <w:tcMar>
                    <w:top w:w="0" w:type="dxa"/>
                    <w:left w:w="108" w:type="dxa"/>
                    <w:bottom w:w="0" w:type="dxa"/>
                    <w:right w:w="108" w:type="dxa"/>
                  </w:tcMar>
                  <w:vAlign w:val="center"/>
                </w:tcPr>
                <w:p w14:paraId="5B1AC183">
                  <w:pPr>
                    <w:jc w:val="center"/>
                    <w:rPr>
                      <w:b/>
                      <w:bCs/>
                      <w:color w:val="auto"/>
                      <w:kern w:val="0"/>
                      <w:sz w:val="21"/>
                      <w:szCs w:val="21"/>
                      <w:highlight w:val="none"/>
                    </w:rPr>
                  </w:pPr>
                  <w:r>
                    <w:rPr>
                      <w:b/>
                      <w:bCs/>
                      <w:color w:val="auto"/>
                      <w:kern w:val="0"/>
                      <w:sz w:val="21"/>
                      <w:szCs w:val="21"/>
                      <w:highlight w:val="none"/>
                    </w:rPr>
                    <w:t>依据</w:t>
                  </w:r>
                </w:p>
              </w:tc>
            </w:tr>
            <w:tr w14:paraId="278666A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354" w:type="pct"/>
                  <w:noWrap w:val="0"/>
                  <w:tcMar>
                    <w:top w:w="0" w:type="dxa"/>
                    <w:left w:w="108" w:type="dxa"/>
                    <w:bottom w:w="0" w:type="dxa"/>
                    <w:right w:w="108" w:type="dxa"/>
                  </w:tcMar>
                  <w:vAlign w:val="center"/>
                </w:tcPr>
                <w:p w14:paraId="7B7B5BA4">
                  <w:pPr>
                    <w:jc w:val="center"/>
                    <w:rPr>
                      <w:color w:val="auto"/>
                      <w:kern w:val="0"/>
                      <w:sz w:val="21"/>
                      <w:szCs w:val="21"/>
                      <w:highlight w:val="none"/>
                    </w:rPr>
                  </w:pPr>
                  <w:r>
                    <w:rPr>
                      <w:color w:val="auto"/>
                      <w:kern w:val="0"/>
                      <w:sz w:val="21"/>
                      <w:szCs w:val="21"/>
                      <w:highlight w:val="none"/>
                    </w:rPr>
                    <w:t>1</w:t>
                  </w:r>
                </w:p>
              </w:tc>
              <w:tc>
                <w:tcPr>
                  <w:tcW w:w="865" w:type="pct"/>
                  <w:noWrap w:val="0"/>
                  <w:tcMar>
                    <w:top w:w="0" w:type="dxa"/>
                    <w:left w:w="108" w:type="dxa"/>
                    <w:bottom w:w="0" w:type="dxa"/>
                    <w:right w:w="108" w:type="dxa"/>
                  </w:tcMar>
                  <w:vAlign w:val="center"/>
                </w:tcPr>
                <w:p w14:paraId="45EB496B">
                  <w:pPr>
                    <w:widowControl/>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乙醇</w:t>
                  </w:r>
                </w:p>
              </w:tc>
              <w:tc>
                <w:tcPr>
                  <w:tcW w:w="754" w:type="pct"/>
                  <w:noWrap w:val="0"/>
                  <w:tcMar>
                    <w:top w:w="0" w:type="dxa"/>
                    <w:left w:w="108" w:type="dxa"/>
                    <w:bottom w:w="0" w:type="dxa"/>
                    <w:right w:w="108" w:type="dxa"/>
                  </w:tcMar>
                  <w:vAlign w:val="center"/>
                </w:tcPr>
                <w:p w14:paraId="212B87CB">
                  <w:pPr>
                    <w:kinsoku w:val="0"/>
                    <w:overflowPunct w:val="0"/>
                    <w:ind w:left="3"/>
                    <w:jc w:val="center"/>
                    <w:rPr>
                      <w:color w:val="auto"/>
                      <w:sz w:val="21"/>
                      <w:szCs w:val="21"/>
                      <w:highlight w:val="none"/>
                    </w:rPr>
                  </w:pPr>
                  <w:r>
                    <w:rPr>
                      <w:color w:val="auto"/>
                      <w:sz w:val="21"/>
                      <w:szCs w:val="21"/>
                      <w:highlight w:val="none"/>
                    </w:rPr>
                    <w:t>/</w:t>
                  </w:r>
                </w:p>
              </w:tc>
              <w:tc>
                <w:tcPr>
                  <w:tcW w:w="676" w:type="pct"/>
                  <w:noWrap w:val="0"/>
                  <w:tcMar>
                    <w:top w:w="0" w:type="dxa"/>
                    <w:left w:w="108" w:type="dxa"/>
                    <w:bottom w:w="0" w:type="dxa"/>
                    <w:right w:w="108" w:type="dxa"/>
                  </w:tcMar>
                  <w:vAlign w:val="center"/>
                </w:tcPr>
                <w:p w14:paraId="2DCD4884">
                  <w:pPr>
                    <w:widowControl/>
                    <w:jc w:val="center"/>
                    <w:textAlignment w:val="center"/>
                    <w:rPr>
                      <w:rFonts w:hint="default" w:eastAsia="宋体"/>
                      <w:color w:val="FF0000"/>
                      <w:sz w:val="21"/>
                      <w:szCs w:val="21"/>
                      <w:highlight w:val="none"/>
                      <w:lang w:val="en-US" w:eastAsia="zh-CN"/>
                    </w:rPr>
                  </w:pPr>
                  <w:r>
                    <w:rPr>
                      <w:rFonts w:hint="eastAsia"/>
                      <w:color w:val="000000" w:themeColor="text1"/>
                      <w:sz w:val="21"/>
                      <w:szCs w:val="21"/>
                      <w:highlight w:val="none"/>
                      <w:lang w:val="en-US" w:eastAsia="zh-CN"/>
                      <w14:textFill>
                        <w14:solidFill>
                          <w14:schemeClr w14:val="tx1"/>
                        </w14:solidFill>
                      </w14:textFill>
                    </w:rPr>
                    <w:t>0.00425</w:t>
                  </w:r>
                </w:p>
              </w:tc>
              <w:tc>
                <w:tcPr>
                  <w:tcW w:w="585" w:type="pct"/>
                  <w:noWrap w:val="0"/>
                  <w:tcMar>
                    <w:top w:w="0" w:type="dxa"/>
                    <w:left w:w="108" w:type="dxa"/>
                    <w:bottom w:w="0" w:type="dxa"/>
                    <w:right w:w="108" w:type="dxa"/>
                  </w:tcMar>
                  <w:vAlign w:val="center"/>
                </w:tcPr>
                <w:p w14:paraId="699DBE60">
                  <w:pPr>
                    <w:autoSpaceDE w:val="0"/>
                    <w:autoSpaceDN w:val="0"/>
                    <w:jc w:val="center"/>
                    <w:rPr>
                      <w:color w:val="auto"/>
                      <w:sz w:val="21"/>
                      <w:szCs w:val="21"/>
                      <w:highlight w:val="none"/>
                    </w:rPr>
                  </w:pPr>
                  <w:r>
                    <w:rPr>
                      <w:rFonts w:hint="eastAsia"/>
                      <w:color w:val="auto"/>
                      <w:sz w:val="21"/>
                      <w:szCs w:val="21"/>
                      <w:highlight w:val="none"/>
                    </w:rPr>
                    <w:t>500</w:t>
                  </w:r>
                </w:p>
              </w:tc>
              <w:tc>
                <w:tcPr>
                  <w:tcW w:w="1236" w:type="dxa"/>
                  <w:noWrap w:val="0"/>
                  <w:tcMar>
                    <w:top w:w="0" w:type="dxa"/>
                    <w:left w:w="108" w:type="dxa"/>
                    <w:bottom w:w="0" w:type="dxa"/>
                    <w:right w:w="108" w:type="dxa"/>
                  </w:tcMar>
                  <w:vAlign w:val="center"/>
                </w:tcPr>
                <w:p w14:paraId="304F8689">
                  <w:pPr>
                    <w:autoSpaceDE w:val="0"/>
                    <w:autoSpaceDN w:val="0"/>
                    <w:jc w:val="center"/>
                    <w:rPr>
                      <w:rFonts w:hint="default"/>
                      <w:color w:val="auto"/>
                      <w:sz w:val="21"/>
                      <w:szCs w:val="21"/>
                      <w:highlight w:val="none"/>
                      <w:lang w:val="en-US" w:eastAsia="zh-CN"/>
                    </w:rPr>
                  </w:pPr>
                  <w:r>
                    <w:rPr>
                      <w:rFonts w:hint="eastAsia"/>
                      <w:color w:val="auto"/>
                      <w:sz w:val="21"/>
                      <w:szCs w:val="21"/>
                      <w:highlight w:val="none"/>
                      <w:lang w:val="en-US" w:eastAsia="zh-CN"/>
                    </w:rPr>
                    <w:t>0.0000085</w:t>
                  </w:r>
                </w:p>
              </w:tc>
              <w:tc>
                <w:tcPr>
                  <w:tcW w:w="1023" w:type="pct"/>
                  <w:noWrap w:val="0"/>
                  <w:tcMar>
                    <w:top w:w="0" w:type="dxa"/>
                    <w:left w:w="108" w:type="dxa"/>
                    <w:bottom w:w="0" w:type="dxa"/>
                    <w:right w:w="108" w:type="dxa"/>
                  </w:tcMar>
                  <w:vAlign w:val="center"/>
                </w:tcPr>
                <w:p w14:paraId="4FD35DD4">
                  <w:pPr>
                    <w:jc w:val="center"/>
                    <w:rPr>
                      <w:color w:val="auto"/>
                      <w:kern w:val="0"/>
                      <w:sz w:val="21"/>
                      <w:szCs w:val="21"/>
                      <w:highlight w:val="none"/>
                    </w:rPr>
                  </w:pPr>
                  <w:r>
                    <w:rPr>
                      <w:color w:val="auto"/>
                      <w:kern w:val="0"/>
                      <w:sz w:val="21"/>
                      <w:szCs w:val="21"/>
                      <w:highlight w:val="none"/>
                    </w:rPr>
                    <w:t>HJ169-2018</w:t>
                  </w:r>
                </w:p>
                <w:p w14:paraId="33FB132B">
                  <w:pPr>
                    <w:jc w:val="center"/>
                    <w:rPr>
                      <w:color w:val="auto"/>
                      <w:kern w:val="0"/>
                      <w:sz w:val="21"/>
                      <w:szCs w:val="21"/>
                      <w:highlight w:val="none"/>
                    </w:rPr>
                  </w:pPr>
                  <w:r>
                    <w:rPr>
                      <w:color w:val="auto"/>
                      <w:kern w:val="0"/>
                      <w:sz w:val="21"/>
                      <w:szCs w:val="21"/>
                      <w:highlight w:val="none"/>
                    </w:rPr>
                    <w:t>附录B.2</w:t>
                  </w:r>
                </w:p>
              </w:tc>
            </w:tr>
            <w:tr w14:paraId="79C9B06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354" w:type="pct"/>
                  <w:noWrap w:val="0"/>
                  <w:tcMar>
                    <w:top w:w="0" w:type="dxa"/>
                    <w:left w:w="108" w:type="dxa"/>
                    <w:bottom w:w="0" w:type="dxa"/>
                    <w:right w:w="108" w:type="dxa"/>
                  </w:tcMar>
                  <w:vAlign w:val="center"/>
                </w:tcPr>
                <w:p w14:paraId="4C8A933C">
                  <w:pPr>
                    <w:jc w:val="center"/>
                    <w:rPr>
                      <w:color w:val="auto"/>
                      <w:kern w:val="0"/>
                      <w:sz w:val="21"/>
                      <w:szCs w:val="21"/>
                      <w:highlight w:val="none"/>
                    </w:rPr>
                  </w:pPr>
                  <w:r>
                    <w:rPr>
                      <w:color w:val="auto"/>
                      <w:kern w:val="0"/>
                      <w:sz w:val="21"/>
                      <w:szCs w:val="21"/>
                      <w:highlight w:val="none"/>
                    </w:rPr>
                    <w:t>2</w:t>
                  </w:r>
                </w:p>
              </w:tc>
              <w:tc>
                <w:tcPr>
                  <w:tcW w:w="865" w:type="pct"/>
                  <w:noWrap w:val="0"/>
                  <w:tcMar>
                    <w:top w:w="0" w:type="dxa"/>
                    <w:left w:w="108" w:type="dxa"/>
                    <w:bottom w:w="0" w:type="dxa"/>
                    <w:right w:w="108" w:type="dxa"/>
                  </w:tcMar>
                  <w:vAlign w:val="center"/>
                </w:tcPr>
                <w:p w14:paraId="7C34D205">
                  <w:pPr>
                    <w:widowControl/>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试剂废瓶</w:t>
                  </w:r>
                </w:p>
              </w:tc>
              <w:tc>
                <w:tcPr>
                  <w:tcW w:w="754" w:type="pct"/>
                  <w:noWrap w:val="0"/>
                  <w:tcMar>
                    <w:top w:w="0" w:type="dxa"/>
                    <w:left w:w="108" w:type="dxa"/>
                    <w:bottom w:w="0" w:type="dxa"/>
                    <w:right w:w="108" w:type="dxa"/>
                  </w:tcMar>
                  <w:vAlign w:val="center"/>
                </w:tcPr>
                <w:p w14:paraId="4BC4E232">
                  <w:pPr>
                    <w:kinsoku w:val="0"/>
                    <w:overflowPunct w:val="0"/>
                    <w:ind w:left="3"/>
                    <w:jc w:val="center"/>
                    <w:rPr>
                      <w:color w:val="auto"/>
                      <w:sz w:val="21"/>
                      <w:szCs w:val="21"/>
                      <w:highlight w:val="none"/>
                    </w:rPr>
                  </w:pPr>
                  <w:bookmarkStart w:id="77" w:name="OLE_LINK1"/>
                  <w:r>
                    <w:rPr>
                      <w:color w:val="auto"/>
                      <w:sz w:val="21"/>
                      <w:szCs w:val="21"/>
                      <w:highlight w:val="none"/>
                    </w:rPr>
                    <w:t>/</w:t>
                  </w:r>
                  <w:bookmarkEnd w:id="77"/>
                </w:p>
              </w:tc>
              <w:tc>
                <w:tcPr>
                  <w:tcW w:w="676" w:type="pct"/>
                  <w:noWrap w:val="0"/>
                  <w:tcMar>
                    <w:top w:w="0" w:type="dxa"/>
                    <w:left w:w="108" w:type="dxa"/>
                    <w:bottom w:w="0" w:type="dxa"/>
                    <w:right w:w="108" w:type="dxa"/>
                  </w:tcMar>
                  <w:vAlign w:val="center"/>
                </w:tcPr>
                <w:p w14:paraId="3BB1BE9D">
                  <w:pPr>
                    <w:widowControl/>
                    <w:jc w:val="center"/>
                    <w:textAlignment w:val="center"/>
                    <w:rPr>
                      <w:rFonts w:hint="default" w:eastAsia="宋体"/>
                      <w:color w:val="FF0000"/>
                      <w:sz w:val="21"/>
                      <w:szCs w:val="21"/>
                      <w:highlight w:val="none"/>
                      <w:lang w:val="en-US" w:eastAsia="zh-CN"/>
                    </w:rPr>
                  </w:pPr>
                  <w:r>
                    <w:rPr>
                      <w:rFonts w:hint="eastAsia"/>
                      <w:color w:val="000000" w:themeColor="text1"/>
                      <w:sz w:val="21"/>
                      <w:szCs w:val="21"/>
                      <w:highlight w:val="none"/>
                      <w:lang w:val="en-US" w:eastAsia="zh-CN"/>
                      <w14:textFill>
                        <w14:solidFill>
                          <w14:schemeClr w14:val="tx1"/>
                        </w14:solidFill>
                      </w14:textFill>
                    </w:rPr>
                    <w:t>0.05</w:t>
                  </w:r>
                </w:p>
              </w:tc>
              <w:tc>
                <w:tcPr>
                  <w:tcW w:w="585" w:type="pct"/>
                  <w:noWrap w:val="0"/>
                  <w:tcMar>
                    <w:top w:w="0" w:type="dxa"/>
                    <w:left w:w="108" w:type="dxa"/>
                    <w:bottom w:w="0" w:type="dxa"/>
                    <w:right w:w="108" w:type="dxa"/>
                  </w:tcMar>
                  <w:vAlign w:val="center"/>
                </w:tcPr>
                <w:p w14:paraId="34E26D8B">
                  <w:pPr>
                    <w:autoSpaceDE w:val="0"/>
                    <w:autoSpaceDN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1236" w:type="dxa"/>
                  <w:noWrap w:val="0"/>
                  <w:tcMar>
                    <w:top w:w="0" w:type="dxa"/>
                    <w:left w:w="108" w:type="dxa"/>
                    <w:bottom w:w="0" w:type="dxa"/>
                    <w:right w:w="108" w:type="dxa"/>
                  </w:tcMar>
                  <w:vAlign w:val="center"/>
                </w:tcPr>
                <w:p w14:paraId="049AE336">
                  <w:pPr>
                    <w:autoSpaceDE w:val="0"/>
                    <w:autoSpaceDN w:val="0"/>
                    <w:jc w:val="center"/>
                    <w:rPr>
                      <w:rFonts w:hint="default"/>
                      <w:color w:val="auto"/>
                      <w:sz w:val="21"/>
                      <w:szCs w:val="21"/>
                      <w:highlight w:val="none"/>
                      <w:lang w:val="en-US" w:eastAsia="zh-CN"/>
                    </w:rPr>
                  </w:pPr>
                  <w:r>
                    <w:rPr>
                      <w:rFonts w:hint="eastAsia"/>
                      <w:color w:val="auto"/>
                      <w:sz w:val="21"/>
                      <w:szCs w:val="21"/>
                      <w:highlight w:val="none"/>
                      <w:lang w:val="en-US" w:eastAsia="zh-CN"/>
                    </w:rPr>
                    <w:t>0.001</w:t>
                  </w:r>
                </w:p>
              </w:tc>
              <w:tc>
                <w:tcPr>
                  <w:tcW w:w="1023" w:type="pct"/>
                  <w:noWrap w:val="0"/>
                  <w:tcMar>
                    <w:top w:w="0" w:type="dxa"/>
                    <w:left w:w="108" w:type="dxa"/>
                    <w:bottom w:w="0" w:type="dxa"/>
                    <w:right w:w="108" w:type="dxa"/>
                  </w:tcMar>
                  <w:vAlign w:val="center"/>
                </w:tcPr>
                <w:p w14:paraId="0A770932">
                  <w:pPr>
                    <w:jc w:val="center"/>
                    <w:rPr>
                      <w:color w:val="auto"/>
                      <w:kern w:val="0"/>
                      <w:sz w:val="21"/>
                      <w:szCs w:val="21"/>
                      <w:highlight w:val="none"/>
                    </w:rPr>
                  </w:pPr>
                  <w:r>
                    <w:rPr>
                      <w:color w:val="auto"/>
                      <w:kern w:val="0"/>
                      <w:sz w:val="21"/>
                      <w:szCs w:val="21"/>
                      <w:highlight w:val="none"/>
                    </w:rPr>
                    <w:t>HJ169-2018</w:t>
                  </w:r>
                </w:p>
                <w:p w14:paraId="3CDEBED3">
                  <w:pPr>
                    <w:jc w:val="center"/>
                    <w:rPr>
                      <w:color w:val="auto"/>
                      <w:kern w:val="0"/>
                      <w:sz w:val="21"/>
                      <w:szCs w:val="21"/>
                      <w:highlight w:val="none"/>
                    </w:rPr>
                  </w:pPr>
                  <w:r>
                    <w:rPr>
                      <w:color w:val="auto"/>
                      <w:kern w:val="0"/>
                      <w:sz w:val="21"/>
                      <w:szCs w:val="21"/>
                      <w:highlight w:val="none"/>
                    </w:rPr>
                    <w:t>附录B.2</w:t>
                  </w:r>
                </w:p>
              </w:tc>
            </w:tr>
            <w:tr w14:paraId="3E1F1E1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354" w:type="pct"/>
                  <w:noWrap w:val="0"/>
                  <w:tcMar>
                    <w:top w:w="0" w:type="dxa"/>
                    <w:left w:w="108" w:type="dxa"/>
                    <w:bottom w:w="0" w:type="dxa"/>
                    <w:right w:w="108" w:type="dxa"/>
                  </w:tcMar>
                  <w:vAlign w:val="center"/>
                </w:tcPr>
                <w:p w14:paraId="3E3DA85E">
                  <w:pPr>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865" w:type="pct"/>
                  <w:noWrap w:val="0"/>
                  <w:tcMar>
                    <w:top w:w="0" w:type="dxa"/>
                    <w:left w:w="108" w:type="dxa"/>
                    <w:bottom w:w="0" w:type="dxa"/>
                    <w:right w:w="108" w:type="dxa"/>
                  </w:tcMar>
                  <w:vAlign w:val="center"/>
                </w:tcPr>
                <w:p w14:paraId="537F4367">
                  <w:pPr>
                    <w:widowControl/>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废液</w:t>
                  </w:r>
                </w:p>
              </w:tc>
              <w:tc>
                <w:tcPr>
                  <w:tcW w:w="754" w:type="pct"/>
                  <w:noWrap w:val="0"/>
                  <w:tcMar>
                    <w:top w:w="0" w:type="dxa"/>
                    <w:left w:w="108" w:type="dxa"/>
                    <w:bottom w:w="0" w:type="dxa"/>
                    <w:right w:w="108" w:type="dxa"/>
                  </w:tcMar>
                  <w:vAlign w:val="center"/>
                </w:tcPr>
                <w:p w14:paraId="6D82D089">
                  <w:pPr>
                    <w:kinsoku w:val="0"/>
                    <w:overflowPunct w:val="0"/>
                    <w:ind w:left="3"/>
                    <w:jc w:val="center"/>
                    <w:rPr>
                      <w:color w:val="auto"/>
                      <w:sz w:val="21"/>
                      <w:szCs w:val="21"/>
                      <w:highlight w:val="none"/>
                    </w:rPr>
                  </w:pPr>
                  <w:r>
                    <w:rPr>
                      <w:color w:val="auto"/>
                      <w:sz w:val="21"/>
                      <w:szCs w:val="21"/>
                      <w:highlight w:val="none"/>
                    </w:rPr>
                    <w:t>/</w:t>
                  </w:r>
                </w:p>
              </w:tc>
              <w:tc>
                <w:tcPr>
                  <w:tcW w:w="676" w:type="pct"/>
                  <w:noWrap w:val="0"/>
                  <w:tcMar>
                    <w:top w:w="0" w:type="dxa"/>
                    <w:left w:w="108" w:type="dxa"/>
                    <w:bottom w:w="0" w:type="dxa"/>
                    <w:right w:w="108" w:type="dxa"/>
                  </w:tcMar>
                  <w:vAlign w:val="center"/>
                </w:tcPr>
                <w:p w14:paraId="2DA6AE52">
                  <w:pPr>
                    <w:widowControl/>
                    <w:jc w:val="center"/>
                    <w:textAlignment w:val="center"/>
                    <w:rPr>
                      <w:rFonts w:hint="default" w:eastAsia="宋体"/>
                      <w:color w:val="FF0000"/>
                      <w:sz w:val="21"/>
                      <w:szCs w:val="21"/>
                      <w:highlight w:val="none"/>
                      <w:lang w:val="en-US" w:eastAsia="zh-CN"/>
                    </w:rPr>
                  </w:pPr>
                  <w:r>
                    <w:rPr>
                      <w:rFonts w:hint="eastAsia"/>
                      <w:color w:val="000000" w:themeColor="text1"/>
                      <w:sz w:val="21"/>
                      <w:szCs w:val="21"/>
                      <w:highlight w:val="none"/>
                      <w:lang w:val="en-US" w:eastAsia="zh-CN"/>
                      <w14:textFill>
                        <w14:solidFill>
                          <w14:schemeClr w14:val="tx1"/>
                        </w14:solidFill>
                      </w14:textFill>
                    </w:rPr>
                    <w:t>0.632</w:t>
                  </w:r>
                </w:p>
              </w:tc>
              <w:tc>
                <w:tcPr>
                  <w:tcW w:w="585" w:type="pct"/>
                  <w:noWrap w:val="0"/>
                  <w:tcMar>
                    <w:top w:w="0" w:type="dxa"/>
                    <w:left w:w="108" w:type="dxa"/>
                    <w:bottom w:w="0" w:type="dxa"/>
                    <w:right w:w="108" w:type="dxa"/>
                  </w:tcMar>
                  <w:vAlign w:val="center"/>
                </w:tcPr>
                <w:p w14:paraId="60CAEFCE">
                  <w:pPr>
                    <w:autoSpaceDE w:val="0"/>
                    <w:autoSpaceDN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w:t>
                  </w:r>
                </w:p>
              </w:tc>
              <w:tc>
                <w:tcPr>
                  <w:tcW w:w="1236" w:type="dxa"/>
                  <w:noWrap w:val="0"/>
                  <w:tcMar>
                    <w:top w:w="0" w:type="dxa"/>
                    <w:left w:w="108" w:type="dxa"/>
                    <w:bottom w:w="0" w:type="dxa"/>
                    <w:right w:w="108" w:type="dxa"/>
                  </w:tcMar>
                  <w:vAlign w:val="center"/>
                </w:tcPr>
                <w:p w14:paraId="58794545">
                  <w:pPr>
                    <w:autoSpaceDE w:val="0"/>
                    <w:autoSpaceDN w:val="0"/>
                    <w:jc w:val="center"/>
                    <w:rPr>
                      <w:rFonts w:hint="default"/>
                      <w:color w:val="auto"/>
                      <w:sz w:val="21"/>
                      <w:szCs w:val="21"/>
                      <w:highlight w:val="none"/>
                      <w:lang w:val="en-US" w:eastAsia="zh-CN"/>
                    </w:rPr>
                  </w:pPr>
                  <w:r>
                    <w:rPr>
                      <w:rFonts w:hint="eastAsia"/>
                      <w:color w:val="auto"/>
                      <w:sz w:val="21"/>
                      <w:szCs w:val="21"/>
                      <w:highlight w:val="none"/>
                      <w:lang w:val="en-US" w:eastAsia="zh-CN"/>
                    </w:rPr>
                    <w:t>0.00316</w:t>
                  </w:r>
                </w:p>
              </w:tc>
              <w:tc>
                <w:tcPr>
                  <w:tcW w:w="1023" w:type="pct"/>
                  <w:noWrap w:val="0"/>
                  <w:tcMar>
                    <w:top w:w="0" w:type="dxa"/>
                    <w:left w:w="108" w:type="dxa"/>
                    <w:bottom w:w="0" w:type="dxa"/>
                    <w:right w:w="108" w:type="dxa"/>
                  </w:tcMar>
                  <w:vAlign w:val="center"/>
                </w:tcPr>
                <w:p w14:paraId="79DA75FB">
                  <w:pPr>
                    <w:jc w:val="center"/>
                    <w:rPr>
                      <w:color w:val="auto"/>
                      <w:kern w:val="0"/>
                      <w:sz w:val="21"/>
                      <w:szCs w:val="21"/>
                      <w:highlight w:val="none"/>
                    </w:rPr>
                  </w:pPr>
                  <w:r>
                    <w:rPr>
                      <w:color w:val="auto"/>
                      <w:kern w:val="0"/>
                      <w:sz w:val="21"/>
                      <w:szCs w:val="21"/>
                      <w:highlight w:val="none"/>
                    </w:rPr>
                    <w:t>HJ169-2018</w:t>
                  </w:r>
                </w:p>
                <w:p w14:paraId="3810B9EA">
                  <w:pPr>
                    <w:jc w:val="center"/>
                    <w:rPr>
                      <w:color w:val="auto"/>
                      <w:kern w:val="0"/>
                      <w:sz w:val="21"/>
                      <w:szCs w:val="21"/>
                      <w:highlight w:val="none"/>
                    </w:rPr>
                  </w:pPr>
                  <w:r>
                    <w:rPr>
                      <w:color w:val="auto"/>
                      <w:kern w:val="0"/>
                      <w:sz w:val="21"/>
                      <w:szCs w:val="21"/>
                      <w:highlight w:val="none"/>
                    </w:rPr>
                    <w:t>附录B.2</w:t>
                  </w:r>
                </w:p>
              </w:tc>
            </w:tr>
            <w:tr w14:paraId="6C863CF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354" w:type="pct"/>
                  <w:noWrap w:val="0"/>
                  <w:tcMar>
                    <w:top w:w="0" w:type="dxa"/>
                    <w:left w:w="108" w:type="dxa"/>
                    <w:bottom w:w="0" w:type="dxa"/>
                    <w:right w:w="108" w:type="dxa"/>
                  </w:tcMar>
                  <w:vAlign w:val="center"/>
                </w:tcPr>
                <w:p w14:paraId="6E7BA454">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4</w:t>
                  </w:r>
                </w:p>
              </w:tc>
              <w:tc>
                <w:tcPr>
                  <w:tcW w:w="865" w:type="pct"/>
                  <w:noWrap w:val="0"/>
                  <w:tcMar>
                    <w:top w:w="0" w:type="dxa"/>
                    <w:left w:w="108" w:type="dxa"/>
                    <w:bottom w:w="0" w:type="dxa"/>
                    <w:right w:w="108" w:type="dxa"/>
                  </w:tcMar>
                  <w:vAlign w:val="center"/>
                </w:tcPr>
                <w:p w14:paraId="78A6688D">
                  <w:pPr>
                    <w:widowControl/>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废活性炭</w:t>
                  </w:r>
                </w:p>
              </w:tc>
              <w:tc>
                <w:tcPr>
                  <w:tcW w:w="754" w:type="pct"/>
                  <w:noWrap w:val="0"/>
                  <w:tcMar>
                    <w:top w:w="0" w:type="dxa"/>
                    <w:left w:w="108" w:type="dxa"/>
                    <w:bottom w:w="0" w:type="dxa"/>
                    <w:right w:w="108" w:type="dxa"/>
                  </w:tcMar>
                  <w:vAlign w:val="center"/>
                </w:tcPr>
                <w:p w14:paraId="1CC8F510">
                  <w:pPr>
                    <w:kinsoku w:val="0"/>
                    <w:overflowPunct w:val="0"/>
                    <w:ind w:left="3"/>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676" w:type="pct"/>
                  <w:noWrap w:val="0"/>
                  <w:tcMar>
                    <w:top w:w="0" w:type="dxa"/>
                    <w:left w:w="108" w:type="dxa"/>
                    <w:bottom w:w="0" w:type="dxa"/>
                    <w:right w:w="108" w:type="dxa"/>
                  </w:tcMar>
                  <w:vAlign w:val="center"/>
                </w:tcPr>
                <w:p w14:paraId="4D33A626">
                  <w:pPr>
                    <w:widowControl/>
                    <w:jc w:val="center"/>
                    <w:textAlignment w:val="center"/>
                    <w:rPr>
                      <w:rFonts w:hint="default"/>
                      <w:color w:val="FF0000"/>
                      <w:sz w:val="21"/>
                      <w:szCs w:val="21"/>
                      <w:highlight w:val="none"/>
                      <w:lang w:val="en-US" w:eastAsia="zh-CN"/>
                    </w:rPr>
                  </w:pPr>
                  <w:r>
                    <w:rPr>
                      <w:rFonts w:hint="eastAsia"/>
                      <w:color w:val="000000" w:themeColor="text1"/>
                      <w:sz w:val="21"/>
                      <w:szCs w:val="21"/>
                      <w:highlight w:val="none"/>
                      <w:lang w:val="en-US" w:eastAsia="zh-CN"/>
                      <w14:textFill>
                        <w14:solidFill>
                          <w14:schemeClr w14:val="tx1"/>
                        </w14:solidFill>
                      </w14:textFill>
                    </w:rPr>
                    <w:t>0.058</w:t>
                  </w:r>
                </w:p>
              </w:tc>
              <w:tc>
                <w:tcPr>
                  <w:tcW w:w="585" w:type="pct"/>
                  <w:noWrap w:val="0"/>
                  <w:tcMar>
                    <w:top w:w="0" w:type="dxa"/>
                    <w:left w:w="108" w:type="dxa"/>
                    <w:bottom w:w="0" w:type="dxa"/>
                    <w:right w:w="108" w:type="dxa"/>
                  </w:tcMar>
                  <w:vAlign w:val="center"/>
                </w:tcPr>
                <w:p w14:paraId="44457BE9">
                  <w:pPr>
                    <w:autoSpaceDE w:val="0"/>
                    <w:autoSpaceDN w:val="0"/>
                    <w:jc w:val="center"/>
                    <w:rPr>
                      <w:rFonts w:hint="default"/>
                      <w:color w:val="auto"/>
                      <w:sz w:val="21"/>
                      <w:szCs w:val="21"/>
                      <w:highlight w:val="none"/>
                      <w:lang w:val="en-US" w:eastAsia="zh-CN"/>
                    </w:rPr>
                  </w:pPr>
                  <w:r>
                    <w:rPr>
                      <w:rFonts w:hint="eastAsia"/>
                      <w:color w:val="auto"/>
                      <w:sz w:val="21"/>
                      <w:szCs w:val="21"/>
                      <w:highlight w:val="none"/>
                      <w:lang w:val="en-US" w:eastAsia="zh-CN"/>
                    </w:rPr>
                    <w:t>200</w:t>
                  </w:r>
                </w:p>
              </w:tc>
              <w:tc>
                <w:tcPr>
                  <w:tcW w:w="1236" w:type="dxa"/>
                  <w:noWrap w:val="0"/>
                  <w:tcMar>
                    <w:top w:w="0" w:type="dxa"/>
                    <w:left w:w="108" w:type="dxa"/>
                    <w:bottom w:w="0" w:type="dxa"/>
                    <w:right w:w="108" w:type="dxa"/>
                  </w:tcMar>
                  <w:vAlign w:val="center"/>
                </w:tcPr>
                <w:p w14:paraId="576CCAE7">
                  <w:pPr>
                    <w:autoSpaceDE w:val="0"/>
                    <w:autoSpaceDN w:val="0"/>
                    <w:jc w:val="center"/>
                    <w:rPr>
                      <w:rFonts w:hint="default"/>
                      <w:color w:val="auto"/>
                      <w:sz w:val="21"/>
                      <w:szCs w:val="21"/>
                      <w:highlight w:val="none"/>
                      <w:lang w:val="en-US" w:eastAsia="zh-CN"/>
                    </w:rPr>
                  </w:pPr>
                  <w:r>
                    <w:rPr>
                      <w:rFonts w:hint="eastAsia"/>
                      <w:color w:val="auto"/>
                      <w:sz w:val="21"/>
                      <w:szCs w:val="21"/>
                      <w:highlight w:val="none"/>
                      <w:lang w:val="en-US" w:eastAsia="zh-CN"/>
                    </w:rPr>
                    <w:t>0.00029</w:t>
                  </w:r>
                </w:p>
              </w:tc>
              <w:tc>
                <w:tcPr>
                  <w:tcW w:w="1023" w:type="pct"/>
                  <w:noWrap w:val="0"/>
                  <w:tcMar>
                    <w:top w:w="0" w:type="dxa"/>
                    <w:left w:w="108" w:type="dxa"/>
                    <w:bottom w:w="0" w:type="dxa"/>
                    <w:right w:w="108" w:type="dxa"/>
                  </w:tcMar>
                  <w:vAlign w:val="center"/>
                </w:tcPr>
                <w:p w14:paraId="2B5A6C52">
                  <w:pPr>
                    <w:jc w:val="center"/>
                    <w:rPr>
                      <w:color w:val="auto"/>
                      <w:kern w:val="0"/>
                      <w:sz w:val="21"/>
                      <w:szCs w:val="21"/>
                      <w:highlight w:val="none"/>
                    </w:rPr>
                  </w:pPr>
                  <w:r>
                    <w:rPr>
                      <w:color w:val="auto"/>
                      <w:kern w:val="0"/>
                      <w:sz w:val="21"/>
                      <w:szCs w:val="21"/>
                      <w:highlight w:val="none"/>
                    </w:rPr>
                    <w:t>HJ169-2018</w:t>
                  </w:r>
                </w:p>
                <w:p w14:paraId="337DDC21">
                  <w:pPr>
                    <w:jc w:val="center"/>
                    <w:rPr>
                      <w:color w:val="auto"/>
                      <w:kern w:val="0"/>
                      <w:sz w:val="21"/>
                      <w:szCs w:val="21"/>
                      <w:highlight w:val="none"/>
                    </w:rPr>
                  </w:pPr>
                  <w:r>
                    <w:rPr>
                      <w:color w:val="auto"/>
                      <w:kern w:val="0"/>
                      <w:sz w:val="21"/>
                      <w:szCs w:val="21"/>
                      <w:highlight w:val="none"/>
                    </w:rPr>
                    <w:t>附录B.2</w:t>
                  </w:r>
                </w:p>
              </w:tc>
            </w:tr>
            <w:tr w14:paraId="6A28C60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354" w:type="pct"/>
                  <w:noWrap w:val="0"/>
                  <w:tcMar>
                    <w:top w:w="0" w:type="dxa"/>
                    <w:left w:w="108" w:type="dxa"/>
                    <w:bottom w:w="0" w:type="dxa"/>
                    <w:right w:w="108" w:type="dxa"/>
                  </w:tcMar>
                  <w:vAlign w:val="center"/>
                </w:tcPr>
                <w:p w14:paraId="631EE821">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5</w:t>
                  </w:r>
                </w:p>
              </w:tc>
              <w:tc>
                <w:tcPr>
                  <w:tcW w:w="865" w:type="pct"/>
                  <w:noWrap w:val="0"/>
                  <w:tcMar>
                    <w:top w:w="0" w:type="dxa"/>
                    <w:left w:w="108" w:type="dxa"/>
                    <w:bottom w:w="0" w:type="dxa"/>
                    <w:right w:w="108" w:type="dxa"/>
                  </w:tcMar>
                  <w:vAlign w:val="center"/>
                </w:tcPr>
                <w:p w14:paraId="5A0B192C">
                  <w:pPr>
                    <w:widowControl/>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废渣</w:t>
                  </w:r>
                </w:p>
              </w:tc>
              <w:tc>
                <w:tcPr>
                  <w:tcW w:w="754" w:type="pct"/>
                  <w:noWrap w:val="0"/>
                  <w:tcMar>
                    <w:top w:w="0" w:type="dxa"/>
                    <w:left w:w="108" w:type="dxa"/>
                    <w:bottom w:w="0" w:type="dxa"/>
                    <w:right w:w="108" w:type="dxa"/>
                  </w:tcMar>
                  <w:vAlign w:val="center"/>
                </w:tcPr>
                <w:p w14:paraId="4F1AAC42">
                  <w:pPr>
                    <w:kinsoku w:val="0"/>
                    <w:overflowPunct w:val="0"/>
                    <w:ind w:left="3"/>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76" w:type="pct"/>
                  <w:noWrap w:val="0"/>
                  <w:tcMar>
                    <w:top w:w="0" w:type="dxa"/>
                    <w:left w:w="108" w:type="dxa"/>
                    <w:bottom w:w="0" w:type="dxa"/>
                    <w:right w:w="108" w:type="dxa"/>
                  </w:tcMar>
                  <w:vAlign w:val="center"/>
                </w:tcPr>
                <w:p w14:paraId="25AEC6E9">
                  <w:pPr>
                    <w:widowControl/>
                    <w:jc w:val="center"/>
                    <w:textAlignment w:val="center"/>
                    <w:rPr>
                      <w:rFonts w:hint="default"/>
                      <w:color w:val="FF0000"/>
                      <w:sz w:val="21"/>
                      <w:szCs w:val="21"/>
                      <w:highlight w:val="none"/>
                      <w:lang w:val="en-US" w:eastAsia="zh-CN"/>
                    </w:rPr>
                  </w:pPr>
                  <w:r>
                    <w:rPr>
                      <w:rFonts w:hint="eastAsia"/>
                      <w:color w:val="000000" w:themeColor="text1"/>
                      <w:sz w:val="21"/>
                      <w:szCs w:val="21"/>
                      <w:highlight w:val="none"/>
                      <w:lang w:val="en-US" w:eastAsia="zh-CN"/>
                      <w14:textFill>
                        <w14:solidFill>
                          <w14:schemeClr w14:val="tx1"/>
                        </w14:solidFill>
                      </w14:textFill>
                    </w:rPr>
                    <w:t>0.1</w:t>
                  </w:r>
                </w:p>
              </w:tc>
              <w:tc>
                <w:tcPr>
                  <w:tcW w:w="585" w:type="pct"/>
                  <w:noWrap w:val="0"/>
                  <w:tcMar>
                    <w:top w:w="0" w:type="dxa"/>
                    <w:left w:w="108" w:type="dxa"/>
                    <w:bottom w:w="0" w:type="dxa"/>
                    <w:right w:w="108" w:type="dxa"/>
                  </w:tcMar>
                  <w:vAlign w:val="center"/>
                </w:tcPr>
                <w:p w14:paraId="04BBF531">
                  <w:pPr>
                    <w:autoSpaceDE w:val="0"/>
                    <w:autoSpaceDN w:val="0"/>
                    <w:jc w:val="center"/>
                    <w:rPr>
                      <w:rFonts w:hint="eastAsia"/>
                      <w:color w:val="auto"/>
                      <w:sz w:val="21"/>
                      <w:szCs w:val="21"/>
                      <w:highlight w:val="none"/>
                      <w:lang w:val="en-US" w:eastAsia="zh-CN"/>
                    </w:rPr>
                  </w:pPr>
                  <w:r>
                    <w:rPr>
                      <w:rFonts w:hint="eastAsia"/>
                      <w:color w:val="auto"/>
                      <w:sz w:val="21"/>
                      <w:szCs w:val="21"/>
                      <w:highlight w:val="none"/>
                      <w:lang w:val="en-US" w:eastAsia="zh-CN"/>
                    </w:rPr>
                    <w:t>200</w:t>
                  </w:r>
                </w:p>
              </w:tc>
              <w:tc>
                <w:tcPr>
                  <w:tcW w:w="1236" w:type="dxa"/>
                  <w:noWrap w:val="0"/>
                  <w:tcMar>
                    <w:top w:w="0" w:type="dxa"/>
                    <w:left w:w="108" w:type="dxa"/>
                    <w:bottom w:w="0" w:type="dxa"/>
                    <w:right w:w="108" w:type="dxa"/>
                  </w:tcMar>
                  <w:vAlign w:val="center"/>
                </w:tcPr>
                <w:p w14:paraId="6F599DDF">
                  <w:pPr>
                    <w:autoSpaceDE w:val="0"/>
                    <w:autoSpaceDN w:val="0"/>
                    <w:jc w:val="center"/>
                    <w:rPr>
                      <w:rFonts w:hint="eastAsia"/>
                      <w:color w:val="auto"/>
                      <w:sz w:val="21"/>
                      <w:szCs w:val="21"/>
                      <w:highlight w:val="none"/>
                      <w:lang w:val="en-US" w:eastAsia="zh-CN"/>
                    </w:rPr>
                  </w:pPr>
                  <w:r>
                    <w:rPr>
                      <w:rFonts w:hint="eastAsia"/>
                      <w:color w:val="auto"/>
                      <w:sz w:val="21"/>
                      <w:szCs w:val="21"/>
                      <w:highlight w:val="none"/>
                      <w:lang w:val="en-US" w:eastAsia="zh-CN"/>
                    </w:rPr>
                    <w:t>0.0005</w:t>
                  </w:r>
                </w:p>
              </w:tc>
              <w:tc>
                <w:tcPr>
                  <w:tcW w:w="1023" w:type="pct"/>
                  <w:noWrap w:val="0"/>
                  <w:tcMar>
                    <w:top w:w="0" w:type="dxa"/>
                    <w:left w:w="108" w:type="dxa"/>
                    <w:bottom w:w="0" w:type="dxa"/>
                    <w:right w:w="108" w:type="dxa"/>
                  </w:tcMar>
                  <w:vAlign w:val="center"/>
                </w:tcPr>
                <w:p w14:paraId="2251CFCD">
                  <w:pPr>
                    <w:jc w:val="center"/>
                    <w:rPr>
                      <w:color w:val="auto"/>
                      <w:kern w:val="0"/>
                      <w:sz w:val="21"/>
                      <w:szCs w:val="21"/>
                      <w:highlight w:val="none"/>
                    </w:rPr>
                  </w:pPr>
                  <w:r>
                    <w:rPr>
                      <w:color w:val="auto"/>
                      <w:kern w:val="0"/>
                      <w:sz w:val="21"/>
                      <w:szCs w:val="21"/>
                      <w:highlight w:val="none"/>
                    </w:rPr>
                    <w:t>HJ169-2018</w:t>
                  </w:r>
                </w:p>
                <w:p w14:paraId="3F368A27">
                  <w:pPr>
                    <w:jc w:val="center"/>
                    <w:rPr>
                      <w:color w:val="auto"/>
                      <w:kern w:val="0"/>
                      <w:sz w:val="21"/>
                      <w:szCs w:val="21"/>
                      <w:highlight w:val="none"/>
                    </w:rPr>
                  </w:pPr>
                  <w:r>
                    <w:rPr>
                      <w:color w:val="auto"/>
                      <w:kern w:val="0"/>
                      <w:sz w:val="21"/>
                      <w:szCs w:val="21"/>
                      <w:highlight w:val="none"/>
                    </w:rPr>
                    <w:t>附录B.2</w:t>
                  </w:r>
                </w:p>
              </w:tc>
            </w:tr>
            <w:tr w14:paraId="7E3787E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2650" w:type="pct"/>
                  <w:gridSpan w:val="4"/>
                  <w:noWrap w:val="0"/>
                  <w:tcMar>
                    <w:top w:w="0" w:type="dxa"/>
                    <w:left w:w="108" w:type="dxa"/>
                    <w:bottom w:w="0" w:type="dxa"/>
                    <w:right w:w="108" w:type="dxa"/>
                  </w:tcMar>
                  <w:vAlign w:val="center"/>
                </w:tcPr>
                <w:p w14:paraId="57CE7D01">
                  <w:pPr>
                    <w:jc w:val="center"/>
                    <w:rPr>
                      <w:color w:val="auto"/>
                      <w:kern w:val="0"/>
                      <w:sz w:val="21"/>
                      <w:szCs w:val="21"/>
                      <w:highlight w:val="none"/>
                    </w:rPr>
                  </w:pPr>
                  <w:r>
                    <w:rPr>
                      <w:color w:val="auto"/>
                      <w:kern w:val="0"/>
                      <w:sz w:val="21"/>
                      <w:szCs w:val="21"/>
                      <w:highlight w:val="none"/>
                    </w:rPr>
                    <w:t>合计</w:t>
                  </w:r>
                </w:p>
              </w:tc>
              <w:tc>
                <w:tcPr>
                  <w:tcW w:w="585" w:type="pct"/>
                  <w:noWrap w:val="0"/>
                  <w:tcMar>
                    <w:top w:w="0" w:type="dxa"/>
                    <w:left w:w="108" w:type="dxa"/>
                    <w:bottom w:w="0" w:type="dxa"/>
                    <w:right w:w="108" w:type="dxa"/>
                  </w:tcMar>
                  <w:vAlign w:val="center"/>
                </w:tcPr>
                <w:p w14:paraId="1CFC26E6">
                  <w:pPr>
                    <w:jc w:val="center"/>
                    <w:rPr>
                      <w:rFonts w:hint="eastAsia"/>
                      <w:color w:val="auto"/>
                      <w:kern w:val="0"/>
                      <w:sz w:val="21"/>
                      <w:szCs w:val="21"/>
                      <w:highlight w:val="none"/>
                    </w:rPr>
                  </w:pPr>
                  <w:r>
                    <w:rPr>
                      <w:rFonts w:hint="eastAsia"/>
                      <w:color w:val="auto"/>
                      <w:kern w:val="0"/>
                      <w:sz w:val="21"/>
                      <w:szCs w:val="21"/>
                      <w:highlight w:val="none"/>
                    </w:rPr>
                    <w:t>/</w:t>
                  </w:r>
                </w:p>
              </w:tc>
              <w:tc>
                <w:tcPr>
                  <w:tcW w:w="740" w:type="pct"/>
                  <w:noWrap w:val="0"/>
                  <w:tcMar>
                    <w:top w:w="0" w:type="dxa"/>
                    <w:left w:w="108" w:type="dxa"/>
                    <w:bottom w:w="0" w:type="dxa"/>
                    <w:right w:w="108" w:type="dxa"/>
                  </w:tcMar>
                  <w:vAlign w:val="center"/>
                </w:tcPr>
                <w:p w14:paraId="5C3AF1F7">
                  <w:pPr>
                    <w:widowControl/>
                    <w:jc w:val="center"/>
                    <w:textAlignment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0.005</w:t>
                  </w:r>
                </w:p>
              </w:tc>
              <w:tc>
                <w:tcPr>
                  <w:tcW w:w="1023" w:type="pct"/>
                  <w:noWrap w:val="0"/>
                  <w:tcMar>
                    <w:top w:w="0" w:type="dxa"/>
                    <w:left w:w="108" w:type="dxa"/>
                    <w:bottom w:w="0" w:type="dxa"/>
                    <w:right w:w="108" w:type="dxa"/>
                  </w:tcMar>
                  <w:vAlign w:val="center"/>
                </w:tcPr>
                <w:p w14:paraId="15562C6E">
                  <w:pPr>
                    <w:jc w:val="center"/>
                    <w:rPr>
                      <w:color w:val="auto"/>
                      <w:kern w:val="0"/>
                      <w:sz w:val="21"/>
                      <w:szCs w:val="21"/>
                      <w:highlight w:val="none"/>
                    </w:rPr>
                  </w:pPr>
                  <w:r>
                    <w:rPr>
                      <w:rFonts w:hint="eastAsia"/>
                      <w:color w:val="auto"/>
                      <w:kern w:val="0"/>
                      <w:sz w:val="21"/>
                      <w:szCs w:val="21"/>
                      <w:highlight w:val="none"/>
                    </w:rPr>
                    <w:t>/</w:t>
                  </w:r>
                </w:p>
              </w:tc>
            </w:tr>
          </w:tbl>
          <w:p w14:paraId="0CC2492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根据以上分析，本项目Q&lt;1，故环境风险潜势为Ⅰ。</w:t>
            </w:r>
          </w:p>
          <w:p w14:paraId="6025858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③评价等级判定</w:t>
            </w:r>
          </w:p>
          <w:p w14:paraId="69DD5BA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根据《建设项目环境风险评价技术导则》(HJ169-2018)表1，环境风险评价等级划分为一级、二级、三级，对照下表进行评价工作等级判定。</w:t>
            </w:r>
          </w:p>
          <w:p w14:paraId="64F01D3A">
            <w:pPr>
              <w:adjustRightInd w:val="0"/>
              <w:snapToGrid w:val="0"/>
              <w:spacing w:line="360" w:lineRule="exact"/>
              <w:ind w:firstLine="422" w:firstLineChars="20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25</w:t>
            </w:r>
            <w:r>
              <w:rPr>
                <w:rFonts w:hint="eastAsia"/>
                <w:b/>
                <w:bCs/>
                <w:color w:val="auto"/>
                <w:sz w:val="21"/>
                <w:szCs w:val="21"/>
              </w:rPr>
              <w:t xml:space="preserve">  评价工作等级划分</w:t>
            </w:r>
          </w:p>
          <w:tbl>
            <w:tblPr>
              <w:tblStyle w:val="22"/>
              <w:tblW w:w="4998"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669"/>
              <w:gridCol w:w="1669"/>
              <w:gridCol w:w="1669"/>
              <w:gridCol w:w="1669"/>
              <w:gridCol w:w="1670"/>
            </w:tblGrid>
            <w:tr w14:paraId="5EFC21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3" w:hRule="atLeast"/>
              </w:trPr>
              <w:tc>
                <w:tcPr>
                  <w:tcW w:w="1000" w:type="pct"/>
                  <w:noWrap w:val="0"/>
                  <w:vAlign w:val="center"/>
                </w:tcPr>
                <w:p w14:paraId="0D18D4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环境风险潜势</w:t>
                  </w:r>
                </w:p>
              </w:tc>
              <w:tc>
                <w:tcPr>
                  <w:tcW w:w="1000" w:type="pct"/>
                  <w:noWrap w:val="0"/>
                  <w:vAlign w:val="center"/>
                </w:tcPr>
                <w:p w14:paraId="3432E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Ⅳ、Ⅳ+</w:t>
                  </w:r>
                </w:p>
              </w:tc>
              <w:tc>
                <w:tcPr>
                  <w:tcW w:w="1000" w:type="pct"/>
                  <w:noWrap w:val="0"/>
                  <w:vAlign w:val="center"/>
                </w:tcPr>
                <w:p w14:paraId="58C055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Ⅲ</w:t>
                  </w:r>
                </w:p>
              </w:tc>
              <w:tc>
                <w:tcPr>
                  <w:tcW w:w="1000" w:type="pct"/>
                  <w:noWrap w:val="0"/>
                  <w:vAlign w:val="center"/>
                </w:tcPr>
                <w:p w14:paraId="004AFA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Ⅱ</w:t>
                  </w:r>
                </w:p>
              </w:tc>
              <w:tc>
                <w:tcPr>
                  <w:tcW w:w="1000" w:type="pct"/>
                  <w:noWrap w:val="0"/>
                  <w:vAlign w:val="center"/>
                </w:tcPr>
                <w:p w14:paraId="007222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Ⅰ</w:t>
                  </w:r>
                </w:p>
              </w:tc>
            </w:tr>
            <w:tr w14:paraId="1FC2E8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6" w:hRule="atLeast"/>
              </w:trPr>
              <w:tc>
                <w:tcPr>
                  <w:tcW w:w="1000" w:type="pct"/>
                  <w:shd w:val="clear" w:color="auto" w:fill="auto"/>
                  <w:noWrap w:val="0"/>
                  <w:vAlign w:val="center"/>
                </w:tcPr>
                <w:p w14:paraId="24151A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评价工作等级</w:t>
                  </w:r>
                </w:p>
              </w:tc>
              <w:tc>
                <w:tcPr>
                  <w:tcW w:w="1000" w:type="pct"/>
                  <w:shd w:val="clear" w:color="auto" w:fill="auto"/>
                  <w:noWrap w:val="0"/>
                  <w:vAlign w:val="center"/>
                </w:tcPr>
                <w:p w14:paraId="22840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000" w:type="pct"/>
                  <w:shd w:val="clear" w:color="auto" w:fill="auto"/>
                  <w:noWrap w:val="0"/>
                  <w:vAlign w:val="center"/>
                </w:tcPr>
                <w:p w14:paraId="19A8D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1000" w:type="pct"/>
                  <w:shd w:val="clear" w:color="auto" w:fill="auto"/>
                  <w:noWrap w:val="0"/>
                  <w:vAlign w:val="center"/>
                </w:tcPr>
                <w:p w14:paraId="421D0A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1000" w:type="pct"/>
                  <w:shd w:val="clear" w:color="auto" w:fill="F79646"/>
                  <w:noWrap w:val="0"/>
                  <w:vAlign w:val="center"/>
                </w:tcPr>
                <w:p w14:paraId="7A87CD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简单分析a</w:t>
                  </w:r>
                </w:p>
              </w:tc>
            </w:tr>
            <w:tr w14:paraId="44532E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c>
                <w:tcPr>
                  <w:tcW w:w="5000" w:type="pct"/>
                  <w:gridSpan w:val="5"/>
                  <w:noWrap w:val="0"/>
                  <w:vAlign w:val="center"/>
                </w:tcPr>
                <w:p w14:paraId="51635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a是相对于详细评价内容工作而言，在描述危险物质、环境影响途径、环境危害后果、风险防范措施等方面给出定性的说明。</w:t>
                  </w:r>
                </w:p>
              </w:tc>
            </w:tr>
          </w:tbl>
          <w:p w14:paraId="5694A5F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根据以上分析，本项目风险潜势为Ⅰ，只开展简单分析即可。</w:t>
            </w:r>
          </w:p>
          <w:p w14:paraId="7B59BCA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（二）环境敏感目标调查</w:t>
            </w:r>
          </w:p>
          <w:p w14:paraId="132BB06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拟建项目主要环境敏感目标分布详见表3-6。</w:t>
            </w:r>
          </w:p>
          <w:p w14:paraId="369C3ED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（三）环境风险识别</w:t>
            </w:r>
          </w:p>
          <w:p w14:paraId="4CAFDF3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根据《建设项目环境风险评价技术导则》(HJ169-2018)和《环境风险评价实用技术和方法》规定，风险评价首先要确定建设项目所用原辅材料的毒性、易燃易爆性等危险性级别。建设项目各类原料分布于生产车间内的原料堆放区，各危废均存放于危废仓库。</w:t>
            </w:r>
          </w:p>
          <w:p w14:paraId="356D8FC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主要影响途径为通过大气、地表水、地下水以及土壤影响环境。</w:t>
            </w:r>
          </w:p>
          <w:p w14:paraId="4972082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（四）环境影响分析</w:t>
            </w:r>
          </w:p>
          <w:p w14:paraId="75F16BA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①火灾影响</w:t>
            </w:r>
          </w:p>
          <w:p w14:paraId="4DD661B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本项目</w:t>
            </w:r>
            <w:r>
              <w:rPr>
                <w:rFonts w:hint="eastAsia"/>
                <w:color w:val="auto"/>
                <w:sz w:val="24"/>
                <w:szCs w:val="24"/>
                <w:lang w:val="en-US" w:eastAsia="zh-CN"/>
              </w:rPr>
              <w:t>乙醇</w:t>
            </w:r>
            <w:r>
              <w:rPr>
                <w:rFonts w:hint="eastAsia"/>
                <w:color w:val="auto"/>
                <w:sz w:val="24"/>
                <w:szCs w:val="24"/>
              </w:rPr>
              <w:t>等原料以及废活性炭等危险废物均具有可燃性，在生产及贮存过程中具有火灾风险，一旦发生火灾事故，将对环境及人身造成较大的影响。火灾放出大量的热辐射，危及火灾周围的人员生命及毗邻建筑物和设备的安全。放出大量热辐射的同时，火灾还散发大量的浓烟，对周围局部大气环境造成污染。</w:t>
            </w:r>
          </w:p>
          <w:p w14:paraId="3C0FADC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②泄露影响</w:t>
            </w:r>
          </w:p>
          <w:p w14:paraId="7CB8BFA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本项目使用各类原料存放于生产车间内的原料堆放区，危废存放于危废仓库，包装桶破损易导致各类液体原料或危废</w:t>
            </w:r>
            <w:r>
              <w:rPr>
                <w:rFonts w:hint="eastAsia"/>
                <w:color w:val="auto"/>
                <w:sz w:val="24"/>
                <w:szCs w:val="24"/>
                <w:lang w:eastAsia="zh-CN"/>
              </w:rPr>
              <w:t>泄漏</w:t>
            </w:r>
            <w:r>
              <w:rPr>
                <w:rFonts w:hint="eastAsia"/>
                <w:color w:val="auto"/>
                <w:sz w:val="24"/>
                <w:szCs w:val="24"/>
              </w:rPr>
              <w:t>，通过地表径流，影响地表水、地下水以及土壤影响环境。</w:t>
            </w:r>
          </w:p>
          <w:p w14:paraId="0B1EF2D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（五）环境风险防范措施及应急要求</w:t>
            </w:r>
          </w:p>
          <w:p w14:paraId="145563F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企业突发环境事件情景分析情况如下。</w:t>
            </w:r>
          </w:p>
          <w:p w14:paraId="3DF5CCD6">
            <w:pPr>
              <w:adjustRightInd w:val="0"/>
              <w:snapToGrid w:val="0"/>
              <w:spacing w:line="360" w:lineRule="exact"/>
              <w:ind w:firstLine="422" w:firstLineChars="20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26</w:t>
            </w:r>
            <w:r>
              <w:rPr>
                <w:rFonts w:hint="eastAsia"/>
                <w:b/>
                <w:bCs/>
                <w:color w:val="auto"/>
                <w:sz w:val="21"/>
                <w:szCs w:val="21"/>
              </w:rPr>
              <w:t xml:space="preserve"> 企业突发环境事件情景分析</w:t>
            </w:r>
          </w:p>
          <w:tbl>
            <w:tblPr>
              <w:tblStyle w:val="2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3022"/>
              <w:gridCol w:w="3857"/>
            </w:tblGrid>
            <w:tr w14:paraId="75645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0" w:type="pct"/>
                  <w:noWrap w:val="0"/>
                  <w:vAlign w:val="center"/>
                </w:tcPr>
                <w:p w14:paraId="61330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事故类型</w:t>
                  </w:r>
                </w:p>
              </w:tc>
              <w:tc>
                <w:tcPr>
                  <w:tcW w:w="1809" w:type="pct"/>
                  <w:noWrap w:val="0"/>
                  <w:vAlign w:val="center"/>
                </w:tcPr>
                <w:p w14:paraId="372B88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发生源</w:t>
                  </w:r>
                </w:p>
              </w:tc>
              <w:tc>
                <w:tcPr>
                  <w:tcW w:w="2309" w:type="pct"/>
                  <w:noWrap w:val="0"/>
                  <w:vAlign w:val="center"/>
                </w:tcPr>
                <w:p w14:paraId="2B56A7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情景分析</w:t>
                  </w:r>
                </w:p>
              </w:tc>
            </w:tr>
            <w:tr w14:paraId="6BAA6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80" w:type="pct"/>
                  <w:noWrap w:val="0"/>
                  <w:vAlign w:val="center"/>
                </w:tcPr>
                <w:p w14:paraId="3C1A2D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泄漏</w:t>
                  </w:r>
                </w:p>
              </w:tc>
              <w:tc>
                <w:tcPr>
                  <w:tcW w:w="1809" w:type="pct"/>
                  <w:noWrap w:val="0"/>
                  <w:vAlign w:val="center"/>
                </w:tcPr>
                <w:p w14:paraId="716E5B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液态原料包装</w:t>
                  </w:r>
                  <w:r>
                    <w:rPr>
                      <w:rFonts w:hint="eastAsia"/>
                      <w:color w:val="auto"/>
                      <w:sz w:val="21"/>
                      <w:szCs w:val="21"/>
                      <w:lang w:val="en-US" w:eastAsia="zh-CN"/>
                    </w:rPr>
                    <w:t>瓶</w:t>
                  </w:r>
                  <w:r>
                    <w:rPr>
                      <w:rFonts w:hint="eastAsia"/>
                      <w:color w:val="auto"/>
                      <w:sz w:val="21"/>
                      <w:szCs w:val="21"/>
                    </w:rPr>
                    <w:t>破裂、操作不当引发泄漏</w:t>
                  </w:r>
                </w:p>
              </w:tc>
              <w:tc>
                <w:tcPr>
                  <w:tcW w:w="2309" w:type="pct"/>
                  <w:noWrap w:val="0"/>
                  <w:vAlign w:val="center"/>
                </w:tcPr>
                <w:p w14:paraId="5E3076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乙醇</w:t>
                  </w:r>
                  <w:r>
                    <w:rPr>
                      <w:rFonts w:hint="eastAsia"/>
                      <w:color w:val="auto"/>
                      <w:sz w:val="21"/>
                      <w:szCs w:val="21"/>
                    </w:rPr>
                    <w:t>等液态原料泄漏处置不当进入外界水体造成水污染。</w:t>
                  </w:r>
                </w:p>
              </w:tc>
            </w:tr>
            <w:tr w14:paraId="2F277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80" w:type="pct"/>
                  <w:noWrap w:val="0"/>
                  <w:vAlign w:val="center"/>
                </w:tcPr>
                <w:p w14:paraId="06813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火灾、爆炸</w:t>
                  </w:r>
                </w:p>
              </w:tc>
              <w:tc>
                <w:tcPr>
                  <w:tcW w:w="1809" w:type="pct"/>
                  <w:noWrap w:val="0"/>
                  <w:vAlign w:val="center"/>
                </w:tcPr>
                <w:p w14:paraId="796A6C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液态原料及可燃危废遇明火、高热能引起燃烧爆炸、压缩气体能引起物理爆炸</w:t>
                  </w:r>
                </w:p>
              </w:tc>
              <w:tc>
                <w:tcPr>
                  <w:tcW w:w="2309" w:type="pct"/>
                  <w:noWrap w:val="0"/>
                  <w:vAlign w:val="center"/>
                </w:tcPr>
                <w:p w14:paraId="15D5C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乙醇</w:t>
                  </w:r>
                  <w:r>
                    <w:rPr>
                      <w:rFonts w:hint="eastAsia"/>
                      <w:color w:val="auto"/>
                      <w:sz w:val="21"/>
                      <w:szCs w:val="21"/>
                    </w:rPr>
                    <w:t>等原料以及废活性炭废油等危险废物</w:t>
                  </w:r>
                  <w:r>
                    <w:rPr>
                      <w:rFonts w:hint="eastAsia"/>
                      <w:color w:val="auto"/>
                      <w:sz w:val="21"/>
                      <w:szCs w:val="21"/>
                      <w:lang w:eastAsia="zh-CN"/>
                    </w:rPr>
                    <w:t>泄漏</w:t>
                  </w:r>
                  <w:r>
                    <w:rPr>
                      <w:rFonts w:hint="eastAsia"/>
                      <w:color w:val="auto"/>
                      <w:sz w:val="21"/>
                      <w:szCs w:val="21"/>
                    </w:rPr>
                    <w:t>后遇明火、高热能引起燃烧爆炸。</w:t>
                  </w:r>
                </w:p>
              </w:tc>
            </w:tr>
          </w:tbl>
          <w:p w14:paraId="543EB7E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1、泄漏事故</w:t>
            </w:r>
          </w:p>
          <w:p w14:paraId="043EC53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①泄漏事故防范措施</w:t>
            </w:r>
          </w:p>
          <w:p w14:paraId="6257DA4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A.原料房堆放液体原料的区域设置围堰，地面硬化、防腐防渗，设置导流沟收集槽，</w:t>
            </w:r>
            <w:r>
              <w:rPr>
                <w:rFonts w:hint="eastAsia"/>
                <w:color w:val="auto"/>
                <w:sz w:val="24"/>
                <w:szCs w:val="24"/>
                <w:lang w:eastAsia="zh-CN"/>
              </w:rPr>
              <w:t>泄漏</w:t>
            </w:r>
            <w:r>
              <w:rPr>
                <w:rFonts w:hint="eastAsia"/>
                <w:color w:val="auto"/>
                <w:sz w:val="24"/>
                <w:szCs w:val="24"/>
              </w:rPr>
              <w:t>的物料首先将被截流至围堰内；将危废暂存于危废堆场内的专用托盘内，物料泄漏后均留存于托盘内，不会产生外溢。</w:t>
            </w:r>
          </w:p>
          <w:p w14:paraId="0A390EF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②泄漏事故应急措施</w:t>
            </w:r>
          </w:p>
          <w:p w14:paraId="1076AD1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任何人一旦发现液体泄漏，立即向调度和值班人员报警，同时各作业岗位停止作业，关闭一定范围内的一切机泵、电源，应迅速采取堵漏措施。</w:t>
            </w:r>
          </w:p>
          <w:p w14:paraId="45CFEF1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调度和值班人员接到报警后，迅速通知，由</w:t>
            </w:r>
            <w:r>
              <w:rPr>
                <w:rFonts w:hint="eastAsia"/>
                <w:color w:val="auto"/>
                <w:sz w:val="24"/>
                <w:szCs w:val="24"/>
                <w:lang w:val="en-US" w:eastAsia="zh-CN"/>
              </w:rPr>
              <w:t>组长</w:t>
            </w:r>
            <w:r>
              <w:rPr>
                <w:rFonts w:hint="eastAsia"/>
                <w:color w:val="auto"/>
                <w:sz w:val="24"/>
                <w:szCs w:val="24"/>
              </w:rPr>
              <w:t>要求查明事故原因，下达应急救援指令，同时通知应急指挥部成员及抢险组开赴现场。</w:t>
            </w:r>
          </w:p>
          <w:p w14:paraId="3D58D52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应急指挥部成员接到报警后</w:t>
            </w:r>
            <w:r>
              <w:rPr>
                <w:rFonts w:hint="eastAsia"/>
                <w:color w:val="auto"/>
                <w:sz w:val="24"/>
                <w:szCs w:val="24"/>
                <w:lang w:eastAsia="zh-CN"/>
              </w:rPr>
              <w:t>戴</w:t>
            </w:r>
            <w:r>
              <w:rPr>
                <w:rFonts w:hint="eastAsia"/>
                <w:color w:val="auto"/>
                <w:sz w:val="24"/>
                <w:szCs w:val="24"/>
              </w:rPr>
              <w:t>好防护用品，迅速到达事故现场，督促现场人员撤离，并采取隔离措施，特别要防止液氧罐周围设施发生燃烧或冻裂。</w:t>
            </w:r>
          </w:p>
          <w:p w14:paraId="2D4B972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抢救小组在负责人带领下到达现场，负责现场治安、交通指挥及现场抢救工作，组织人员，在事故现场一定范围内设立警戒线，划分禁区。并加强警戒和巡逻检查。</w:t>
            </w:r>
          </w:p>
          <w:p w14:paraId="1126650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如果未发生燃爆事故，立即组织消防车和防爆通风设备对现场</w:t>
            </w:r>
            <w:r>
              <w:rPr>
                <w:rFonts w:hint="eastAsia"/>
                <w:color w:val="auto"/>
                <w:sz w:val="24"/>
                <w:szCs w:val="24"/>
                <w:lang w:eastAsia="zh-CN"/>
              </w:rPr>
              <w:t>泄漏</w:t>
            </w:r>
            <w:r>
              <w:rPr>
                <w:rFonts w:hint="eastAsia"/>
                <w:color w:val="auto"/>
                <w:sz w:val="24"/>
                <w:szCs w:val="24"/>
              </w:rPr>
              <w:t>气体浓度进行稀释；地面液体未完全蒸发前区域内暂停一切动火作业，通知质检化验人员在警戒线边做氧含量分析。如果已经发生爆炸，现场抢险人员也必须撤离到安全地带。</w:t>
            </w:r>
          </w:p>
          <w:p w14:paraId="6832A69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应急救援组视情况转移事故区域内的易燃易爆物品</w:t>
            </w:r>
          </w:p>
          <w:p w14:paraId="6A4D66C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救援小组组织职工脱离危险区后清查人员，对轻伤人员进行现场救治、联系车辆将重伤员送医院急救站救治。救援过程中本着“先救人后救物”的原则。</w:t>
            </w:r>
          </w:p>
          <w:p w14:paraId="4B710AD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当事故得到控制后，立即成立由生产副总经理组织相关职能部门负责人组成事故调查组，调查事故发生原因，制定防护措施。夜间</w:t>
            </w:r>
            <w:r>
              <w:rPr>
                <w:rFonts w:hint="eastAsia"/>
                <w:color w:val="auto"/>
                <w:sz w:val="24"/>
                <w:szCs w:val="24"/>
                <w:lang w:eastAsia="zh-CN"/>
              </w:rPr>
              <w:t>发生</w:t>
            </w:r>
            <w:r>
              <w:rPr>
                <w:rFonts w:hint="eastAsia"/>
                <w:color w:val="auto"/>
                <w:sz w:val="24"/>
                <w:szCs w:val="24"/>
              </w:rPr>
              <w:t>事故，由公司值班人员及调度室人员按应急救援预案，组织指挥事故处置并及时上报。</w:t>
            </w:r>
          </w:p>
          <w:p w14:paraId="12954C4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2、火灾爆炸事故</w:t>
            </w:r>
          </w:p>
          <w:p w14:paraId="238D9BB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①火灾爆炸事故防范措施</w:t>
            </w:r>
          </w:p>
          <w:p w14:paraId="11BAC40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A.管理方面：配备环保负责人员，通过技能培训，承担该公司运行中的环保安全工作，操作人员必须经过专门培训，严格遵守安全操作规程和消防安全管理制度，远离火种、热源，工作场所严禁吸烟。</w:t>
            </w:r>
          </w:p>
          <w:p w14:paraId="3445278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B.全厂配置一定数量的灭火设施。</w:t>
            </w:r>
          </w:p>
          <w:p w14:paraId="49FFD5F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C.专职人员巡查：通过操作人员，做到人员的巡查路线、频率符合危险源检查的要求，从而及时发现现场隐患，及时消除，确保安全生产。</w:t>
            </w:r>
          </w:p>
          <w:p w14:paraId="5AE099F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②火灾爆炸事故应急措施</w:t>
            </w:r>
          </w:p>
          <w:p w14:paraId="718B850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A.发现着火者立即通知公司应急指挥小组。</w:t>
            </w:r>
          </w:p>
          <w:p w14:paraId="140BB47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B.应急指挥小组首先通知综合协调员到现场确认事故情况，确定应急处理措施及方案。</w:t>
            </w:r>
          </w:p>
          <w:p w14:paraId="6DA47CF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C.公司应急指挥小组根据现场察勘情况，组织各成员实施应急预案，同时联系消防队等相关部门。</w:t>
            </w:r>
          </w:p>
          <w:p w14:paraId="0094F92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D.由公司应急指挥小组将事故情况向相关管理部门报告。</w:t>
            </w:r>
          </w:p>
          <w:p w14:paraId="5F887F4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E.医疗救助员组织现场的无关人员立即撤离事故现场，增援现场的受伤人员。</w:t>
            </w:r>
          </w:p>
          <w:p w14:paraId="61A5A41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F.在消防队或上级应急指挥小组到达后，将指挥、排险工作移交给消防队或上级应急指挥部。</w:t>
            </w:r>
          </w:p>
          <w:p w14:paraId="3CCC386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G.对原料包装桶及危废包装桶进行定期检查，确保包装完好。</w:t>
            </w:r>
          </w:p>
          <w:p w14:paraId="68783D7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为减小</w:t>
            </w:r>
            <w:r>
              <w:rPr>
                <w:rFonts w:hint="eastAsia"/>
                <w:color w:val="auto"/>
                <w:sz w:val="24"/>
                <w:szCs w:val="24"/>
                <w:lang w:eastAsia="zh-CN"/>
              </w:rPr>
              <w:t>泄漏</w:t>
            </w:r>
            <w:r>
              <w:rPr>
                <w:rFonts w:hint="eastAsia"/>
                <w:color w:val="auto"/>
                <w:sz w:val="24"/>
                <w:szCs w:val="24"/>
              </w:rPr>
              <w:t>、火灾等事故危害，企业应配备应急物资具体见表4-</w:t>
            </w:r>
            <w:r>
              <w:rPr>
                <w:rFonts w:hint="eastAsia"/>
                <w:color w:val="auto"/>
                <w:sz w:val="24"/>
                <w:szCs w:val="24"/>
                <w:lang w:val="en-US" w:eastAsia="zh-CN"/>
              </w:rPr>
              <w:t>27</w:t>
            </w:r>
            <w:r>
              <w:rPr>
                <w:rFonts w:hint="eastAsia"/>
                <w:color w:val="auto"/>
                <w:sz w:val="24"/>
                <w:szCs w:val="24"/>
              </w:rPr>
              <w:t>。</w:t>
            </w:r>
          </w:p>
          <w:p w14:paraId="0F6535D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b/>
                <w:bCs/>
                <w:color w:val="auto"/>
                <w:sz w:val="21"/>
                <w:szCs w:val="21"/>
                <w:lang w:val="zh-CN"/>
              </w:rPr>
            </w:pPr>
            <w:bookmarkStart w:id="78" w:name="_Hlk4052370"/>
            <w:bookmarkStart w:id="79" w:name="_Hlk3383096"/>
            <w:r>
              <w:rPr>
                <w:rFonts w:hint="eastAsia"/>
                <w:b/>
                <w:bCs/>
                <w:color w:val="auto"/>
                <w:sz w:val="21"/>
                <w:szCs w:val="21"/>
                <w:lang w:val="zh-CN"/>
              </w:rPr>
              <w:t>表</w:t>
            </w:r>
            <w:r>
              <w:rPr>
                <w:rFonts w:hint="eastAsia"/>
                <w:b/>
                <w:bCs/>
                <w:color w:val="auto"/>
                <w:sz w:val="21"/>
                <w:szCs w:val="21"/>
              </w:rPr>
              <w:t>4-</w:t>
            </w:r>
            <w:r>
              <w:rPr>
                <w:rFonts w:hint="eastAsia"/>
                <w:b/>
                <w:bCs/>
                <w:color w:val="auto"/>
                <w:sz w:val="21"/>
                <w:szCs w:val="21"/>
                <w:lang w:val="en-US" w:eastAsia="zh-CN"/>
              </w:rPr>
              <w:t>27</w:t>
            </w:r>
            <w:r>
              <w:rPr>
                <w:rFonts w:hint="eastAsia"/>
                <w:b/>
                <w:bCs/>
                <w:color w:val="auto"/>
                <w:sz w:val="21"/>
                <w:szCs w:val="21"/>
              </w:rPr>
              <w:t xml:space="preserve"> </w:t>
            </w:r>
            <w:r>
              <w:rPr>
                <w:rFonts w:hint="eastAsia"/>
                <w:b/>
                <w:bCs/>
                <w:color w:val="auto"/>
                <w:sz w:val="21"/>
                <w:szCs w:val="21"/>
                <w:lang w:val="zh-CN"/>
              </w:rPr>
              <w:t>生产区内配备应急设施（备）与物资表</w:t>
            </w:r>
            <w:bookmarkEnd w:id="78"/>
          </w:p>
          <w:bookmarkEnd w:id="79"/>
          <w:tbl>
            <w:tblPr>
              <w:tblStyle w:val="22"/>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35"/>
              <w:gridCol w:w="6011"/>
            </w:tblGrid>
            <w:tr w14:paraId="3F1EFE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15" w:hRule="atLeast"/>
              </w:trPr>
              <w:tc>
                <w:tcPr>
                  <w:tcW w:w="1399" w:type="pct"/>
                  <w:noWrap w:val="0"/>
                  <w:vAlign w:val="center"/>
                </w:tcPr>
                <w:p w14:paraId="3FBC05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序号</w:t>
                  </w:r>
                </w:p>
              </w:tc>
              <w:tc>
                <w:tcPr>
                  <w:tcW w:w="3600" w:type="pct"/>
                  <w:noWrap w:val="0"/>
                  <w:vAlign w:val="center"/>
                </w:tcPr>
                <w:p w14:paraId="3FFDC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名称</w:t>
                  </w:r>
                </w:p>
              </w:tc>
            </w:tr>
            <w:tr w14:paraId="13AF2B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1399" w:type="pct"/>
                  <w:noWrap w:val="0"/>
                  <w:vAlign w:val="center"/>
                </w:tcPr>
                <w:p w14:paraId="12984F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1</w:t>
                  </w:r>
                </w:p>
              </w:tc>
              <w:tc>
                <w:tcPr>
                  <w:tcW w:w="3600" w:type="pct"/>
                  <w:noWrap w:val="0"/>
                  <w:vAlign w:val="center"/>
                </w:tcPr>
                <w:p w14:paraId="0B4B6B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灭火器</w:t>
                  </w:r>
                </w:p>
              </w:tc>
            </w:tr>
            <w:tr w14:paraId="547C58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3" w:hRule="atLeast"/>
              </w:trPr>
              <w:tc>
                <w:tcPr>
                  <w:tcW w:w="1399" w:type="pct"/>
                  <w:noWrap w:val="0"/>
                  <w:vAlign w:val="center"/>
                </w:tcPr>
                <w:p w14:paraId="0ED562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2</w:t>
                  </w:r>
                </w:p>
              </w:tc>
              <w:tc>
                <w:tcPr>
                  <w:tcW w:w="3600" w:type="pct"/>
                  <w:noWrap w:val="0"/>
                  <w:vAlign w:val="center"/>
                </w:tcPr>
                <w:p w14:paraId="5FF81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消防砂箱（消防铲）</w:t>
                  </w:r>
                </w:p>
              </w:tc>
            </w:tr>
            <w:tr w14:paraId="3A657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9" w:type="pct"/>
                  <w:noWrap w:val="0"/>
                  <w:vAlign w:val="center"/>
                </w:tcPr>
                <w:p w14:paraId="77DF39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3</w:t>
                  </w:r>
                </w:p>
              </w:tc>
              <w:tc>
                <w:tcPr>
                  <w:tcW w:w="3600" w:type="pct"/>
                  <w:noWrap w:val="0"/>
                  <w:vAlign w:val="center"/>
                </w:tcPr>
                <w:p w14:paraId="27A2B8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微型消防站</w:t>
                  </w:r>
                </w:p>
              </w:tc>
            </w:tr>
            <w:tr w14:paraId="1661FD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9" w:type="pct"/>
                  <w:noWrap w:val="0"/>
                  <w:vAlign w:val="center"/>
                </w:tcPr>
                <w:p w14:paraId="373FE9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4</w:t>
                  </w:r>
                </w:p>
              </w:tc>
              <w:tc>
                <w:tcPr>
                  <w:tcW w:w="3600" w:type="pct"/>
                  <w:noWrap w:val="0"/>
                  <w:vAlign w:val="center"/>
                </w:tcPr>
                <w:p w14:paraId="5363C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应急手电</w:t>
                  </w:r>
                </w:p>
              </w:tc>
            </w:tr>
            <w:tr w14:paraId="3BF7E4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5" w:hRule="atLeast"/>
              </w:trPr>
              <w:tc>
                <w:tcPr>
                  <w:tcW w:w="1399" w:type="pct"/>
                  <w:noWrap w:val="0"/>
                  <w:vAlign w:val="center"/>
                </w:tcPr>
                <w:p w14:paraId="7632AC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5</w:t>
                  </w:r>
                </w:p>
              </w:tc>
              <w:tc>
                <w:tcPr>
                  <w:tcW w:w="3600" w:type="pct"/>
                  <w:noWrap w:val="0"/>
                  <w:vAlign w:val="center"/>
                </w:tcPr>
                <w:p w14:paraId="232B0B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担架</w:t>
                  </w:r>
                </w:p>
              </w:tc>
            </w:tr>
            <w:tr w14:paraId="10FAA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1399" w:type="pct"/>
                  <w:noWrap w:val="0"/>
                  <w:vAlign w:val="center"/>
                </w:tcPr>
                <w:p w14:paraId="62449F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6</w:t>
                  </w:r>
                </w:p>
              </w:tc>
              <w:tc>
                <w:tcPr>
                  <w:tcW w:w="3600" w:type="pct"/>
                  <w:noWrap w:val="0"/>
                  <w:vAlign w:val="center"/>
                </w:tcPr>
                <w:p w14:paraId="432347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急救药箱</w:t>
                  </w:r>
                </w:p>
              </w:tc>
            </w:tr>
            <w:tr w14:paraId="000759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 w:hRule="atLeast"/>
              </w:trPr>
              <w:tc>
                <w:tcPr>
                  <w:tcW w:w="1399" w:type="pct"/>
                  <w:noWrap w:val="0"/>
                  <w:vAlign w:val="center"/>
                </w:tcPr>
                <w:p w14:paraId="38222C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7</w:t>
                  </w:r>
                </w:p>
              </w:tc>
              <w:tc>
                <w:tcPr>
                  <w:tcW w:w="3600" w:type="pct"/>
                  <w:noWrap w:val="0"/>
                  <w:vAlign w:val="center"/>
                </w:tcPr>
                <w:p w14:paraId="43F5B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正压式呼吸器</w:t>
                  </w:r>
                </w:p>
              </w:tc>
            </w:tr>
            <w:tr w14:paraId="5262D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1399" w:type="pct"/>
                  <w:noWrap w:val="0"/>
                  <w:vAlign w:val="center"/>
                </w:tcPr>
                <w:p w14:paraId="05DD00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8</w:t>
                  </w:r>
                </w:p>
              </w:tc>
              <w:tc>
                <w:tcPr>
                  <w:tcW w:w="3600" w:type="pct"/>
                  <w:noWrap w:val="0"/>
                  <w:vAlign w:val="center"/>
                </w:tcPr>
                <w:p w14:paraId="26EF7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过滤式防毒面具</w:t>
                  </w:r>
                </w:p>
              </w:tc>
            </w:tr>
            <w:tr w14:paraId="7438BC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9" w:type="pct"/>
                  <w:noWrap w:val="0"/>
                  <w:vAlign w:val="center"/>
                </w:tcPr>
                <w:p w14:paraId="69A3D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9</w:t>
                  </w:r>
                </w:p>
              </w:tc>
              <w:tc>
                <w:tcPr>
                  <w:tcW w:w="3600" w:type="pct"/>
                  <w:noWrap w:val="0"/>
                  <w:vAlign w:val="center"/>
                </w:tcPr>
                <w:p w14:paraId="548E06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安全绳</w:t>
                  </w:r>
                </w:p>
              </w:tc>
            </w:tr>
            <w:tr w14:paraId="1F47D6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9" w:type="pct"/>
                  <w:noWrap w:val="0"/>
                  <w:vAlign w:val="center"/>
                </w:tcPr>
                <w:p w14:paraId="17E13F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rPr>
                  </w:pPr>
                  <w:r>
                    <w:rPr>
                      <w:rFonts w:hint="eastAsia"/>
                      <w:color w:val="auto"/>
                      <w:sz w:val="21"/>
                      <w:szCs w:val="21"/>
                      <w:lang w:val="en-US"/>
                    </w:rPr>
                    <w:t>10</w:t>
                  </w:r>
                </w:p>
              </w:tc>
              <w:tc>
                <w:tcPr>
                  <w:tcW w:w="3600" w:type="pct"/>
                  <w:noWrap w:val="0"/>
                  <w:vAlign w:val="center"/>
                </w:tcPr>
                <w:p w14:paraId="63C2A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rPr>
                  </w:pPr>
                  <w:r>
                    <w:rPr>
                      <w:rFonts w:hint="eastAsia"/>
                      <w:color w:val="auto"/>
                      <w:sz w:val="21"/>
                      <w:szCs w:val="21"/>
                      <w:lang w:val="en-US"/>
                    </w:rPr>
                    <w:t>吸油棉</w:t>
                  </w:r>
                </w:p>
              </w:tc>
            </w:tr>
          </w:tbl>
          <w:p w14:paraId="170C233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事故应急指挥系统是</w:t>
            </w:r>
            <w:r>
              <w:rPr>
                <w:rFonts w:hint="eastAsia"/>
                <w:color w:val="auto"/>
                <w:sz w:val="24"/>
                <w:szCs w:val="24"/>
                <w:lang w:eastAsia="zh-CN"/>
              </w:rPr>
              <w:t>应对</w:t>
            </w:r>
            <w:r>
              <w:rPr>
                <w:rFonts w:hint="eastAsia"/>
                <w:color w:val="auto"/>
                <w:sz w:val="24"/>
                <w:szCs w:val="24"/>
              </w:rPr>
              <w:t>紧急事故发生后进行事故救援处理的体系,该系统对事故发生后作出迅速反应</w:t>
            </w:r>
            <w:r>
              <w:rPr>
                <w:rFonts w:hint="eastAsia"/>
                <w:color w:val="auto"/>
                <w:sz w:val="24"/>
                <w:szCs w:val="24"/>
                <w:lang w:eastAsia="zh-CN"/>
              </w:rPr>
              <w:t>，</w:t>
            </w:r>
            <w:r>
              <w:rPr>
                <w:rFonts w:hint="eastAsia"/>
                <w:color w:val="auto"/>
                <w:sz w:val="24"/>
                <w:szCs w:val="24"/>
              </w:rPr>
              <w:t>及时处理事故</w:t>
            </w:r>
            <w:r>
              <w:rPr>
                <w:rFonts w:hint="eastAsia"/>
                <w:color w:val="auto"/>
                <w:sz w:val="24"/>
                <w:szCs w:val="24"/>
                <w:lang w:eastAsia="zh-CN"/>
              </w:rPr>
              <w:t>，</w:t>
            </w:r>
            <w:r>
              <w:rPr>
                <w:rFonts w:hint="eastAsia"/>
                <w:color w:val="auto"/>
                <w:sz w:val="24"/>
                <w:szCs w:val="24"/>
              </w:rPr>
              <w:t>果断决策</w:t>
            </w:r>
            <w:r>
              <w:rPr>
                <w:rFonts w:hint="eastAsia"/>
                <w:color w:val="auto"/>
                <w:sz w:val="24"/>
                <w:szCs w:val="24"/>
                <w:lang w:eastAsia="zh-CN"/>
              </w:rPr>
              <w:t>，</w:t>
            </w:r>
            <w:r>
              <w:rPr>
                <w:rFonts w:hint="eastAsia"/>
                <w:color w:val="auto"/>
                <w:sz w:val="24"/>
                <w:szCs w:val="24"/>
              </w:rPr>
              <w:t>减少事故损失是十分必要的</w:t>
            </w:r>
            <w:r>
              <w:rPr>
                <w:rFonts w:hint="eastAsia"/>
                <w:color w:val="auto"/>
                <w:sz w:val="24"/>
                <w:szCs w:val="24"/>
                <w:lang w:eastAsia="zh-CN"/>
              </w:rPr>
              <w:t>。</w:t>
            </w:r>
            <w:r>
              <w:rPr>
                <w:rFonts w:hint="eastAsia"/>
                <w:color w:val="auto"/>
                <w:sz w:val="24"/>
                <w:szCs w:val="24"/>
              </w:rPr>
              <w:t>它包括组织体系、通讯联络、人员救护等方面的内容。</w:t>
            </w:r>
          </w:p>
          <w:p w14:paraId="4AEFA0D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事故紧急应急组织职责见表4-</w:t>
            </w:r>
            <w:r>
              <w:rPr>
                <w:rFonts w:hint="eastAsia"/>
                <w:color w:val="auto"/>
                <w:sz w:val="24"/>
                <w:szCs w:val="24"/>
                <w:lang w:val="en-US" w:eastAsia="zh-CN"/>
              </w:rPr>
              <w:t>28</w:t>
            </w:r>
            <w:r>
              <w:rPr>
                <w:rFonts w:hint="eastAsia"/>
                <w:color w:val="auto"/>
                <w:sz w:val="24"/>
                <w:szCs w:val="24"/>
              </w:rPr>
              <w:t>。</w:t>
            </w:r>
          </w:p>
          <w:p w14:paraId="5B0187C7">
            <w:pPr>
              <w:adjustRightInd w:val="0"/>
              <w:snapToGrid w:val="0"/>
              <w:spacing w:line="360" w:lineRule="exact"/>
              <w:ind w:firstLine="422" w:firstLineChars="20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28 </w:t>
            </w:r>
            <w:r>
              <w:rPr>
                <w:rFonts w:hint="eastAsia"/>
                <w:b/>
                <w:bCs/>
                <w:color w:val="auto"/>
                <w:sz w:val="21"/>
                <w:szCs w:val="21"/>
              </w:rPr>
              <w:t xml:space="preserve"> 事故紧急应急组织职责</w:t>
            </w:r>
          </w:p>
          <w:tbl>
            <w:tblPr>
              <w:tblStyle w:val="22"/>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6789"/>
            </w:tblGrid>
            <w:tr w14:paraId="6BFAE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noWrap w:val="0"/>
                  <w:vAlign w:val="center"/>
                </w:tcPr>
                <w:p w14:paraId="57061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应急组织</w:t>
                  </w:r>
                </w:p>
              </w:tc>
              <w:tc>
                <w:tcPr>
                  <w:tcW w:w="4066" w:type="pct"/>
                  <w:noWrap w:val="0"/>
                  <w:vAlign w:val="center"/>
                </w:tcPr>
                <w:p w14:paraId="4BA1D3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职责</w:t>
                  </w:r>
                </w:p>
              </w:tc>
            </w:tr>
            <w:tr w14:paraId="40088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noWrap w:val="0"/>
                  <w:vAlign w:val="center"/>
                </w:tcPr>
                <w:p w14:paraId="105FE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现场指挥</w:t>
                  </w:r>
                </w:p>
              </w:tc>
              <w:tc>
                <w:tcPr>
                  <w:tcW w:w="4066" w:type="pct"/>
                  <w:noWrap w:val="0"/>
                  <w:vAlign w:val="center"/>
                </w:tcPr>
                <w:p w14:paraId="75C308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1、</w:t>
                  </w:r>
                  <w:r>
                    <w:rPr>
                      <w:rFonts w:hint="eastAsia"/>
                      <w:color w:val="auto"/>
                      <w:sz w:val="21"/>
                      <w:szCs w:val="21"/>
                    </w:rPr>
                    <w:t>指挥灾变现场的</w:t>
                  </w:r>
                  <w:r>
                    <w:rPr>
                      <w:rFonts w:hint="eastAsia"/>
                      <w:color w:val="auto"/>
                      <w:sz w:val="21"/>
                      <w:szCs w:val="21"/>
                      <w:lang w:eastAsia="zh-CN"/>
                    </w:rPr>
                    <w:t>灭火器</w:t>
                  </w:r>
                  <w:r>
                    <w:rPr>
                      <w:rFonts w:hint="eastAsia"/>
                      <w:color w:val="auto"/>
                      <w:sz w:val="21"/>
                      <w:szCs w:val="21"/>
                    </w:rPr>
                    <w:t>，人员、设备、文件资料的抢救及危害性物品，并将灾</w:t>
                  </w:r>
                  <w:r>
                    <w:rPr>
                      <w:rFonts w:hint="eastAsia"/>
                      <w:color w:val="auto"/>
                      <w:sz w:val="21"/>
                      <w:szCs w:val="21"/>
                      <w:lang w:val="en-US"/>
                    </w:rPr>
                    <w:t>情</w:t>
                  </w:r>
                  <w:r>
                    <w:rPr>
                      <w:rFonts w:hint="eastAsia"/>
                      <w:color w:val="auto"/>
                      <w:sz w:val="21"/>
                      <w:szCs w:val="21"/>
                    </w:rPr>
                    <w:t>传报厂（处）应急指挥官。</w:t>
                  </w:r>
                </w:p>
                <w:p w14:paraId="56149A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2、</w:t>
                  </w:r>
                  <w:r>
                    <w:rPr>
                      <w:rFonts w:hint="eastAsia"/>
                      <w:color w:val="auto"/>
                      <w:sz w:val="21"/>
                      <w:szCs w:val="21"/>
                      <w:lang w:val="en-US" w:eastAsia="zh-CN"/>
                    </w:rPr>
                    <w:t>负责</w:t>
                  </w:r>
                  <w:r>
                    <w:rPr>
                      <w:rFonts w:hint="eastAsia"/>
                      <w:color w:val="auto"/>
                      <w:sz w:val="21"/>
                      <w:szCs w:val="21"/>
                    </w:rPr>
                    <w:t>厂内及厂区支援救灾人员工作任务的分配调度。</w:t>
                  </w:r>
                </w:p>
                <w:p w14:paraId="73156F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3、掌</w:t>
                  </w:r>
                  <w:r>
                    <w:rPr>
                      <w:rFonts w:hint="eastAsia"/>
                      <w:color w:val="auto"/>
                      <w:sz w:val="21"/>
                      <w:szCs w:val="21"/>
                    </w:rPr>
                    <w:t>握控制救灾器材、设备及人力的使用及其供应支持状况。</w:t>
                  </w:r>
                </w:p>
                <w:p w14:paraId="0AF17F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4、</w:t>
                  </w:r>
                  <w:r>
                    <w:rPr>
                      <w:rFonts w:hint="eastAsia"/>
                      <w:color w:val="auto"/>
                      <w:sz w:val="21"/>
                      <w:szCs w:val="21"/>
                    </w:rPr>
                    <w:t>督导执行灾后各项</w:t>
                  </w:r>
                  <w:r>
                    <w:rPr>
                      <w:rFonts w:hint="eastAsia"/>
                      <w:color w:val="auto"/>
                      <w:sz w:val="21"/>
                      <w:szCs w:val="21"/>
                      <w:lang w:val="en-US"/>
                    </w:rPr>
                    <w:t>复建</w:t>
                  </w:r>
                  <w:r>
                    <w:rPr>
                      <w:rFonts w:hint="eastAsia"/>
                      <w:color w:val="auto"/>
                      <w:sz w:val="21"/>
                      <w:szCs w:val="21"/>
                    </w:rPr>
                    <w:t>，处理工作及救灾器材、</w:t>
                  </w:r>
                  <w:r>
                    <w:rPr>
                      <w:rFonts w:hint="eastAsia"/>
                      <w:color w:val="auto"/>
                      <w:sz w:val="21"/>
                      <w:szCs w:val="21"/>
                      <w:lang w:val="en-US"/>
                    </w:rPr>
                    <w:t>设备</w:t>
                  </w:r>
                  <w:r>
                    <w:rPr>
                      <w:rFonts w:hint="eastAsia"/>
                      <w:color w:val="auto"/>
                      <w:sz w:val="21"/>
                      <w:szCs w:val="21"/>
                    </w:rPr>
                    <w:t>的</w:t>
                  </w:r>
                  <w:r>
                    <w:rPr>
                      <w:rFonts w:hint="eastAsia"/>
                      <w:color w:val="auto"/>
                      <w:sz w:val="21"/>
                      <w:szCs w:val="21"/>
                      <w:lang w:val="en-US"/>
                    </w:rPr>
                    <w:t>整</w:t>
                  </w:r>
                  <w:r>
                    <w:rPr>
                      <w:rFonts w:hint="eastAsia"/>
                      <w:color w:val="auto"/>
                      <w:sz w:val="21"/>
                      <w:szCs w:val="21"/>
                    </w:rPr>
                    <w:t>理</w:t>
                  </w:r>
                  <w:r>
                    <w:rPr>
                      <w:rFonts w:hint="eastAsia"/>
                      <w:color w:val="auto"/>
                      <w:sz w:val="21"/>
                      <w:szCs w:val="21"/>
                      <w:lang w:val="en-US"/>
                    </w:rPr>
                    <w:t>复</w:t>
                  </w:r>
                  <w:r>
                    <w:rPr>
                      <w:rFonts w:hint="eastAsia"/>
                      <w:color w:val="auto"/>
                      <w:sz w:val="21"/>
                      <w:szCs w:val="21"/>
                    </w:rPr>
                    <w:t>归。调查</w:t>
                  </w:r>
                  <w:r>
                    <w:rPr>
                      <w:rFonts w:hint="eastAsia"/>
                      <w:color w:val="auto"/>
                      <w:sz w:val="21"/>
                      <w:szCs w:val="21"/>
                      <w:lang w:val="en-US"/>
                    </w:rPr>
                    <w:t>事</w:t>
                  </w:r>
                  <w:r>
                    <w:rPr>
                      <w:rFonts w:hint="eastAsia"/>
                      <w:color w:val="auto"/>
                      <w:sz w:val="21"/>
                      <w:szCs w:val="21"/>
                    </w:rPr>
                    <w:t>故发生原因及检讨防范改</w:t>
                  </w:r>
                  <w:r>
                    <w:rPr>
                      <w:rFonts w:hint="eastAsia"/>
                      <w:color w:val="auto"/>
                      <w:sz w:val="21"/>
                      <w:szCs w:val="21"/>
                      <w:lang w:val="en-US"/>
                    </w:rPr>
                    <w:t>善</w:t>
                  </w:r>
                  <w:r>
                    <w:rPr>
                      <w:rFonts w:hint="eastAsia"/>
                      <w:color w:val="auto"/>
                      <w:sz w:val="21"/>
                      <w:szCs w:val="21"/>
                    </w:rPr>
                    <w:t>对策并提报具体改</w:t>
                  </w:r>
                  <w:r>
                    <w:rPr>
                      <w:rFonts w:hint="eastAsia"/>
                      <w:color w:val="auto"/>
                      <w:sz w:val="21"/>
                      <w:szCs w:val="21"/>
                      <w:lang w:val="en-US"/>
                    </w:rPr>
                    <w:t>善</w:t>
                  </w:r>
                  <w:r>
                    <w:rPr>
                      <w:rFonts w:hint="eastAsia"/>
                      <w:color w:val="auto"/>
                      <w:sz w:val="21"/>
                      <w:szCs w:val="21"/>
                    </w:rPr>
                    <w:t>计划。</w:t>
                  </w:r>
                </w:p>
              </w:tc>
            </w:tr>
            <w:tr w14:paraId="157ED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noWrap w:val="0"/>
                  <w:vAlign w:val="center"/>
                </w:tcPr>
                <w:p w14:paraId="1AF812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污染源处理小组</w:t>
                  </w:r>
                </w:p>
              </w:tc>
              <w:tc>
                <w:tcPr>
                  <w:tcW w:w="4066" w:type="pct"/>
                  <w:noWrap w:val="0"/>
                  <w:vAlign w:val="center"/>
                </w:tcPr>
                <w:p w14:paraId="54C731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color w:val="auto"/>
                      <w:sz w:val="21"/>
                      <w:szCs w:val="21"/>
                    </w:rPr>
                  </w:pPr>
                  <w:r>
                    <w:rPr>
                      <w:rFonts w:hint="eastAsia"/>
                      <w:color w:val="auto"/>
                      <w:sz w:val="21"/>
                      <w:szCs w:val="21"/>
                      <w:lang w:val="en-US" w:eastAsia="zh-CN"/>
                    </w:rPr>
                    <w:t>1、</w:t>
                  </w:r>
                  <w:r>
                    <w:rPr>
                      <w:rFonts w:hint="eastAsia"/>
                      <w:color w:val="auto"/>
                      <w:sz w:val="21"/>
                      <w:szCs w:val="21"/>
                    </w:rPr>
                    <w:t>执行污染源紧急停车作业。</w:t>
                  </w:r>
                </w:p>
                <w:p w14:paraId="26880F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2、</w:t>
                  </w:r>
                  <w:r>
                    <w:rPr>
                      <w:rFonts w:hint="eastAsia"/>
                      <w:color w:val="auto"/>
                      <w:sz w:val="21"/>
                      <w:szCs w:val="21"/>
                    </w:rPr>
                    <w:t>协助抢救受伤人员。</w:t>
                  </w:r>
                </w:p>
              </w:tc>
            </w:tr>
            <w:tr w14:paraId="3FAD1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noWrap w:val="0"/>
                  <w:vAlign w:val="center"/>
                </w:tcPr>
                <w:p w14:paraId="06E46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抢救小组</w:t>
                  </w:r>
                </w:p>
              </w:tc>
              <w:tc>
                <w:tcPr>
                  <w:tcW w:w="4066" w:type="pct"/>
                  <w:noWrap w:val="0"/>
                  <w:vAlign w:val="center"/>
                </w:tcPr>
                <w:p w14:paraId="74B03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1、</w:t>
                  </w:r>
                  <w:r>
                    <w:rPr>
                      <w:rFonts w:hint="eastAsia"/>
                      <w:color w:val="auto"/>
                      <w:sz w:val="21"/>
                      <w:szCs w:val="21"/>
                    </w:rPr>
                    <w:t>协助紧急停车作业及抢救受伤人员。</w:t>
                  </w:r>
                </w:p>
                <w:p w14:paraId="54B21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2、</w:t>
                  </w:r>
                  <w:r>
                    <w:rPr>
                      <w:rFonts w:hint="eastAsia"/>
                      <w:color w:val="auto"/>
                      <w:sz w:val="21"/>
                      <w:szCs w:val="21"/>
                    </w:rPr>
                    <w:t>支持抢修工具、备品、器材。</w:t>
                  </w:r>
                </w:p>
                <w:p w14:paraId="02164B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3、</w:t>
                  </w:r>
                  <w:r>
                    <w:rPr>
                      <w:rFonts w:hint="eastAsia"/>
                      <w:color w:val="auto"/>
                      <w:sz w:val="21"/>
                      <w:szCs w:val="21"/>
                    </w:rPr>
                    <w:t>支援救灾的紧急电源照明。</w:t>
                  </w:r>
                </w:p>
                <w:p w14:paraId="3ED78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4、</w:t>
                  </w:r>
                  <w:r>
                    <w:rPr>
                      <w:rFonts w:hint="eastAsia"/>
                      <w:color w:val="auto"/>
                      <w:sz w:val="21"/>
                      <w:szCs w:val="21"/>
                    </w:rPr>
                    <w:t>抢救</w:t>
                  </w:r>
                  <w:r>
                    <w:rPr>
                      <w:rFonts w:hint="eastAsia"/>
                      <w:color w:val="auto"/>
                      <w:sz w:val="21"/>
                      <w:szCs w:val="21"/>
                      <w:lang w:val="en-US"/>
                    </w:rPr>
                    <w:t>重</w:t>
                  </w:r>
                  <w:r>
                    <w:rPr>
                      <w:rFonts w:hint="eastAsia"/>
                      <w:color w:val="auto"/>
                      <w:sz w:val="21"/>
                      <w:szCs w:val="21"/>
                    </w:rPr>
                    <w:t>要的设备、财物。</w:t>
                  </w:r>
                </w:p>
                <w:p w14:paraId="23240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5、</w:t>
                  </w:r>
                  <w:r>
                    <w:rPr>
                      <w:rFonts w:hint="eastAsia"/>
                      <w:color w:val="auto"/>
                      <w:sz w:val="21"/>
                      <w:szCs w:val="21"/>
                    </w:rPr>
                    <w:t>异常设备抢修。</w:t>
                  </w:r>
                </w:p>
                <w:p w14:paraId="50602A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6、</w:t>
                  </w:r>
                  <w:r>
                    <w:rPr>
                      <w:rFonts w:hint="eastAsia"/>
                      <w:color w:val="auto"/>
                      <w:sz w:val="21"/>
                      <w:szCs w:val="21"/>
                    </w:rPr>
                    <w:t>协助停车及开车作。</w:t>
                  </w:r>
                </w:p>
              </w:tc>
            </w:tr>
            <w:tr w14:paraId="73BD3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noWrap w:val="0"/>
                  <w:vAlign w:val="center"/>
                </w:tcPr>
                <w:p w14:paraId="26D05F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消防小组</w:t>
                  </w:r>
                </w:p>
              </w:tc>
              <w:tc>
                <w:tcPr>
                  <w:tcW w:w="4066" w:type="pct"/>
                  <w:noWrap w:val="0"/>
                  <w:vAlign w:val="center"/>
                </w:tcPr>
                <w:p w14:paraId="67C5C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1、</w:t>
                  </w:r>
                  <w:r>
                    <w:rPr>
                      <w:rFonts w:hint="eastAsia"/>
                      <w:color w:val="auto"/>
                      <w:sz w:val="21"/>
                      <w:szCs w:val="21"/>
                    </w:rPr>
                    <w:t>使用适当的消防</w:t>
                  </w:r>
                  <w:r>
                    <w:rPr>
                      <w:rFonts w:hint="eastAsia"/>
                      <w:color w:val="auto"/>
                      <w:sz w:val="21"/>
                      <w:szCs w:val="21"/>
                      <w:lang w:val="en-US"/>
                    </w:rPr>
                    <w:t>灭</w:t>
                  </w:r>
                  <w:r>
                    <w:rPr>
                      <w:rFonts w:hint="eastAsia"/>
                      <w:color w:val="auto"/>
                      <w:sz w:val="21"/>
                      <w:szCs w:val="21"/>
                    </w:rPr>
                    <w:t>火器材、</w:t>
                  </w:r>
                  <w:r>
                    <w:rPr>
                      <w:rFonts w:hint="eastAsia"/>
                      <w:color w:val="auto"/>
                      <w:sz w:val="21"/>
                      <w:szCs w:val="21"/>
                      <w:lang w:eastAsia="zh-CN"/>
                    </w:rPr>
                    <w:t>设备</w:t>
                  </w:r>
                  <w:r>
                    <w:rPr>
                      <w:rFonts w:hint="eastAsia"/>
                      <w:color w:val="auto"/>
                      <w:sz w:val="21"/>
                      <w:szCs w:val="21"/>
                    </w:rPr>
                    <w:t>扑</w:t>
                  </w:r>
                  <w:r>
                    <w:rPr>
                      <w:rFonts w:hint="eastAsia"/>
                      <w:color w:val="auto"/>
                      <w:sz w:val="21"/>
                      <w:szCs w:val="21"/>
                      <w:lang w:val="en-US"/>
                    </w:rPr>
                    <w:t>灭</w:t>
                  </w:r>
                  <w:r>
                    <w:rPr>
                      <w:rFonts w:hint="eastAsia"/>
                      <w:color w:val="auto"/>
                      <w:sz w:val="21"/>
                      <w:szCs w:val="21"/>
                    </w:rPr>
                    <w:t>火灾。</w:t>
                  </w:r>
                </w:p>
                <w:p w14:paraId="3ADE64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lang w:val="en-US"/>
                    </w:rPr>
                  </w:pPr>
                  <w:r>
                    <w:rPr>
                      <w:rFonts w:hint="eastAsia"/>
                      <w:color w:val="auto"/>
                      <w:sz w:val="21"/>
                      <w:szCs w:val="21"/>
                      <w:lang w:val="en-US"/>
                    </w:rPr>
                    <w:t>2、</w:t>
                  </w:r>
                  <w:r>
                    <w:rPr>
                      <w:rFonts w:hint="eastAsia"/>
                      <w:color w:val="auto"/>
                      <w:sz w:val="21"/>
                      <w:szCs w:val="21"/>
                    </w:rPr>
                    <w:t>冷却火场周围设备、物品，以截断隔绝火势</w:t>
                  </w:r>
                  <w:r>
                    <w:rPr>
                      <w:rFonts w:hint="eastAsia"/>
                      <w:color w:val="auto"/>
                      <w:sz w:val="21"/>
                      <w:szCs w:val="21"/>
                      <w:lang w:val="en-US"/>
                    </w:rPr>
                    <w:t>蔓延。</w:t>
                  </w:r>
                </w:p>
                <w:p w14:paraId="2AA448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auto"/>
                      <w:sz w:val="21"/>
                      <w:szCs w:val="21"/>
                    </w:rPr>
                  </w:pPr>
                  <w:r>
                    <w:rPr>
                      <w:rFonts w:hint="eastAsia"/>
                      <w:color w:val="auto"/>
                      <w:sz w:val="21"/>
                      <w:szCs w:val="21"/>
                      <w:lang w:val="en-US"/>
                    </w:rPr>
                    <w:t>3、</w:t>
                  </w:r>
                  <w:r>
                    <w:rPr>
                      <w:rFonts w:hint="eastAsia"/>
                      <w:color w:val="auto"/>
                      <w:sz w:val="21"/>
                      <w:szCs w:val="21"/>
                    </w:rPr>
                    <w:t>协助抢救受伤人员。</w:t>
                  </w:r>
                </w:p>
              </w:tc>
            </w:tr>
          </w:tbl>
          <w:p w14:paraId="38FBE9E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一旦风险事故发生并得到有效控制后，企业应及时对风险事故发生源进行修复和完善，以满足正常生产的要求，待项目所在地环境保护主管部门环境监测数据满足区域环境功能区划要求时，临近区域并被解除事故警戒后，应急救援指挥中心可终止应急状态程序。</w:t>
            </w:r>
          </w:p>
          <w:p w14:paraId="0D5F37C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 xml:space="preserve">3、事故应急池的容量确定                                                                                        </w:t>
            </w:r>
          </w:p>
          <w:p w14:paraId="125C713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本项目依托</w:t>
            </w:r>
            <w:r>
              <w:rPr>
                <w:rFonts w:hint="eastAsia"/>
                <w:color w:val="000000" w:themeColor="text1"/>
                <w:sz w:val="24"/>
                <w:szCs w:val="24"/>
                <w:lang w:val="en-US" w:eastAsia="zh-CN"/>
                <w14:textFill>
                  <w14:solidFill>
                    <w14:schemeClr w14:val="tx1"/>
                  </w14:solidFill>
                </w14:textFill>
              </w:rPr>
              <w:t>园区2个事故应急池，共1832.2</w:t>
            </w:r>
            <w:r>
              <w:rPr>
                <w:rFonts w:hint="eastAsia"/>
                <w:color w:val="000000" w:themeColor="text1"/>
                <w:sz w:val="24"/>
                <w:szCs w:val="24"/>
                <w14:textFill>
                  <w14:solidFill>
                    <w14:schemeClr w14:val="tx1"/>
                  </w14:solidFill>
                </w14:textFill>
              </w:rPr>
              <w:t>m</w:t>
            </w:r>
            <w:r>
              <w:rPr>
                <w:rFonts w:hint="eastAsia" w:ascii="Times New Roman" w:hAnsi="Times New Roman" w:cs="Times New Roman"/>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且两个事故应急池之间设有管道，互相联通，且配备阀门。事故池与园区内雨水管网联通，配备配套阀门。离本项目最近的事故应急池400m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并配套切断阀门，可满足公司事故废水的收集，保障公司风险防范能力，满足《建筑设计防火规范》（GB50016-2014）的相关要求，保证消防废水不外排。</w:t>
            </w:r>
          </w:p>
          <w:p w14:paraId="472A8B6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eastAsia="宋体"/>
                <w:color w:val="auto"/>
                <w:sz w:val="24"/>
                <w:szCs w:val="24"/>
                <w:lang w:val="en-US" w:eastAsia="zh-CN"/>
              </w:rPr>
            </w:pPr>
            <w:r>
              <w:rPr>
                <w:rFonts w:hint="eastAsia"/>
                <w:color w:val="000000" w:themeColor="text1"/>
                <w:sz w:val="24"/>
                <w:szCs w:val="24"/>
                <w14:textFill>
                  <w14:solidFill>
                    <w14:schemeClr w14:val="tx1"/>
                  </w14:solidFill>
                </w14:textFill>
              </w:rPr>
              <w:t>另外，事故状态下，雨水排放口关闭总阀必须关闭，确保消防废水进入事故池，不外排。一旦事故发生，立即封堵雨水排口，封闭污水排口，将事故废水封堵在雨污管线内，之后委外处理后排放</w:t>
            </w:r>
            <w:r>
              <w:rPr>
                <w:rFonts w:hint="eastAsia"/>
                <w:color w:val="000000" w:themeColor="text1"/>
                <w:sz w:val="24"/>
                <w:szCs w:val="24"/>
                <w:lang w:eastAsia="zh-CN"/>
                <w14:textFill>
                  <w14:solidFill>
                    <w14:schemeClr w14:val="tx1"/>
                  </w14:solidFill>
                </w14:textFill>
              </w:rPr>
              <w:t>。</w:t>
            </w:r>
          </w:p>
          <w:p w14:paraId="17FF713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（六）事故应急预案</w:t>
            </w:r>
          </w:p>
          <w:p w14:paraId="0ADA149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本项目须按照《企事业单位和工业园区突发环境事件应急预案编制导则》（江苏省地方标准DB32/T3795-2020）的要求编制环境风险事故应急预案，并定期组织学习事故应急预案和演练，根据演习情况结合实际对预案进行适当修改。应急队伍要进行专业培训，并要有培训记录和档案。同时，加强各应急救援专业队伍的建设，配有相应器材并确保设备性能完好，保证企业与地方(区域)应急预案衔接与联动有效。</w:t>
            </w:r>
          </w:p>
          <w:p w14:paraId="1D976B8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（七）环境风险管理</w:t>
            </w:r>
          </w:p>
          <w:p w14:paraId="20F6E96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根据国家环境保护部《关于进一步加强环境影响评价管理防范环境风险的通知(环发[2012]77号文)》的要求：“提出环境风险应急预案和事故防范、减缓措施，特别要针对特征污染物提出</w:t>
            </w:r>
            <w:r>
              <w:rPr>
                <w:rFonts w:hint="eastAsia"/>
                <w:color w:val="auto"/>
                <w:sz w:val="24"/>
                <w:szCs w:val="24"/>
                <w:lang w:eastAsia="zh-CN"/>
              </w:rPr>
              <w:t>有效地防止</w:t>
            </w:r>
            <w:r>
              <w:rPr>
                <w:rFonts w:hint="eastAsia"/>
                <w:color w:val="auto"/>
                <w:sz w:val="24"/>
                <w:szCs w:val="24"/>
              </w:rPr>
              <w:t>二次污染的应急措施”，对发生概率小，但危害</w:t>
            </w:r>
            <w:r>
              <w:rPr>
                <w:rFonts w:hint="eastAsia"/>
                <w:color w:val="auto"/>
                <w:sz w:val="24"/>
                <w:szCs w:val="24"/>
                <w:lang w:val="en-US" w:eastAsia="zh-CN"/>
              </w:rPr>
              <w:t>非常</w:t>
            </w:r>
            <w:r>
              <w:rPr>
                <w:rFonts w:hint="eastAsia"/>
                <w:color w:val="auto"/>
                <w:sz w:val="24"/>
                <w:szCs w:val="24"/>
              </w:rPr>
              <w:t>重的事故采取安全措施，防患于未然。因此，建议本项目在设计、建设和营运过程中，应科学规划、合理布局。采取必要的防泄漏措施，建立严格的安全生产制度，大力提高操作人员的素质和水平，以最大限度地降低事故的发生率，同时制定详细的应急救援预案。管理、储存、使用、运输中的防范措施：</w:t>
            </w:r>
          </w:p>
          <w:p w14:paraId="7476F95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在</w:t>
            </w:r>
            <w:r>
              <w:rPr>
                <w:rFonts w:hint="eastAsia"/>
                <w:color w:val="auto"/>
                <w:sz w:val="24"/>
                <w:szCs w:val="24"/>
                <w:lang w:val="en-US" w:eastAsia="zh-CN"/>
              </w:rPr>
              <w:t>试剂存放区、危废仓库</w:t>
            </w:r>
            <w:r>
              <w:rPr>
                <w:rFonts w:hint="eastAsia"/>
                <w:color w:val="auto"/>
                <w:sz w:val="24"/>
                <w:szCs w:val="24"/>
              </w:rPr>
              <w:t>设置明显的防火等级标志，通道、出入口和通向消防设施的道路保持畅通。同时，储存场所应严格按照规定管道、设备材质、阀门及配件，加强现场管理，消除跑、冒、滴、漏；建立健全安全规程及值勤制度，设置通讯、报警装置，确保其处于完好状态；配置合格的防毒器材、消防器材，并确保其处于完好状态。</w:t>
            </w:r>
          </w:p>
          <w:p w14:paraId="23DA843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存放区风险防范措施：</w:t>
            </w:r>
          </w:p>
          <w:p w14:paraId="7965105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①必须设置于阴凉、通风的库房，库房必须防渗、防漏、防雨。</w:t>
            </w:r>
          </w:p>
          <w:p w14:paraId="5497705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②仓库、车间应配备</w:t>
            </w:r>
            <w:r>
              <w:rPr>
                <w:rFonts w:hint="eastAsia"/>
                <w:color w:val="auto"/>
                <w:sz w:val="24"/>
                <w:szCs w:val="24"/>
                <w:lang w:eastAsia="zh-CN"/>
              </w:rPr>
              <w:t>黄砂</w:t>
            </w:r>
            <w:r>
              <w:rPr>
                <w:rFonts w:hint="eastAsia"/>
                <w:color w:val="auto"/>
                <w:sz w:val="24"/>
                <w:szCs w:val="24"/>
              </w:rPr>
              <w:t>等材料，当发生火灾等事故时能对事故进行应急处理。</w:t>
            </w:r>
          </w:p>
          <w:p w14:paraId="63A437D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公司在进行环保“三同时”竣工验收前，可委托有资质单位编制环境风险应急预案。</w:t>
            </w:r>
          </w:p>
          <w:p w14:paraId="097DE72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rPr>
            </w:pPr>
            <w:r>
              <w:rPr>
                <w:rFonts w:hint="eastAsia"/>
                <w:color w:val="auto"/>
                <w:sz w:val="24"/>
                <w:szCs w:val="24"/>
              </w:rPr>
              <w:t>本项目涉及危险废物和挥发性有机物处理，根据《关于做好生态环境和应急管理部门联动工作的意见》（苏环办[2020]101号），建设单位应做好危险废物监管联动机制和环境治理设施监管联动机制。具体要求如下：</w:t>
            </w:r>
          </w:p>
          <w:p w14:paraId="49F2E69A">
            <w:pPr>
              <w:adjustRightInd w:val="0"/>
              <w:snapToGrid w:val="0"/>
              <w:spacing w:line="360" w:lineRule="exact"/>
              <w:ind w:firstLine="422" w:firstLineChars="20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29</w:t>
            </w:r>
            <w:r>
              <w:rPr>
                <w:rFonts w:hint="eastAsia"/>
                <w:b/>
                <w:bCs/>
                <w:color w:val="auto"/>
                <w:sz w:val="21"/>
                <w:szCs w:val="21"/>
              </w:rPr>
              <w:t xml:space="preserve"> 监管联动机制要求</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49"/>
            </w:tblGrid>
            <w:tr w14:paraId="3E9B1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000" w:type="pct"/>
                  <w:noWrap w:val="0"/>
                  <w:vAlign w:val="center"/>
                </w:tcPr>
                <w:p w14:paraId="0D146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文件要求</w:t>
                  </w:r>
                </w:p>
              </w:tc>
            </w:tr>
            <w:tr w14:paraId="1AE46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000" w:type="pct"/>
                  <w:noWrap w:val="0"/>
                  <w:vAlign w:val="center"/>
                </w:tcPr>
                <w:p w14:paraId="70630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r>
            <w:tr w14:paraId="2A4D7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noWrap w:val="0"/>
                  <w:vAlign w:val="center"/>
                </w:tcPr>
                <w:p w14:paraId="76B019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企业是各类环境治理设施</w:t>
                  </w:r>
                  <w:r>
                    <w:rPr>
                      <w:rFonts w:hint="eastAsia"/>
                      <w:color w:val="auto"/>
                      <w:sz w:val="21"/>
                      <w:szCs w:val="21"/>
                      <w:lang w:val="en-US" w:eastAsia="zh-CN"/>
                    </w:rPr>
                    <w:t>的</w:t>
                  </w:r>
                  <w:r>
                    <w:rPr>
                      <w:rFonts w:hint="eastAsia"/>
                      <w:color w:val="auto"/>
                      <w:sz w:val="21"/>
                      <w:szCs w:val="21"/>
                    </w:rPr>
                    <w:t>建设、运行、维护、拆除的责任主体。企业要对挥发性有机物治理、污水处理等两类环境治理设施开展安全风险辨识管控，要健全内部污染防治设施稳定运行和管理责任制度，严格根据标准规范建设环境治理设施，确保环境治理设施安全、稳定、有效运行。</w:t>
                  </w:r>
                </w:p>
              </w:tc>
            </w:tr>
          </w:tbl>
          <w:p w14:paraId="2569E68F">
            <w:pPr>
              <w:adjustRightInd w:val="0"/>
              <w:snapToGrid w:val="0"/>
              <w:spacing w:line="360" w:lineRule="exact"/>
              <w:ind w:firstLine="422" w:firstLineChars="20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30</w:t>
            </w:r>
            <w:r>
              <w:rPr>
                <w:rFonts w:hint="eastAsia"/>
                <w:b/>
                <w:bCs/>
                <w:color w:val="auto"/>
                <w:sz w:val="21"/>
                <w:szCs w:val="21"/>
              </w:rPr>
              <w:t xml:space="preserve">  建设项目环境风险简单分析内容表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405"/>
              <w:gridCol w:w="1409"/>
              <w:gridCol w:w="756"/>
              <w:gridCol w:w="466"/>
              <w:gridCol w:w="863"/>
              <w:gridCol w:w="563"/>
              <w:gridCol w:w="1592"/>
            </w:tblGrid>
            <w:tr w14:paraId="67DA3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noWrap w:val="0"/>
                  <w:vAlign w:val="center"/>
                </w:tcPr>
                <w:p w14:paraId="3CC667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建设项目名称</w:t>
                  </w:r>
                </w:p>
              </w:tc>
              <w:tc>
                <w:tcPr>
                  <w:tcW w:w="4225" w:type="pct"/>
                  <w:gridSpan w:val="7"/>
                  <w:noWrap w:val="0"/>
                  <w:vAlign w:val="center"/>
                </w:tcPr>
                <w:p w14:paraId="5070C8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lang w:eastAsia="zh-CN"/>
                    </w:rPr>
                    <w:t>实验室建设项目</w:t>
                  </w:r>
                </w:p>
              </w:tc>
            </w:tr>
            <w:tr w14:paraId="5A7CF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noWrap w:val="0"/>
                  <w:vAlign w:val="center"/>
                </w:tcPr>
                <w:p w14:paraId="6A59D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建设地点</w:t>
                  </w:r>
                </w:p>
              </w:tc>
              <w:tc>
                <w:tcPr>
                  <w:tcW w:w="842" w:type="pct"/>
                  <w:noWrap w:val="0"/>
                  <w:vAlign w:val="center"/>
                </w:tcPr>
                <w:p w14:paraId="70FF6E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（江苏）省</w:t>
                  </w:r>
                </w:p>
              </w:tc>
              <w:tc>
                <w:tcPr>
                  <w:tcW w:w="844" w:type="pct"/>
                  <w:noWrap w:val="0"/>
                  <w:vAlign w:val="center"/>
                </w:tcPr>
                <w:p w14:paraId="65D62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（常州）市</w:t>
                  </w:r>
                </w:p>
              </w:tc>
              <w:tc>
                <w:tcPr>
                  <w:tcW w:w="732" w:type="pct"/>
                  <w:gridSpan w:val="2"/>
                  <w:noWrap w:val="0"/>
                  <w:vAlign w:val="center"/>
                </w:tcPr>
                <w:p w14:paraId="263EF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（金坛）区</w:t>
                  </w:r>
                </w:p>
              </w:tc>
              <w:tc>
                <w:tcPr>
                  <w:tcW w:w="854" w:type="pct"/>
                  <w:gridSpan w:val="2"/>
                  <w:noWrap w:val="0"/>
                  <w:vAlign w:val="center"/>
                </w:tcPr>
                <w:p w14:paraId="12956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金坛金城科技园</w:t>
                  </w:r>
                </w:p>
              </w:tc>
              <w:tc>
                <w:tcPr>
                  <w:tcW w:w="951" w:type="pct"/>
                  <w:noWrap w:val="0"/>
                  <w:vAlign w:val="center"/>
                </w:tcPr>
                <w:p w14:paraId="631E8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lang w:val="en-US" w:eastAsia="zh-CN"/>
                    </w:rPr>
                    <w:t>西城路118</w:t>
                  </w:r>
                  <w:r>
                    <w:rPr>
                      <w:rFonts w:hint="eastAsia"/>
                      <w:color w:val="auto"/>
                      <w:sz w:val="21"/>
                      <w:szCs w:val="21"/>
                    </w:rPr>
                    <w:t>号</w:t>
                  </w:r>
                </w:p>
              </w:tc>
            </w:tr>
            <w:tr w14:paraId="67714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noWrap w:val="0"/>
                  <w:vAlign w:val="center"/>
                </w:tcPr>
                <w:p w14:paraId="2A9FF9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地理坐标</w:t>
                  </w:r>
                </w:p>
              </w:tc>
              <w:tc>
                <w:tcPr>
                  <w:tcW w:w="842" w:type="pct"/>
                  <w:noWrap w:val="0"/>
                  <w:vAlign w:val="center"/>
                </w:tcPr>
                <w:p w14:paraId="2E737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经度</w:t>
                  </w:r>
                </w:p>
              </w:tc>
              <w:tc>
                <w:tcPr>
                  <w:tcW w:w="1297" w:type="pct"/>
                  <w:gridSpan w:val="2"/>
                  <w:noWrap w:val="0"/>
                  <w:vAlign w:val="center"/>
                </w:tcPr>
                <w:p w14:paraId="411C15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119度3</w:t>
                  </w:r>
                  <w:r>
                    <w:rPr>
                      <w:rFonts w:hint="eastAsia"/>
                      <w:color w:val="auto"/>
                      <w:sz w:val="21"/>
                      <w:szCs w:val="21"/>
                      <w:lang w:val="en-US" w:eastAsia="zh-CN"/>
                    </w:rPr>
                    <w:t>3</w:t>
                  </w:r>
                  <w:r>
                    <w:rPr>
                      <w:rFonts w:hint="eastAsia"/>
                      <w:color w:val="auto"/>
                      <w:sz w:val="21"/>
                      <w:szCs w:val="21"/>
                    </w:rPr>
                    <w:t>分5</w:t>
                  </w:r>
                  <w:r>
                    <w:rPr>
                      <w:rFonts w:hint="eastAsia"/>
                      <w:color w:val="auto"/>
                      <w:sz w:val="21"/>
                      <w:szCs w:val="21"/>
                      <w:lang w:val="en-US" w:eastAsia="zh-CN"/>
                    </w:rPr>
                    <w:t>9.88</w:t>
                  </w:r>
                  <w:r>
                    <w:rPr>
                      <w:rFonts w:hint="eastAsia"/>
                      <w:color w:val="auto"/>
                      <w:sz w:val="21"/>
                      <w:szCs w:val="21"/>
                    </w:rPr>
                    <w:t>秒</w:t>
                  </w:r>
                </w:p>
              </w:tc>
              <w:tc>
                <w:tcPr>
                  <w:tcW w:w="796" w:type="pct"/>
                  <w:gridSpan w:val="2"/>
                  <w:noWrap w:val="0"/>
                  <w:vAlign w:val="center"/>
                </w:tcPr>
                <w:p w14:paraId="27E9E2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rPr>
                    <w:t>纬度</w:t>
                  </w:r>
                </w:p>
              </w:tc>
              <w:tc>
                <w:tcPr>
                  <w:tcW w:w="1289" w:type="pct"/>
                  <w:gridSpan w:val="2"/>
                  <w:noWrap w:val="0"/>
                  <w:vAlign w:val="center"/>
                </w:tcPr>
                <w:p w14:paraId="1B350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31度4</w:t>
                  </w:r>
                  <w:r>
                    <w:rPr>
                      <w:rFonts w:hint="eastAsia"/>
                      <w:color w:val="auto"/>
                      <w:sz w:val="21"/>
                      <w:szCs w:val="21"/>
                      <w:lang w:val="en-US" w:eastAsia="zh-CN"/>
                    </w:rPr>
                    <w:t>5</w:t>
                  </w:r>
                  <w:r>
                    <w:rPr>
                      <w:rFonts w:hint="eastAsia"/>
                      <w:color w:val="auto"/>
                      <w:sz w:val="21"/>
                      <w:szCs w:val="21"/>
                    </w:rPr>
                    <w:t>分</w:t>
                  </w:r>
                  <w:r>
                    <w:rPr>
                      <w:rFonts w:hint="eastAsia"/>
                      <w:color w:val="auto"/>
                      <w:sz w:val="21"/>
                      <w:szCs w:val="21"/>
                      <w:lang w:val="en-US" w:eastAsia="zh-CN"/>
                    </w:rPr>
                    <w:t>49.81</w:t>
                  </w:r>
                  <w:r>
                    <w:rPr>
                      <w:rFonts w:hint="eastAsia"/>
                      <w:color w:val="auto"/>
                      <w:sz w:val="21"/>
                      <w:szCs w:val="21"/>
                    </w:rPr>
                    <w:t>秒</w:t>
                  </w:r>
                </w:p>
              </w:tc>
            </w:tr>
            <w:tr w14:paraId="35B53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noWrap w:val="0"/>
                  <w:vAlign w:val="center"/>
                </w:tcPr>
                <w:p w14:paraId="56BD95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主要危险物质及分布</w:t>
                  </w:r>
                </w:p>
              </w:tc>
              <w:tc>
                <w:tcPr>
                  <w:tcW w:w="4225" w:type="pct"/>
                  <w:gridSpan w:val="7"/>
                  <w:noWrap w:val="0"/>
                  <w:vAlign w:val="center"/>
                </w:tcPr>
                <w:p w14:paraId="1E18CB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本项目危险物质主要为</w:t>
                  </w:r>
                  <w:r>
                    <w:rPr>
                      <w:rFonts w:hint="eastAsia"/>
                      <w:color w:val="auto"/>
                      <w:sz w:val="21"/>
                      <w:szCs w:val="21"/>
                      <w:lang w:val="en-US" w:eastAsia="zh-CN"/>
                    </w:rPr>
                    <w:t>乙醇、废液、废瓶</w:t>
                  </w:r>
                  <w:r>
                    <w:rPr>
                      <w:rFonts w:hint="eastAsia"/>
                      <w:color w:val="auto"/>
                      <w:sz w:val="21"/>
                      <w:szCs w:val="21"/>
                    </w:rPr>
                    <w:t>；危废规范存放于危废仓库内</w:t>
                  </w:r>
                  <w:r>
                    <w:rPr>
                      <w:rFonts w:hint="eastAsia"/>
                      <w:color w:val="auto"/>
                      <w:sz w:val="21"/>
                      <w:szCs w:val="21"/>
                      <w:lang w:eastAsia="zh-CN"/>
                    </w:rPr>
                    <w:t>，</w:t>
                  </w:r>
                  <w:r>
                    <w:rPr>
                      <w:rFonts w:hint="eastAsia"/>
                      <w:color w:val="auto"/>
                      <w:sz w:val="21"/>
                      <w:szCs w:val="21"/>
                      <w:lang w:val="en-US" w:eastAsia="zh-CN"/>
                    </w:rPr>
                    <w:t>废液储存于废液桶内</w:t>
                  </w:r>
                  <w:r>
                    <w:rPr>
                      <w:rFonts w:hint="eastAsia"/>
                      <w:color w:val="auto"/>
                      <w:sz w:val="21"/>
                      <w:szCs w:val="21"/>
                    </w:rPr>
                    <w:t>。主要使用、储存点位：危废仓库、</w:t>
                  </w:r>
                  <w:r>
                    <w:rPr>
                      <w:rFonts w:hint="eastAsia"/>
                      <w:color w:val="auto"/>
                      <w:sz w:val="21"/>
                      <w:szCs w:val="21"/>
                      <w:lang w:val="en-US" w:eastAsia="zh-CN"/>
                    </w:rPr>
                    <w:t>试剂间、废液桶存放地</w:t>
                  </w:r>
                  <w:r>
                    <w:rPr>
                      <w:rFonts w:hint="eastAsia"/>
                      <w:color w:val="auto"/>
                      <w:sz w:val="21"/>
                      <w:szCs w:val="21"/>
                    </w:rPr>
                    <w:t>。</w:t>
                  </w:r>
                </w:p>
              </w:tc>
            </w:tr>
            <w:tr w14:paraId="3D825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noWrap w:val="0"/>
                  <w:vAlign w:val="center"/>
                </w:tcPr>
                <w:p w14:paraId="3953C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环境影响途径及危害后果（大气、地表水、地下水等）</w:t>
                  </w:r>
                </w:p>
              </w:tc>
              <w:tc>
                <w:tcPr>
                  <w:tcW w:w="4225" w:type="pct"/>
                  <w:gridSpan w:val="7"/>
                  <w:noWrap w:val="0"/>
                  <w:vAlign w:val="center"/>
                </w:tcPr>
                <w:p w14:paraId="1BDC2C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大气：危险物质泄漏、火灾爆炸事故等引发的伴生/次生污染物排放对大气环境造成影响。</w:t>
                  </w:r>
                </w:p>
                <w:p w14:paraId="3F218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本项目建成后全厂涉及的有毒有害物质泄漏后挥发至大气环境中，或泄漏后遇明火等发生火灾、爆炸事故引起次生的污染排放至大气环境中，对大气环境造成影响，从而造成对厂外环境敏感点和人群的影响。</w:t>
                  </w:r>
                </w:p>
                <w:p w14:paraId="73637A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地表水：火灾、爆炸事故发生时产生的消防废水处理不当而排入附近地表水体时，将对周边地表水环境产生影响。</w:t>
                  </w:r>
                </w:p>
                <w:p w14:paraId="2F5ECF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地下水：有毒有害物质在储存或厂内转移过程中由于操作不当、防渗材料破裂等原因而下渗，将对地下水环境产生影响。</w:t>
                  </w:r>
                </w:p>
              </w:tc>
            </w:tr>
            <w:tr w14:paraId="675E9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noWrap w:val="0"/>
                  <w:vAlign w:val="center"/>
                </w:tcPr>
                <w:p w14:paraId="4CA99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风险防范措施要求</w:t>
                  </w:r>
                </w:p>
              </w:tc>
              <w:tc>
                <w:tcPr>
                  <w:tcW w:w="4225" w:type="pct"/>
                  <w:gridSpan w:val="7"/>
                  <w:noWrap w:val="0"/>
                  <w:vAlign w:val="center"/>
                </w:tcPr>
                <w:p w14:paraId="6E8900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企业需要加强日常的运行管理，特别要注重危废仓库等地方。加强员工的防范风险意识，培训员工的应急技能。相应的应急器材和物资要到位，确保发生事故时能及时处置，把危险降到最低。</w:t>
                  </w:r>
                </w:p>
              </w:tc>
            </w:tr>
            <w:tr w14:paraId="0C0FC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14:paraId="0EB3B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rFonts w:hint="eastAsia"/>
                      <w:color w:val="auto"/>
                      <w:sz w:val="21"/>
                      <w:szCs w:val="21"/>
                    </w:rPr>
                    <w:t>填表说明（列出项目相关信息及评价说明）：环境风险势能判断为I等级。企业在做好相应的风险防范措施的前提下，风险可防控。</w:t>
                  </w:r>
                </w:p>
              </w:tc>
            </w:tr>
          </w:tbl>
          <w:p w14:paraId="7B1718A3">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rPr>
            </w:pPr>
            <w:r>
              <w:rPr>
                <w:rFonts w:hint="eastAsia"/>
                <w:color w:val="auto"/>
                <w:sz w:val="24"/>
                <w:szCs w:val="24"/>
              </w:rPr>
              <w:t>综上所述，本项目的环境风险影响在可接受的范围之内，企业在采取风险防范措施的情况下，可进一步降低事故发生率。</w:t>
            </w:r>
          </w:p>
          <w:p w14:paraId="6625B5E0">
            <w:pPr>
              <w:pStyle w:val="7"/>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八</w:t>
            </w:r>
            <w:r>
              <w:rPr>
                <w:rFonts w:hint="eastAsia"/>
                <w:color w:val="auto"/>
                <w:sz w:val="24"/>
                <w:szCs w:val="24"/>
                <w:lang w:eastAsia="zh-CN"/>
              </w:rPr>
              <w:t>）</w:t>
            </w:r>
            <w:r>
              <w:rPr>
                <w:rFonts w:hint="eastAsia"/>
                <w:color w:val="auto"/>
                <w:sz w:val="24"/>
                <w:szCs w:val="24"/>
                <w:lang w:val="en-US" w:eastAsia="zh-CN"/>
              </w:rPr>
              <w:t>建立园区三级防控体系联系</w:t>
            </w:r>
          </w:p>
          <w:p w14:paraId="6A7866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园区三级防控措施如下：</w:t>
            </w:r>
          </w:p>
          <w:p w14:paraId="67111734">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default"/>
                <w:color w:val="auto"/>
                <w:sz w:val="24"/>
                <w:szCs w:val="24"/>
                <w:lang w:val="en-US" w:eastAsia="zh-CN"/>
              </w:rPr>
            </w:pPr>
            <w:r>
              <w:rPr>
                <w:rFonts w:hint="default"/>
                <w:color w:val="auto"/>
                <w:sz w:val="24"/>
                <w:szCs w:val="24"/>
                <w:lang w:val="en-US" w:eastAsia="zh-CN"/>
              </w:rPr>
              <w:t>第一级防控(企业厂界)是企业切断污染物与厂区外部的通道，将污染</w:t>
            </w:r>
            <w:r>
              <w:rPr>
                <w:rFonts w:hint="eastAsia"/>
                <w:color w:val="auto"/>
                <w:sz w:val="24"/>
                <w:szCs w:val="24"/>
                <w:lang w:val="en-US" w:eastAsia="zh-CN"/>
              </w:rPr>
              <w:t>源</w:t>
            </w:r>
            <w:r>
              <w:rPr>
                <w:rFonts w:hint="default"/>
                <w:color w:val="auto"/>
                <w:sz w:val="24"/>
                <w:szCs w:val="24"/>
                <w:lang w:val="en-US" w:eastAsia="zh-CN"/>
              </w:rPr>
              <w:t>截留在企业厂界内。</w:t>
            </w:r>
          </w:p>
          <w:p w14:paraId="2A3255AE">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default"/>
                <w:color w:val="auto"/>
                <w:sz w:val="24"/>
                <w:szCs w:val="24"/>
                <w:lang w:val="en-US" w:eastAsia="zh-CN"/>
              </w:rPr>
            </w:pPr>
            <w:r>
              <w:rPr>
                <w:rFonts w:hint="default"/>
                <w:color w:val="auto"/>
                <w:sz w:val="24"/>
                <w:szCs w:val="24"/>
                <w:lang w:val="en-US" w:eastAsia="zh-CN"/>
              </w:rPr>
              <w:t>第二级防控(园区边界)是园区切断污染物与周边水体的通道，将污染</w:t>
            </w:r>
            <w:r>
              <w:rPr>
                <w:rFonts w:hint="eastAsia"/>
                <w:color w:val="auto"/>
                <w:sz w:val="24"/>
                <w:szCs w:val="24"/>
                <w:lang w:val="en-US" w:eastAsia="zh-CN"/>
              </w:rPr>
              <w:t>源</w:t>
            </w:r>
            <w:r>
              <w:rPr>
                <w:rFonts w:hint="default"/>
                <w:color w:val="auto"/>
                <w:sz w:val="24"/>
                <w:szCs w:val="24"/>
                <w:lang w:val="en-US" w:eastAsia="zh-CN"/>
              </w:rPr>
              <w:t>截留在园区范围内。</w:t>
            </w:r>
          </w:p>
          <w:p w14:paraId="28420AE1">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default"/>
                <w:color w:val="auto"/>
                <w:sz w:val="24"/>
                <w:szCs w:val="24"/>
                <w:lang w:val="en-US" w:eastAsia="zh-CN"/>
              </w:rPr>
            </w:pPr>
            <w:r>
              <w:rPr>
                <w:rFonts w:hint="default"/>
                <w:color w:val="auto"/>
                <w:sz w:val="24"/>
                <w:szCs w:val="24"/>
                <w:lang w:val="en-US" w:eastAsia="zh-CN"/>
              </w:rPr>
              <w:t>第三级防控(周边水体)是针对污染扩大到园区外周围水体时，结合周边水体监控设施，通过水体闸坝、排涝泵站，引流等设施将污染</w:t>
            </w:r>
            <w:r>
              <w:rPr>
                <w:rFonts w:hint="eastAsia"/>
                <w:color w:val="auto"/>
                <w:sz w:val="24"/>
                <w:szCs w:val="24"/>
                <w:lang w:val="en-US" w:eastAsia="zh-CN"/>
              </w:rPr>
              <w:t>源</w:t>
            </w:r>
            <w:r>
              <w:rPr>
                <w:rFonts w:hint="default"/>
                <w:color w:val="auto"/>
                <w:sz w:val="24"/>
                <w:szCs w:val="24"/>
                <w:lang w:val="en-US" w:eastAsia="zh-CN"/>
              </w:rPr>
              <w:t>进行截留。</w:t>
            </w:r>
          </w:p>
          <w:p w14:paraId="513FBE25">
            <w:pPr>
              <w:pStyle w:val="7"/>
              <w:keepNext w:val="0"/>
              <w:keepLines w:val="0"/>
              <w:pageBreakBefore w:val="0"/>
              <w:kinsoku/>
              <w:wordWrap/>
              <w:overflowPunct/>
              <w:topLinePunct w:val="0"/>
              <w:autoSpaceDE/>
              <w:autoSpaceDN/>
              <w:bidi w:val="0"/>
              <w:adjustRightInd/>
              <w:spacing w:before="0" w:after="0" w:line="480" w:lineRule="exact"/>
              <w:ind w:right="0" w:firstLine="480" w:firstLineChars="200"/>
              <w:textAlignment w:val="auto"/>
              <w:rPr>
                <w:rFonts w:hint="eastAsia"/>
                <w:color w:val="auto"/>
                <w:sz w:val="24"/>
                <w:szCs w:val="24"/>
              </w:rPr>
            </w:pPr>
            <w:r>
              <w:rPr>
                <w:rFonts w:hint="eastAsia"/>
                <w:color w:val="auto"/>
                <w:sz w:val="24"/>
                <w:szCs w:val="24"/>
                <w:lang w:val="en-US" w:eastAsia="zh-CN"/>
              </w:rPr>
              <w:t>本项目所在厂区设有两个应急水池共1832.2m</w:t>
            </w:r>
            <w:r>
              <w:rPr>
                <w:rFonts w:hint="eastAsia"/>
                <w:color w:val="auto"/>
                <w:sz w:val="24"/>
                <w:szCs w:val="24"/>
                <w:vertAlign w:val="superscript"/>
                <w:lang w:val="en-US" w:eastAsia="zh-CN"/>
              </w:rPr>
              <w:t>3</w:t>
            </w:r>
            <w:r>
              <w:rPr>
                <w:rFonts w:hint="eastAsia"/>
                <w:color w:val="auto"/>
                <w:sz w:val="24"/>
                <w:szCs w:val="24"/>
                <w:lang w:val="en-US" w:eastAsia="zh-CN"/>
              </w:rPr>
              <w:t>，距离本项目最近的事故应急池体积为400m</w:t>
            </w:r>
            <w:r>
              <w:rPr>
                <w:rFonts w:hint="eastAsia"/>
                <w:color w:val="auto"/>
                <w:sz w:val="24"/>
                <w:szCs w:val="24"/>
                <w:vertAlign w:val="superscript"/>
                <w:lang w:val="en-US" w:eastAsia="zh-CN"/>
              </w:rPr>
              <w:t>3</w:t>
            </w:r>
            <w:r>
              <w:rPr>
                <w:rFonts w:hint="eastAsia"/>
                <w:color w:val="auto"/>
                <w:sz w:val="24"/>
                <w:szCs w:val="24"/>
                <w:lang w:val="en-US" w:eastAsia="zh-CN"/>
              </w:rPr>
              <w:t>，满足本项目事故废水的承接；厂区内的雨水排放口及污水排口设有阻断阀，能有效方式受污染的事故废水流入周边水体。</w:t>
            </w:r>
          </w:p>
          <w:p w14:paraId="3F1B5195">
            <w:pPr>
              <w:keepNext w:val="0"/>
              <w:keepLines w:val="0"/>
              <w:pageBreakBefore w:val="0"/>
              <w:kinsoku/>
              <w:wordWrap/>
              <w:overflowPunct/>
              <w:topLinePunct w:val="0"/>
              <w:autoSpaceDE/>
              <w:autoSpaceDN/>
              <w:bidi w:val="0"/>
              <w:adjustRightInd w:val="0"/>
              <w:snapToGrid w:val="0"/>
              <w:spacing w:line="480" w:lineRule="exact"/>
              <w:textAlignment w:val="auto"/>
              <w:rPr>
                <w:rFonts w:hint="default"/>
                <w:b/>
                <w:bCs/>
                <w:color w:val="auto"/>
                <w:sz w:val="24"/>
                <w:szCs w:val="24"/>
                <w:lang w:val="en-US" w:eastAsia="zh-CN"/>
              </w:rPr>
            </w:pPr>
            <w:r>
              <w:rPr>
                <w:rFonts w:hint="eastAsia"/>
                <w:b/>
                <w:bCs/>
                <w:color w:val="auto"/>
                <w:sz w:val="24"/>
                <w:szCs w:val="24"/>
                <w:lang w:val="en-US" w:eastAsia="zh-CN"/>
              </w:rPr>
              <w:t>9、生物安全</w:t>
            </w:r>
          </w:p>
          <w:p w14:paraId="7AC619BA">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（一）根据《病原微生物实验室生物安全管理条例》，将病原微生物分为四类，根据所操作的生物因子的危害程度和采取的防护措施，将生物安全防护水平相应分为4级：</w:t>
            </w:r>
          </w:p>
          <w:p w14:paraId="4445DF1A">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（1）生物安全等级P1安全一级；进行试验研究用的物质都是已知的，所有特性都已清楚并且已证明不会导致疾病的物质；</w:t>
            </w:r>
          </w:p>
          <w:p w14:paraId="282BCC7A">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（2）生物安全等级P2安全二级；进行试验研究用的物质是一些已知的中等程度危险性的并且与人类某些常见疾病相关的物质；</w:t>
            </w:r>
          </w:p>
          <w:p w14:paraId="4E0646B7">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（3）生物安全等级P3安全三级；进行试验研究的物质一般都是本土或者外来的有通过呼吸传染使人们致病或者有生命危险可能的物质；</w:t>
            </w:r>
          </w:p>
          <w:p w14:paraId="04B014B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（4）生物安全等级P4安全四级；进行试验研究的物质是一些非常高危险性并且可以致命的有毒物质，可以通过空气传播且现今并没有有效的疫苗或者治疗方法来处理。</w:t>
            </w:r>
          </w:p>
          <w:p w14:paraId="7D62D8A3">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涉及生物安全的内容主要为菌种培养、发酵等实验活动。根据建设方提供资料，本项目实验使用的菌种为大肠杆菌，通过商业途径购买，且最高安全防护级为BSL-1；故本项目生物安全实验室按照一级生物安全水平设计。</w:t>
            </w:r>
          </w:p>
          <w:p w14:paraId="435D0354">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根据《实验室生物安全通用要求》(GB19489-2008)、《病原微生物和生物医学实验室生物安全通用准则》(WS 233-2017)及《实验室生物安全手册》（第三版世卫组织），生物安全实验室应在安全设备和个体防护、实验室设计和建造达到下表中的基本要求。</w:t>
            </w:r>
          </w:p>
          <w:p w14:paraId="36EDA899">
            <w:pPr>
              <w:keepNext w:val="0"/>
              <w:keepLines w:val="0"/>
              <w:pageBreakBefore w:val="0"/>
              <w:kinsoku/>
              <w:wordWrap/>
              <w:overflowPunct/>
              <w:topLinePunct w:val="0"/>
              <w:autoSpaceDE/>
              <w:autoSpaceDN/>
              <w:bidi w:val="0"/>
              <w:adjustRightInd w:val="0"/>
              <w:snapToGrid w:val="0"/>
              <w:spacing w:line="480" w:lineRule="exact"/>
              <w:ind w:firstLine="422" w:firstLineChars="200"/>
              <w:jc w:val="center"/>
              <w:textAlignment w:val="auto"/>
              <w:rPr>
                <w:rFonts w:hint="default"/>
                <w:b/>
                <w:bCs/>
                <w:color w:val="auto"/>
                <w:sz w:val="21"/>
                <w:szCs w:val="21"/>
                <w:lang w:val="en-US" w:eastAsia="zh-CN"/>
              </w:rPr>
            </w:pPr>
            <w:r>
              <w:rPr>
                <w:rFonts w:hint="eastAsia"/>
                <w:b/>
                <w:bCs/>
                <w:color w:val="auto"/>
                <w:sz w:val="21"/>
                <w:szCs w:val="21"/>
                <w:lang w:val="en-US" w:eastAsia="zh-CN"/>
              </w:rPr>
              <w:t>表4-31  一级生物安全防护实验室基本条件要求</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69"/>
              <w:gridCol w:w="4170"/>
            </w:tblGrid>
            <w:tr w14:paraId="03EBB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9" w:type="dxa"/>
                  <w:tcBorders>
                    <w:tl2br w:val="nil"/>
                    <w:tr2bl w:val="nil"/>
                  </w:tcBorders>
                  <w:vAlign w:val="center"/>
                </w:tcPr>
                <w:p w14:paraId="7B2BFF1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安全和个体防护要求</w:t>
                  </w:r>
                </w:p>
              </w:tc>
              <w:tc>
                <w:tcPr>
                  <w:tcW w:w="4170" w:type="dxa"/>
                  <w:tcBorders>
                    <w:tl2br w:val="nil"/>
                    <w:tr2bl w:val="nil"/>
                  </w:tcBorders>
                  <w:vAlign w:val="center"/>
                </w:tcPr>
                <w:p w14:paraId="4090DD9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实验室设计和建造要求</w:t>
                  </w:r>
                </w:p>
              </w:tc>
            </w:tr>
            <w:tr w14:paraId="5ED3A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4169" w:type="dxa"/>
                  <w:tcBorders>
                    <w:tl2br w:val="nil"/>
                    <w:tr2bl w:val="nil"/>
                  </w:tcBorders>
                </w:tcPr>
                <w:p w14:paraId="6B7BADD2">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1、可能产生致病微生物气溶胶或出现溅出的操作均应在生物安全柜或其他物理抑制设备中进行，并使用个体防护设备。</w:t>
                  </w:r>
                </w:p>
                <w:p w14:paraId="48564D3F">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2、处理高浓度或大容量感染性材料均必须在生物安全柜或其他物理抑制设备中进行，并使用个体防护设备</w:t>
                  </w:r>
                </w:p>
                <w:p w14:paraId="251A72E0">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3、当微生物的操作不可能在生物安全柜内进行而必须采取外部操作时，为防止感染性材料溅出或雾化危害，必须使用面部保护装置(护目镜、面罩、个体呼吸保护用品或其他防溅出保护设备)。</w:t>
                  </w:r>
                </w:p>
                <w:p w14:paraId="409ACB41">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4、在实验室中应穿着工作服或罩衫等防护服。离开实验室时，防护服必须脱下并留在实验室内。不得穿着外出，更不能携带回家。用过的工作服应先在实验室中消毒，然后统-洗涤或丢弃。</w:t>
                  </w:r>
                </w:p>
                <w:p w14:paraId="2E6E825B">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5、当手可能接触感染材料、污染的表面或设备时应戴手套；如可能发生感染性材料的溢出或溅出，宜戴两副手套；不得戴着手套离开实验室；工作完全结束后方可除去手套。一次性手套不得清洗和再次使用。</w:t>
                  </w:r>
                </w:p>
              </w:tc>
              <w:tc>
                <w:tcPr>
                  <w:tcW w:w="4170" w:type="dxa"/>
                  <w:tcBorders>
                    <w:tl2br w:val="nil"/>
                    <w:tr2bl w:val="nil"/>
                  </w:tcBorders>
                </w:tcPr>
                <w:p w14:paraId="2BDA453B">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1、每个实验室应设洗手池，宜设置在靠近出口处</w:t>
                  </w:r>
                </w:p>
                <w:p w14:paraId="386FB326">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2、实验室围护结构内表面应易于清洁。面应防滑、无缝隙，不得铺设地毯。面应防滑、无缝隙，不得铺设地毯。</w:t>
                  </w:r>
                </w:p>
                <w:p w14:paraId="7793B8E6">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3、实验台表面应不透水，耐腐蚀、耐热。</w:t>
                  </w:r>
                </w:p>
                <w:p w14:paraId="0AB9AE94">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4、实验室中的家具应牢固。各种家具和设备之间的间隙应易于清洁</w:t>
                  </w:r>
                </w:p>
                <w:p w14:paraId="5C10EBCB">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5、实验室如有可开启窗户，应设置纱窗。</w:t>
                  </w:r>
                </w:p>
                <w:p w14:paraId="0AB42FB3">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6、应设置实施各种消毒方法的设施，如高压灭菌锅、化学消毒装置等对废弃物进行处理。</w:t>
                  </w:r>
                </w:p>
                <w:p w14:paraId="52034591">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7、应设置洗眼装置。</w:t>
                  </w:r>
                </w:p>
                <w:p w14:paraId="179D773E">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8、实验室门宜带锁、可自动关闭。</w:t>
                  </w:r>
                </w:p>
                <w:p w14:paraId="7FD20DAC">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9、实验室出口应有发光指示标志。</w:t>
                  </w:r>
                </w:p>
                <w:p w14:paraId="0CD5B3E5">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10、实验室宜有不少于每小时 3-4次的通风换气次数。</w:t>
                  </w:r>
                </w:p>
              </w:tc>
            </w:tr>
          </w:tbl>
          <w:p w14:paraId="37579C18">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根据《实验室生物安全通用要求》等规范要求，</w:t>
            </w:r>
            <w:bookmarkStart w:id="80" w:name="OLE_LINK20"/>
            <w:r>
              <w:rPr>
                <w:rFonts w:hint="eastAsia"/>
                <w:color w:val="auto"/>
                <w:sz w:val="24"/>
                <w:szCs w:val="24"/>
                <w:lang w:val="en-US" w:eastAsia="zh-CN"/>
              </w:rPr>
              <w:t>一级生物安全等级场所应采取的生物安全防范措施见下表</w:t>
            </w:r>
            <w:bookmarkEnd w:id="80"/>
            <w:r>
              <w:rPr>
                <w:rFonts w:hint="eastAsia"/>
                <w:color w:val="auto"/>
                <w:sz w:val="24"/>
                <w:szCs w:val="24"/>
                <w:lang w:val="en-US" w:eastAsia="zh-CN"/>
              </w:rPr>
              <w:t>。</w:t>
            </w:r>
          </w:p>
          <w:p w14:paraId="251AC0BD">
            <w:pPr>
              <w:keepNext w:val="0"/>
              <w:keepLines w:val="0"/>
              <w:pageBreakBefore w:val="0"/>
              <w:kinsoku/>
              <w:wordWrap/>
              <w:overflowPunct/>
              <w:topLinePunct w:val="0"/>
              <w:autoSpaceDE/>
              <w:autoSpaceDN/>
              <w:bidi w:val="0"/>
              <w:adjustRightInd w:val="0"/>
              <w:snapToGrid w:val="0"/>
              <w:spacing w:line="480" w:lineRule="exact"/>
              <w:ind w:firstLine="422" w:firstLineChars="200"/>
              <w:jc w:val="center"/>
              <w:textAlignment w:val="auto"/>
              <w:rPr>
                <w:rFonts w:hint="eastAsia"/>
                <w:b/>
                <w:bCs/>
                <w:color w:val="auto"/>
                <w:sz w:val="24"/>
                <w:szCs w:val="24"/>
                <w:lang w:val="en-US" w:eastAsia="zh-CN"/>
              </w:rPr>
            </w:pPr>
            <w:r>
              <w:rPr>
                <w:rFonts w:hint="eastAsia"/>
                <w:b/>
                <w:bCs/>
                <w:color w:val="auto"/>
                <w:sz w:val="21"/>
                <w:szCs w:val="21"/>
                <w:lang w:val="en-US" w:eastAsia="zh-CN"/>
              </w:rPr>
              <w:t>表4-33 一级生物安全等级场所防范措施</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2159"/>
              <w:gridCol w:w="1732"/>
              <w:gridCol w:w="2087"/>
            </w:tblGrid>
            <w:tr w14:paraId="71D04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8" w:type="pct"/>
                  <w:tcBorders>
                    <w:tl2br w:val="nil"/>
                    <w:tr2bl w:val="nil"/>
                  </w:tcBorders>
                  <w:vAlign w:val="center"/>
                </w:tcPr>
                <w:p w14:paraId="2873344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病源</w:t>
                  </w:r>
                </w:p>
              </w:tc>
              <w:tc>
                <w:tcPr>
                  <w:tcW w:w="1293" w:type="pct"/>
                  <w:tcBorders>
                    <w:tl2br w:val="nil"/>
                    <w:tr2bl w:val="nil"/>
                  </w:tcBorders>
                  <w:vAlign w:val="center"/>
                </w:tcPr>
                <w:p w14:paraId="7ADD66E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规范操作要求</w:t>
                  </w:r>
                </w:p>
              </w:tc>
              <w:tc>
                <w:tcPr>
                  <w:tcW w:w="1037" w:type="pct"/>
                  <w:tcBorders>
                    <w:tl2br w:val="nil"/>
                    <w:tr2bl w:val="nil"/>
                  </w:tcBorders>
                  <w:vAlign w:val="center"/>
                </w:tcPr>
                <w:p w14:paraId="64A123E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安全设备</w:t>
                  </w:r>
                </w:p>
              </w:tc>
              <w:tc>
                <w:tcPr>
                  <w:tcW w:w="1250" w:type="pct"/>
                  <w:tcBorders>
                    <w:tl2br w:val="nil"/>
                    <w:tr2bl w:val="nil"/>
                  </w:tcBorders>
                  <w:vAlign w:val="center"/>
                </w:tcPr>
                <w:p w14:paraId="6A94D45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实验设施</w:t>
                  </w:r>
                </w:p>
              </w:tc>
            </w:tr>
            <w:tr w14:paraId="528D9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8" w:type="pct"/>
                  <w:tcBorders>
                    <w:tl2br w:val="nil"/>
                    <w:tr2bl w:val="nil"/>
                  </w:tcBorders>
                  <w:vAlign w:val="center"/>
                </w:tcPr>
                <w:p w14:paraId="490BF0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对健康成人已知无致病作用的微生物</w:t>
                  </w:r>
                </w:p>
              </w:tc>
              <w:tc>
                <w:tcPr>
                  <w:tcW w:w="1293" w:type="pct"/>
                  <w:tcBorders>
                    <w:tl2br w:val="nil"/>
                    <w:tr2bl w:val="nil"/>
                  </w:tcBorders>
                  <w:vAlign w:val="center"/>
                </w:tcPr>
                <w:p w14:paraId="73AF50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标准的微生物操作（GMP）</w:t>
                  </w:r>
                </w:p>
              </w:tc>
              <w:tc>
                <w:tcPr>
                  <w:tcW w:w="1037" w:type="pct"/>
                  <w:tcBorders>
                    <w:tl2br w:val="nil"/>
                    <w:tr2bl w:val="nil"/>
                  </w:tcBorders>
                  <w:vAlign w:val="center"/>
                </w:tcPr>
                <w:p w14:paraId="69A49C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无特殊要求</w:t>
                  </w:r>
                </w:p>
              </w:tc>
              <w:tc>
                <w:tcPr>
                  <w:tcW w:w="1250" w:type="pct"/>
                  <w:tcBorders>
                    <w:tl2br w:val="nil"/>
                    <w:tr2bl w:val="nil"/>
                  </w:tcBorders>
                  <w:vAlign w:val="center"/>
                </w:tcPr>
                <w:p w14:paraId="5DC56A8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开放实验台、洗</w:t>
                  </w:r>
                </w:p>
                <w:p w14:paraId="56EE57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手池</w:t>
                  </w:r>
                </w:p>
              </w:tc>
            </w:tr>
          </w:tbl>
          <w:p w14:paraId="6761C6C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根据</w:t>
            </w:r>
            <w:r>
              <w:rPr>
                <w:rFonts w:hint="default"/>
                <w:color w:val="auto"/>
                <w:sz w:val="24"/>
                <w:szCs w:val="24"/>
                <w:lang w:val="en-US" w:eastAsia="zh-CN"/>
              </w:rPr>
              <w:t>《实验室生物安全手册》（第三版世卫组织）等</w:t>
            </w:r>
            <w:r>
              <w:rPr>
                <w:rFonts w:hint="eastAsia"/>
                <w:color w:val="auto"/>
                <w:sz w:val="24"/>
                <w:szCs w:val="24"/>
                <w:lang w:val="en-US" w:eastAsia="zh-CN"/>
              </w:rPr>
              <w:t>要求，一级生物安全等级场所应采取的生物安全防范措施如下：</w:t>
            </w:r>
          </w:p>
          <w:p w14:paraId="401F41C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（1）进入规定</w:t>
            </w:r>
          </w:p>
          <w:p w14:paraId="3E4E4C83">
            <w:pPr>
              <w:keepNext w:val="0"/>
              <w:keepLines w:val="0"/>
              <w:pageBreakBefore w:val="0"/>
              <w:numPr>
                <w:ilvl w:val="0"/>
                <w:numId w:val="17"/>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只有经批准的人员方可进入实验室工作区域。</w:t>
            </w:r>
          </w:p>
          <w:p w14:paraId="1F44C48E">
            <w:pPr>
              <w:keepNext w:val="0"/>
              <w:keepLines w:val="0"/>
              <w:pageBreakBefore w:val="0"/>
              <w:numPr>
                <w:ilvl w:val="0"/>
                <w:numId w:val="17"/>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实验室的门应保持关闭。</w:t>
            </w:r>
          </w:p>
          <w:p w14:paraId="294D6C56">
            <w:pPr>
              <w:keepNext w:val="0"/>
              <w:keepLines w:val="0"/>
              <w:pageBreakBefore w:val="0"/>
              <w:numPr>
                <w:ilvl w:val="0"/>
                <w:numId w:val="17"/>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儿童不应被批准或允许进入实验室工作区域。</w:t>
            </w:r>
          </w:p>
          <w:p w14:paraId="40C746F4">
            <w:pPr>
              <w:keepNext w:val="0"/>
              <w:keepLines w:val="0"/>
              <w:pageBreakBefore w:val="0"/>
              <w:numPr>
                <w:ilvl w:val="0"/>
                <w:numId w:val="17"/>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进入动物房应当经过特别批准。</w:t>
            </w:r>
          </w:p>
          <w:p w14:paraId="3C1FEFA2">
            <w:pPr>
              <w:keepNext w:val="0"/>
              <w:keepLines w:val="0"/>
              <w:pageBreakBefore w:val="0"/>
              <w:numPr>
                <w:ilvl w:val="0"/>
                <w:numId w:val="17"/>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与实验室工作无关的动物不得带入实验室。</w:t>
            </w:r>
          </w:p>
          <w:p w14:paraId="2B324DF4">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（2）人员防护</w:t>
            </w:r>
          </w:p>
          <w:p w14:paraId="06F3B59F">
            <w:pPr>
              <w:keepNext w:val="0"/>
              <w:keepLines w:val="0"/>
              <w:pageBreakBefore w:val="0"/>
              <w:numPr>
                <w:ilvl w:val="0"/>
                <w:numId w:val="18"/>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在实验室工作时，任何时候都必须穿着连体衣、隔离服或工作服。</w:t>
            </w:r>
          </w:p>
          <w:p w14:paraId="6AFC7F30">
            <w:pPr>
              <w:keepNext w:val="0"/>
              <w:keepLines w:val="0"/>
              <w:pageBreakBefore w:val="0"/>
              <w:numPr>
                <w:ilvl w:val="0"/>
                <w:numId w:val="18"/>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在进行可能直接或意外接触到血液、体液以及其他具有潜在感染性的材料或感染性动物的操作时，应戴上合适的手套。手套用完后，应先消毒再摘除，随后必须洗手。</w:t>
            </w:r>
          </w:p>
          <w:p w14:paraId="2CF2F3CC">
            <w:pPr>
              <w:keepNext w:val="0"/>
              <w:keepLines w:val="0"/>
              <w:pageBreakBefore w:val="0"/>
              <w:numPr>
                <w:ilvl w:val="0"/>
                <w:numId w:val="18"/>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在实验室工作时，任何时候都必须穿着连体衣、隔离服或工作服。</w:t>
            </w:r>
          </w:p>
          <w:p w14:paraId="6E28FA2A">
            <w:pPr>
              <w:keepNext w:val="0"/>
              <w:keepLines w:val="0"/>
              <w:pageBreakBefore w:val="0"/>
              <w:numPr>
                <w:ilvl w:val="0"/>
                <w:numId w:val="18"/>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在进行可能直接或意外接触到血液、体液以及其他具有潜在感染性的材料或感染性动物的操作时，应戴上合适的手套。手套用完后，应先消毒再摘除，随后必须洗手。</w:t>
            </w:r>
          </w:p>
          <w:p w14:paraId="0AF8661D">
            <w:pPr>
              <w:keepNext w:val="0"/>
              <w:keepLines w:val="0"/>
              <w:pageBreakBefore w:val="0"/>
              <w:numPr>
                <w:ilvl w:val="0"/>
                <w:numId w:val="0"/>
              </w:numPr>
              <w:kinsoku/>
              <w:wordWrap/>
              <w:overflowPunct/>
              <w:topLinePunct w:val="0"/>
              <w:autoSpaceDE/>
              <w:autoSpaceDN/>
              <w:bidi w:val="0"/>
              <w:adjustRightInd w:val="0"/>
              <w:snapToGrid w:val="0"/>
              <w:spacing w:line="480" w:lineRule="exact"/>
              <w:ind w:left="400" w:leftChars="0"/>
              <w:textAlignment w:val="auto"/>
              <w:rPr>
                <w:rFonts w:hint="default"/>
                <w:color w:val="auto"/>
                <w:sz w:val="24"/>
                <w:szCs w:val="24"/>
                <w:lang w:val="en-US" w:eastAsia="zh-CN"/>
              </w:rPr>
            </w:pPr>
            <w:r>
              <w:rPr>
                <w:rFonts w:hint="eastAsia"/>
                <w:color w:val="auto"/>
                <w:sz w:val="24"/>
                <w:szCs w:val="24"/>
                <w:lang w:val="en-US" w:eastAsia="zh-CN"/>
              </w:rPr>
              <w:t>（3）操作规范</w:t>
            </w:r>
          </w:p>
          <w:p w14:paraId="78C9CB4F">
            <w:pPr>
              <w:keepNext w:val="0"/>
              <w:keepLines w:val="0"/>
              <w:pageBreakBefore w:val="0"/>
              <w:numPr>
                <w:ilvl w:val="0"/>
                <w:numId w:val="19"/>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严禁用口吸移液管。</w:t>
            </w:r>
          </w:p>
          <w:p w14:paraId="163D6287">
            <w:pPr>
              <w:keepNext w:val="0"/>
              <w:keepLines w:val="0"/>
              <w:pageBreakBefore w:val="0"/>
              <w:numPr>
                <w:ilvl w:val="0"/>
                <w:numId w:val="19"/>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严禁将实验材料置于口内。严禁舔标签。</w:t>
            </w:r>
          </w:p>
          <w:p w14:paraId="40A081E7">
            <w:pPr>
              <w:keepNext w:val="0"/>
              <w:keepLines w:val="0"/>
              <w:pageBreakBefore w:val="0"/>
              <w:numPr>
                <w:ilvl w:val="0"/>
                <w:numId w:val="19"/>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所有的技术操作要按尽量减少气溶胶和微小液滴形成的方式来进行。</w:t>
            </w:r>
          </w:p>
          <w:p w14:paraId="1F164FF5">
            <w:pPr>
              <w:keepNext w:val="0"/>
              <w:keepLines w:val="0"/>
              <w:pageBreakBefore w:val="0"/>
              <w:numPr>
                <w:ilvl w:val="0"/>
                <w:numId w:val="19"/>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应限制使用皮下注射针头和注射器。除了进行肠道外注射或抽取实验动物体液，皮下注射针头和注射器不能用于替代移液管或用作其他用途。</w:t>
            </w:r>
          </w:p>
          <w:p w14:paraId="72CA0572">
            <w:pPr>
              <w:keepNext w:val="0"/>
              <w:keepLines w:val="0"/>
              <w:pageBreakBefore w:val="0"/>
              <w:numPr>
                <w:ilvl w:val="0"/>
                <w:numId w:val="19"/>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出现溢出、事故以及明显或可能暴露于感染性物质时，必须向实验室主管报告。实验室应保存这些事件或事故的书面报告，</w:t>
            </w:r>
          </w:p>
          <w:p w14:paraId="56E408C4">
            <w:pPr>
              <w:keepNext w:val="0"/>
              <w:keepLines w:val="0"/>
              <w:pageBreakBefore w:val="0"/>
              <w:numPr>
                <w:ilvl w:val="0"/>
                <w:numId w:val="19"/>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必须制订关于如何处理溢出物的书面操作程序，并予以遵守执行。</w:t>
            </w:r>
          </w:p>
          <w:p w14:paraId="1C2D338C">
            <w:pPr>
              <w:keepNext w:val="0"/>
              <w:keepLines w:val="0"/>
              <w:pageBreakBefore w:val="0"/>
              <w:numPr>
                <w:ilvl w:val="0"/>
                <w:numId w:val="19"/>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污染的液体在排放到生活污水管道以前必须清除污染(采用化学或物理学方法)。根据所处理的微生物因子的危险度评估结果，可能需要准备污水处理系统。</w:t>
            </w:r>
          </w:p>
          <w:p w14:paraId="04103AD7">
            <w:pPr>
              <w:keepNext w:val="0"/>
              <w:keepLines w:val="0"/>
              <w:pageBreakBefore w:val="0"/>
              <w:numPr>
                <w:ilvl w:val="0"/>
                <w:numId w:val="19"/>
              </w:numPr>
              <w:kinsoku/>
              <w:wordWrap/>
              <w:overflowPunct/>
              <w:topLinePunct w:val="0"/>
              <w:autoSpaceDE/>
              <w:autoSpaceDN/>
              <w:bidi w:val="0"/>
              <w:adjustRightInd w:val="0"/>
              <w:snapToGrid w:val="0"/>
              <w:spacing w:line="480" w:lineRule="exact"/>
              <w:ind w:left="0" w:leftChars="0" w:firstLine="400" w:firstLineChars="0"/>
              <w:textAlignment w:val="auto"/>
              <w:rPr>
                <w:rFonts w:hint="eastAsia"/>
                <w:color w:val="auto"/>
                <w:sz w:val="24"/>
                <w:szCs w:val="24"/>
                <w:lang w:val="en-US" w:eastAsia="zh-CN"/>
              </w:rPr>
            </w:pPr>
            <w:r>
              <w:rPr>
                <w:rFonts w:hint="eastAsia"/>
                <w:color w:val="auto"/>
                <w:sz w:val="24"/>
                <w:szCs w:val="24"/>
                <w:lang w:val="en-US" w:eastAsia="zh-CN"/>
              </w:rPr>
              <w:t>需要带出实验室的手写文件必须保证在实验室内没有受到污染。</w:t>
            </w:r>
          </w:p>
          <w:p w14:paraId="04D309E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（4）实验室工作区</w:t>
            </w:r>
          </w:p>
          <w:p w14:paraId="5A44E539">
            <w:pPr>
              <w:keepNext w:val="0"/>
              <w:keepLines w:val="0"/>
              <w:pageBreakBefore w:val="0"/>
              <w:widowControl w:val="0"/>
              <w:numPr>
                <w:ilvl w:val="0"/>
                <w:numId w:val="20"/>
              </w:numPr>
              <w:kinsoku/>
              <w:wordWrap/>
              <w:overflowPunct/>
              <w:topLinePunct w:val="0"/>
              <w:autoSpaceDE/>
              <w:autoSpaceDN/>
              <w:bidi w:val="0"/>
              <w:adjustRightInd w:val="0"/>
              <w:snapToGrid w:val="0"/>
              <w:spacing w:line="480" w:lineRule="exact"/>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实验室应保持清洁整齐，严禁摆放和实验无关的物品。</w:t>
            </w:r>
          </w:p>
          <w:p w14:paraId="290E5F4E">
            <w:pPr>
              <w:keepNext w:val="0"/>
              <w:keepLines w:val="0"/>
              <w:pageBreakBefore w:val="0"/>
              <w:widowControl w:val="0"/>
              <w:numPr>
                <w:ilvl w:val="0"/>
                <w:numId w:val="20"/>
              </w:numPr>
              <w:kinsoku/>
              <w:wordWrap/>
              <w:overflowPunct/>
              <w:topLinePunct w:val="0"/>
              <w:autoSpaceDE/>
              <w:autoSpaceDN/>
              <w:bidi w:val="0"/>
              <w:adjustRightInd w:val="0"/>
              <w:snapToGrid w:val="0"/>
              <w:spacing w:line="480" w:lineRule="exact"/>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发生具有潜在危害性的材料溢出以及在每天工作结束之后，都必须清除工作台面的污染。</w:t>
            </w:r>
          </w:p>
          <w:p w14:paraId="5070F4F5">
            <w:pPr>
              <w:keepNext w:val="0"/>
              <w:keepLines w:val="0"/>
              <w:pageBreakBefore w:val="0"/>
              <w:widowControl w:val="0"/>
              <w:numPr>
                <w:ilvl w:val="0"/>
                <w:numId w:val="20"/>
              </w:numPr>
              <w:kinsoku/>
              <w:wordWrap/>
              <w:overflowPunct/>
              <w:topLinePunct w:val="0"/>
              <w:autoSpaceDE/>
              <w:autoSpaceDN/>
              <w:bidi w:val="0"/>
              <w:adjustRightInd w:val="0"/>
              <w:snapToGrid w:val="0"/>
              <w:spacing w:line="480" w:lineRule="exact"/>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所有受到污染的材料、标本和培养物在废弃或清洁再利用之前，必须清除污染。</w:t>
            </w:r>
          </w:p>
          <w:p w14:paraId="7AE7D6C0">
            <w:pPr>
              <w:keepNext w:val="0"/>
              <w:keepLines w:val="0"/>
              <w:pageBreakBefore w:val="0"/>
              <w:widowControl w:val="0"/>
              <w:numPr>
                <w:ilvl w:val="0"/>
                <w:numId w:val="20"/>
              </w:numPr>
              <w:kinsoku/>
              <w:wordWrap/>
              <w:overflowPunct/>
              <w:topLinePunct w:val="0"/>
              <w:autoSpaceDE/>
              <w:autoSpaceDN/>
              <w:bidi w:val="0"/>
              <w:adjustRightInd w:val="0"/>
              <w:snapToGrid w:val="0"/>
              <w:spacing w:line="480" w:lineRule="exact"/>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在进行包装和运输时必须遵循国家和/或国际的相关规定。</w:t>
            </w:r>
          </w:p>
          <w:p w14:paraId="1F0FC873">
            <w:pPr>
              <w:keepNext w:val="0"/>
              <w:keepLines w:val="0"/>
              <w:pageBreakBefore w:val="0"/>
              <w:widowControl w:val="0"/>
              <w:numPr>
                <w:ilvl w:val="0"/>
                <w:numId w:val="20"/>
              </w:numPr>
              <w:kinsoku/>
              <w:wordWrap/>
              <w:overflowPunct/>
              <w:topLinePunct w:val="0"/>
              <w:autoSpaceDE/>
              <w:autoSpaceDN/>
              <w:bidi w:val="0"/>
              <w:adjustRightInd w:val="0"/>
              <w:snapToGrid w:val="0"/>
              <w:spacing w:line="480" w:lineRule="exact"/>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如果窗户可以打开，则应安装防止节肢动物进入的纱窗。</w:t>
            </w:r>
          </w:p>
          <w:p w14:paraId="75FB1587">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（5）生物安全管理</w:t>
            </w:r>
          </w:p>
          <w:p w14:paraId="1D493D37">
            <w:pPr>
              <w:keepNext w:val="0"/>
              <w:keepLines w:val="0"/>
              <w:pageBreakBefore w:val="0"/>
              <w:widowControl w:val="0"/>
              <w:numPr>
                <w:ilvl w:val="0"/>
                <w:numId w:val="21"/>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实验室主任(对实验室直接负责的人员)负责制订和采用生物安全管理计划以及安全操作手册。</w:t>
            </w:r>
          </w:p>
          <w:p w14:paraId="4F56DE93">
            <w:pPr>
              <w:keepNext w:val="0"/>
              <w:keepLines w:val="0"/>
              <w:pageBreakBefore w:val="0"/>
              <w:widowControl w:val="0"/>
              <w:numPr>
                <w:ilvl w:val="0"/>
                <w:numId w:val="21"/>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实验室主管(向实验室主任汇报)应当保证提供常规的实验室安全培训。</w:t>
            </w:r>
          </w:p>
          <w:p w14:paraId="11943F26">
            <w:pPr>
              <w:keepNext w:val="0"/>
              <w:keepLines w:val="0"/>
              <w:pageBreakBefore w:val="0"/>
              <w:widowControl w:val="0"/>
              <w:numPr>
                <w:ilvl w:val="0"/>
                <w:numId w:val="21"/>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要将生物安全实验室的特殊危害告知实验室人员，同时要求他们阅读生物安全或操作手册，并遵循标准的操作和规程。实验室主管应当确保所有实验室人员都了解这些要求。实验室内应备有可供取阅的安全或操作手册。</w:t>
            </w:r>
          </w:p>
          <w:p w14:paraId="69782DA7">
            <w:pPr>
              <w:keepNext w:val="0"/>
              <w:keepLines w:val="0"/>
              <w:pageBreakBefore w:val="0"/>
              <w:widowControl w:val="0"/>
              <w:numPr>
                <w:ilvl w:val="0"/>
                <w:numId w:val="21"/>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应当制订节肢动物和啮齿动物的控制方案。</w:t>
            </w:r>
          </w:p>
          <w:p w14:paraId="7E4CC308">
            <w:pPr>
              <w:keepNext w:val="0"/>
              <w:keepLines w:val="0"/>
              <w:pageBreakBefore w:val="0"/>
              <w:widowControl w:val="0"/>
              <w:numPr>
                <w:ilvl w:val="0"/>
                <w:numId w:val="21"/>
              </w:numPr>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如有必要，应为所有实验室人员提供适宜的医学评估、监测和治疗，并应妥善保存相应的医学记录。</w:t>
            </w:r>
          </w:p>
          <w:p w14:paraId="0DA90C7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本项目生产车间涉及的大肠杆菌属第四类微生物，通常情况下不会引起人、动物或者环境危害，但在存放、转移、培养、灭活等过程存在一定的影响，具体如下： </w:t>
            </w:r>
          </w:p>
          <w:p w14:paraId="09401E16">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（1）菌种泄露 </w:t>
            </w:r>
          </w:p>
          <w:p w14:paraId="38B523F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菌种以冻干状长期保存于-20℃以下环境，使用前需在低温下转运至操作区 域。细胞转移过程由于运输人员操作、运输工具故障有发生菌种泄露的可能；另 外，菌种在整个发酵过程中需要进行数次扩增传代。扩增传代过程中涉及操作车 </w:t>
            </w:r>
          </w:p>
          <w:p w14:paraId="09EB47D5">
            <w:pPr>
              <w:keepNext w:val="0"/>
              <w:keepLines w:val="0"/>
              <w:pageBreakBefore w:val="0"/>
              <w:kinsoku/>
              <w:wordWrap/>
              <w:overflowPunct/>
              <w:topLinePunct w:val="0"/>
              <w:autoSpaceDE/>
              <w:autoSpaceDN/>
              <w:bidi w:val="0"/>
              <w:adjustRightInd w:val="0"/>
              <w:snapToGrid w:val="0"/>
              <w:spacing w:line="480" w:lineRule="exact"/>
              <w:textAlignment w:val="auto"/>
              <w:rPr>
                <w:rFonts w:hint="eastAsia"/>
                <w:color w:val="auto"/>
                <w:sz w:val="24"/>
                <w:szCs w:val="24"/>
                <w:lang w:val="en-US" w:eastAsia="zh-CN"/>
              </w:rPr>
            </w:pPr>
            <w:r>
              <w:rPr>
                <w:rFonts w:hint="eastAsia"/>
                <w:color w:val="auto"/>
                <w:sz w:val="24"/>
                <w:szCs w:val="24"/>
                <w:lang w:val="en-US" w:eastAsia="zh-CN"/>
              </w:rPr>
              <w:t xml:space="preserve">间，发酵罐，发酵废弃物，均等可能导致活菌泄漏。如不慎泄漏进入外环境，如 </w:t>
            </w:r>
          </w:p>
          <w:p w14:paraId="21B5CDE0">
            <w:pPr>
              <w:keepNext w:val="0"/>
              <w:keepLines w:val="0"/>
              <w:pageBreakBefore w:val="0"/>
              <w:kinsoku/>
              <w:wordWrap/>
              <w:overflowPunct/>
              <w:topLinePunct w:val="0"/>
              <w:autoSpaceDE/>
              <w:autoSpaceDN/>
              <w:bidi w:val="0"/>
              <w:adjustRightInd w:val="0"/>
              <w:snapToGrid w:val="0"/>
              <w:spacing w:line="480" w:lineRule="exact"/>
              <w:textAlignment w:val="auto"/>
              <w:rPr>
                <w:rFonts w:hint="eastAsia"/>
                <w:color w:val="auto"/>
                <w:sz w:val="24"/>
                <w:szCs w:val="24"/>
                <w:lang w:val="en-US" w:eastAsia="zh-CN"/>
              </w:rPr>
            </w:pPr>
            <w:r>
              <w:rPr>
                <w:rFonts w:hint="eastAsia"/>
                <w:color w:val="auto"/>
                <w:sz w:val="24"/>
                <w:szCs w:val="24"/>
                <w:lang w:val="en-US" w:eastAsia="zh-CN"/>
              </w:rPr>
              <w:t xml:space="preserve">不慎泄漏进入外环境，将对扩散区域的生物甚至人群引起不同程度的生物危害。 </w:t>
            </w:r>
          </w:p>
          <w:p w14:paraId="604C4D89">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（2）染菌倒罐 </w:t>
            </w:r>
          </w:p>
          <w:p w14:paraId="77BA8B3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过程中如有杂菌混入，杂菌大量消耗营养，干扰菌种的正常代谢，改变产品 </w:t>
            </w:r>
          </w:p>
          <w:p w14:paraId="71B9D704">
            <w:pPr>
              <w:keepNext w:val="0"/>
              <w:keepLines w:val="0"/>
              <w:pageBreakBefore w:val="0"/>
              <w:kinsoku/>
              <w:wordWrap/>
              <w:overflowPunct/>
              <w:topLinePunct w:val="0"/>
              <w:autoSpaceDE/>
              <w:autoSpaceDN/>
              <w:bidi w:val="0"/>
              <w:adjustRightInd w:val="0"/>
              <w:snapToGrid w:val="0"/>
              <w:spacing w:line="480" w:lineRule="exact"/>
              <w:textAlignment w:val="auto"/>
              <w:rPr>
                <w:rFonts w:hint="eastAsia"/>
                <w:color w:val="auto"/>
                <w:sz w:val="24"/>
                <w:szCs w:val="24"/>
                <w:lang w:val="en-US" w:eastAsia="zh-CN"/>
              </w:rPr>
            </w:pPr>
            <w:r>
              <w:rPr>
                <w:rFonts w:hint="eastAsia"/>
                <w:color w:val="auto"/>
                <w:sz w:val="24"/>
                <w:szCs w:val="24"/>
                <w:lang w:val="en-US" w:eastAsia="zh-CN"/>
              </w:rPr>
              <w:t xml:space="preserve">品质引起倒罐。有些杂菌会使菌种自溶，产生大量泡沫，即使添加消泡剂也无法 </w:t>
            </w:r>
          </w:p>
          <w:p w14:paraId="16CC254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控制逃液，影响培养过程的通气搅拌。有的杂菌会使培养液发臭、发酸，致使pH 下降，使不耐酸的产品破坏。特别是染芽孢杆菌，由于芽孢耐热，不易杀死，往往一次染菌后会反复染菌。一旦污染杂菌，无论死菌、活菌，都应全部灭活处理后废弃，在灭活不彻底的情况下，可能导致人类、动物的直接或间接感染，造成生物安全影响。 </w:t>
            </w:r>
          </w:p>
          <w:p w14:paraId="72FDF64C">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lang w:val="en-US" w:eastAsia="zh-CN"/>
              </w:rPr>
            </w:pPr>
            <w:r>
              <w:rPr>
                <w:rFonts w:hint="eastAsia"/>
                <w:color w:val="auto"/>
                <w:sz w:val="24"/>
                <w:szCs w:val="24"/>
                <w:lang w:val="en-US" w:eastAsia="zh-CN"/>
              </w:rPr>
              <w:t>因此，必须采取有效的隔离、防护、灭活措施及实施全过程安全监管，将生物安全影响降至可控范围内。</w:t>
            </w:r>
          </w:p>
          <w:p w14:paraId="53202CCE">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本项目在对设施设备进行清洁、维护或者关停时采取一下防范措施：</w:t>
            </w:r>
          </w:p>
          <w:p w14:paraId="12EE1B51">
            <w:pPr>
              <w:keepNext w:val="0"/>
              <w:keepLines w:val="0"/>
              <w:pageBreakBefore w:val="0"/>
              <w:numPr>
                <w:ilvl w:val="0"/>
                <w:numId w:val="22"/>
              </w:numPr>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szCs w:val="24"/>
                <w:lang w:val="en-US" w:eastAsia="zh-CN"/>
              </w:rPr>
            </w:pPr>
            <w:r>
              <w:rPr>
                <w:rFonts w:hint="default"/>
                <w:color w:val="auto"/>
                <w:sz w:val="24"/>
                <w:szCs w:val="24"/>
                <w:lang w:val="en-US" w:eastAsia="zh-CN"/>
              </w:rPr>
              <w:t>清洁时穿防护服、手套、口罩和护目镜，使用对人和环境无害的消毒剂确保杀灭潜在试验微生物，先清洁后消毒；废弃物按规定管理、收集、储存、运输和处置。</w:t>
            </w:r>
          </w:p>
          <w:p w14:paraId="7EF96032">
            <w:pPr>
              <w:keepNext w:val="0"/>
              <w:keepLines w:val="0"/>
              <w:pageBreakBefore w:val="0"/>
              <w:numPr>
                <w:ilvl w:val="0"/>
                <w:numId w:val="22"/>
              </w:numPr>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szCs w:val="24"/>
                <w:lang w:val="en-US" w:eastAsia="zh-CN"/>
              </w:rPr>
            </w:pPr>
            <w:r>
              <w:rPr>
                <w:rFonts w:hint="default"/>
                <w:color w:val="auto"/>
                <w:sz w:val="24"/>
                <w:szCs w:val="24"/>
                <w:lang w:val="en-US" w:eastAsia="zh-CN"/>
              </w:rPr>
              <w:t>设施设备应由专业人员进行维护和保养，暂停实验活动，详细维护记录。</w:t>
            </w:r>
          </w:p>
          <w:p w14:paraId="476DE838">
            <w:pPr>
              <w:keepNext w:val="0"/>
              <w:keepLines w:val="0"/>
              <w:pageBreakBefore w:val="0"/>
              <w:numPr>
                <w:ilvl w:val="0"/>
                <w:numId w:val="22"/>
              </w:numPr>
              <w:kinsoku/>
              <w:wordWrap/>
              <w:overflowPunct/>
              <w:topLinePunct w:val="0"/>
              <w:autoSpaceDE/>
              <w:autoSpaceDN/>
              <w:bidi w:val="0"/>
              <w:adjustRightInd w:val="0"/>
              <w:snapToGrid w:val="0"/>
              <w:spacing w:line="480" w:lineRule="exact"/>
              <w:ind w:firstLine="480" w:firstLineChars="200"/>
              <w:textAlignment w:val="auto"/>
              <w:rPr>
                <w:rFonts w:hint="default"/>
                <w:color w:val="auto"/>
                <w:sz w:val="24"/>
                <w:szCs w:val="24"/>
                <w:lang w:val="en-US" w:eastAsia="zh-CN"/>
              </w:rPr>
            </w:pPr>
            <w:r>
              <w:rPr>
                <w:rFonts w:hint="default"/>
                <w:color w:val="auto"/>
                <w:sz w:val="24"/>
                <w:szCs w:val="24"/>
                <w:lang w:val="en-US" w:eastAsia="zh-CN"/>
              </w:rPr>
              <w:t>关停期间：设备与实验室的其他区域进行安全隔离，防止生物因子的扩散，包括关闭设备的进出口、使用生物安全锁等措施；监测与记录确保其处于安全状态，及时发现和处理潜在的安全隐患；设施设备重新启用前，进行风险评估，确保设备符合生物安全要求，遵循启动程序和生物安全控制措施。</w:t>
            </w:r>
          </w:p>
          <w:p w14:paraId="33829962">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vertAlign w:val="baseline"/>
                <w:lang w:val="en-US" w:eastAsia="zh-CN"/>
              </w:rPr>
            </w:pPr>
            <w:r>
              <w:rPr>
                <w:rFonts w:hint="eastAsia"/>
                <w:color w:val="auto"/>
                <w:sz w:val="24"/>
                <w:szCs w:val="24"/>
                <w:lang w:val="en-US" w:eastAsia="zh-CN"/>
              </w:rPr>
              <w:t>本项目使用菌种为大肠杆菌，为</w:t>
            </w:r>
            <w:r>
              <w:rPr>
                <w:rFonts w:hint="eastAsia"/>
                <w:color w:val="auto"/>
                <w:sz w:val="24"/>
                <w:szCs w:val="24"/>
                <w:vertAlign w:val="baseline"/>
                <w:lang w:val="en-US" w:eastAsia="zh-CN"/>
              </w:rPr>
              <w:t>对健康成人已知无致病作用的微生物，在运输和保存过程中采取以下措施：</w:t>
            </w:r>
          </w:p>
          <w:p w14:paraId="4559E76A">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2人专业人员专门运输；容器3层包装密封，内密封袋外泡沫箱和塑料箱，密封防水。 贮存在实验室专用冰箱，2人双锁保管，定期检查。</w:t>
            </w:r>
          </w:p>
          <w:p w14:paraId="1AEB9379">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通过落实以上一级生物安全防护实验室的基本条件要求和防范措施，并在制定完善的生物安全管理和应急预案的基础上，项目的生物安全性是可控的，不会对周围环境的生物安全产生影响。</w:t>
            </w:r>
          </w:p>
          <w:p w14:paraId="65B094F8">
            <w:pPr>
              <w:keepNext w:val="0"/>
              <w:keepLines w:val="0"/>
              <w:pageBreakBefore w:val="0"/>
              <w:kinsoku/>
              <w:wordWrap/>
              <w:overflowPunct/>
              <w:topLinePunct w:val="0"/>
              <w:autoSpaceDE/>
              <w:autoSpaceDN/>
              <w:bidi w:val="0"/>
              <w:spacing w:line="480" w:lineRule="exact"/>
              <w:textAlignment w:val="auto"/>
              <w:rPr>
                <w:b/>
                <w:bCs/>
                <w:color w:val="auto"/>
                <w:spacing w:val="-4"/>
                <w:sz w:val="24"/>
                <w:szCs w:val="24"/>
              </w:rPr>
            </w:pPr>
            <w:r>
              <w:rPr>
                <w:rFonts w:hint="eastAsia"/>
                <w:b/>
                <w:bCs/>
                <w:color w:val="auto"/>
                <w:spacing w:val="-4"/>
                <w:sz w:val="24"/>
                <w:szCs w:val="24"/>
                <w:lang w:val="en-US" w:eastAsia="zh-CN"/>
              </w:rPr>
              <w:t>10</w:t>
            </w:r>
            <w:r>
              <w:rPr>
                <w:b/>
                <w:bCs/>
                <w:color w:val="auto"/>
                <w:spacing w:val="-4"/>
                <w:sz w:val="24"/>
                <w:szCs w:val="24"/>
              </w:rPr>
              <w:t>、电磁辐射</w:t>
            </w:r>
          </w:p>
          <w:p w14:paraId="6D49617A">
            <w:pPr>
              <w:pStyle w:val="7"/>
              <w:keepNext w:val="0"/>
              <w:keepLines w:val="0"/>
              <w:pageBreakBefore w:val="0"/>
              <w:kinsoku/>
              <w:wordWrap/>
              <w:overflowPunct/>
              <w:topLinePunct w:val="0"/>
              <w:autoSpaceDE/>
              <w:autoSpaceDN/>
              <w:bidi w:val="0"/>
              <w:spacing w:before="0" w:after="0" w:line="480" w:lineRule="exact"/>
              <w:ind w:right="0" w:firstLine="480" w:firstLineChars="200"/>
              <w:textAlignment w:val="auto"/>
              <w:rPr>
                <w:color w:val="auto"/>
                <w:sz w:val="24"/>
                <w:szCs w:val="24"/>
                <w:lang w:val="en-US" w:eastAsia="zh-CN"/>
              </w:rPr>
            </w:pPr>
            <w:r>
              <w:rPr>
                <w:color w:val="auto"/>
                <w:sz w:val="24"/>
                <w:szCs w:val="24"/>
                <w:lang w:val="en-US" w:eastAsia="zh-CN"/>
              </w:rPr>
              <w:t>本项目</w:t>
            </w:r>
            <w:r>
              <w:rPr>
                <w:rFonts w:hint="eastAsia"/>
                <w:color w:val="auto"/>
                <w:sz w:val="24"/>
                <w:szCs w:val="24"/>
                <w:lang w:val="en-US" w:eastAsia="zh-CN"/>
              </w:rPr>
              <w:t>生产</w:t>
            </w:r>
            <w:r>
              <w:rPr>
                <w:color w:val="auto"/>
                <w:sz w:val="24"/>
                <w:szCs w:val="24"/>
                <w:lang w:val="en-US" w:eastAsia="zh-CN"/>
              </w:rPr>
              <w:t>过程中不使用含放射性同位素和伴有电磁辐射的设施，无放射性同位素及电磁辐射产生。</w:t>
            </w:r>
          </w:p>
          <w:p w14:paraId="4E2CAB12">
            <w:pPr>
              <w:keepNext w:val="0"/>
              <w:keepLines w:val="0"/>
              <w:pageBreakBefore w:val="0"/>
              <w:kinsoku/>
              <w:wordWrap/>
              <w:overflowPunct/>
              <w:topLinePunct w:val="0"/>
              <w:autoSpaceDE/>
              <w:autoSpaceDN/>
              <w:bidi w:val="0"/>
              <w:spacing w:line="480" w:lineRule="exact"/>
              <w:textAlignment w:val="auto"/>
              <w:rPr>
                <w:b/>
                <w:bCs/>
                <w:color w:val="auto"/>
                <w:spacing w:val="-4"/>
                <w:sz w:val="24"/>
                <w:szCs w:val="24"/>
              </w:rPr>
            </w:pPr>
            <w:r>
              <w:rPr>
                <w:rFonts w:hint="eastAsia"/>
                <w:b/>
                <w:bCs/>
                <w:color w:val="auto"/>
                <w:spacing w:val="-4"/>
                <w:sz w:val="24"/>
                <w:szCs w:val="24"/>
                <w:lang w:val="en-US" w:eastAsia="zh-CN"/>
              </w:rPr>
              <w:t>11</w:t>
            </w:r>
            <w:r>
              <w:rPr>
                <w:b/>
                <w:bCs/>
                <w:color w:val="auto"/>
                <w:spacing w:val="-4"/>
                <w:sz w:val="24"/>
                <w:szCs w:val="24"/>
              </w:rPr>
              <w:t>、“三同时”验收</w:t>
            </w:r>
          </w:p>
          <w:p w14:paraId="0A749E86">
            <w:pPr>
              <w:spacing w:line="360" w:lineRule="exact"/>
              <w:jc w:val="both"/>
              <w:rPr>
                <w:rFonts w:hint="eastAsia"/>
                <w:b/>
                <w:color w:val="auto"/>
                <w:sz w:val="24"/>
                <w:szCs w:val="24"/>
              </w:rPr>
            </w:pPr>
          </w:p>
          <w:p w14:paraId="0F71EC83">
            <w:pPr>
              <w:pStyle w:val="44"/>
              <w:rPr>
                <w:color w:val="auto"/>
                <w:sz w:val="24"/>
                <w:szCs w:val="24"/>
              </w:rPr>
            </w:pPr>
          </w:p>
        </w:tc>
      </w:tr>
    </w:tbl>
    <w:p w14:paraId="05615C1F">
      <w:pPr>
        <w:pStyle w:val="44"/>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2371"/>
      </w:tblGrid>
      <w:tr w14:paraId="0122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top"/>
          </w:tcPr>
          <w:p w14:paraId="3B9759D4">
            <w:pPr>
              <w:pStyle w:val="44"/>
              <w:rPr>
                <w:color w:val="auto"/>
              </w:rPr>
            </w:pPr>
          </w:p>
        </w:tc>
        <w:tc>
          <w:tcPr>
            <w:tcW w:w="12371" w:type="dxa"/>
            <w:noWrap w:val="0"/>
            <w:vAlign w:val="top"/>
          </w:tcPr>
          <w:p w14:paraId="4F2D5D87">
            <w:pPr>
              <w:adjustRightInd w:val="0"/>
              <w:snapToGrid w:val="0"/>
              <w:spacing w:line="360" w:lineRule="exact"/>
              <w:jc w:val="center"/>
              <w:rPr>
                <w:b/>
                <w:bCs/>
                <w:color w:val="auto"/>
                <w:sz w:val="21"/>
                <w:szCs w:val="21"/>
              </w:rPr>
            </w:pPr>
            <w:r>
              <w:rPr>
                <w:b/>
                <w:bCs/>
                <w:color w:val="auto"/>
                <w:sz w:val="21"/>
                <w:szCs w:val="21"/>
              </w:rPr>
              <w:t>表4-</w:t>
            </w:r>
            <w:r>
              <w:rPr>
                <w:rFonts w:hint="eastAsia"/>
                <w:b/>
                <w:bCs/>
                <w:color w:val="auto"/>
                <w:sz w:val="21"/>
                <w:szCs w:val="21"/>
                <w:lang w:val="en-US" w:eastAsia="zh-CN"/>
              </w:rPr>
              <w:t>32</w:t>
            </w:r>
            <w:r>
              <w:rPr>
                <w:b/>
                <w:bCs/>
                <w:color w:val="auto"/>
                <w:sz w:val="21"/>
                <w:szCs w:val="21"/>
              </w:rPr>
              <w:t xml:space="preserve"> 本项目“三同时”验收一览表</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02"/>
              <w:gridCol w:w="649"/>
              <w:gridCol w:w="996"/>
              <w:gridCol w:w="1761"/>
              <w:gridCol w:w="4155"/>
              <w:gridCol w:w="1365"/>
              <w:gridCol w:w="1577"/>
              <w:gridCol w:w="943"/>
            </w:tblGrid>
            <w:tr w14:paraId="53E219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6" w:hRule="atLeast"/>
              </w:trPr>
              <w:tc>
                <w:tcPr>
                  <w:tcW w:w="289" w:type="pct"/>
                  <w:noWrap w:val="0"/>
                  <w:tcMar>
                    <w:left w:w="28" w:type="dxa"/>
                    <w:right w:w="28" w:type="dxa"/>
                  </w:tcMar>
                  <w:vAlign w:val="center"/>
                </w:tcPr>
                <w:p w14:paraId="4F858C3D">
                  <w:pPr>
                    <w:spacing w:line="300" w:lineRule="exact"/>
                    <w:jc w:val="center"/>
                    <w:rPr>
                      <w:b/>
                      <w:color w:val="auto"/>
                      <w:sz w:val="21"/>
                      <w:szCs w:val="21"/>
                    </w:rPr>
                  </w:pPr>
                  <w:r>
                    <w:rPr>
                      <w:b/>
                      <w:color w:val="auto"/>
                      <w:sz w:val="21"/>
                      <w:szCs w:val="21"/>
                    </w:rPr>
                    <w:t>类别</w:t>
                  </w:r>
                </w:p>
              </w:tc>
              <w:tc>
                <w:tcPr>
                  <w:tcW w:w="677" w:type="pct"/>
                  <w:gridSpan w:val="2"/>
                  <w:noWrap w:val="0"/>
                  <w:tcMar>
                    <w:left w:w="28" w:type="dxa"/>
                    <w:right w:w="28" w:type="dxa"/>
                  </w:tcMar>
                  <w:vAlign w:val="center"/>
                </w:tcPr>
                <w:p w14:paraId="22EB5176">
                  <w:pPr>
                    <w:spacing w:line="300" w:lineRule="exact"/>
                    <w:jc w:val="center"/>
                    <w:rPr>
                      <w:b/>
                      <w:color w:val="auto"/>
                      <w:sz w:val="21"/>
                      <w:szCs w:val="21"/>
                    </w:rPr>
                  </w:pPr>
                  <w:r>
                    <w:rPr>
                      <w:b/>
                      <w:color w:val="auto"/>
                      <w:sz w:val="21"/>
                      <w:szCs w:val="21"/>
                    </w:rPr>
                    <w:t>污染源</w:t>
                  </w:r>
                </w:p>
              </w:tc>
              <w:tc>
                <w:tcPr>
                  <w:tcW w:w="723" w:type="pct"/>
                  <w:noWrap w:val="0"/>
                  <w:tcMar>
                    <w:left w:w="28" w:type="dxa"/>
                    <w:right w:w="28" w:type="dxa"/>
                  </w:tcMar>
                  <w:vAlign w:val="center"/>
                </w:tcPr>
                <w:p w14:paraId="2F31201C">
                  <w:pPr>
                    <w:spacing w:line="300" w:lineRule="exact"/>
                    <w:jc w:val="center"/>
                    <w:rPr>
                      <w:b/>
                      <w:color w:val="auto"/>
                      <w:sz w:val="21"/>
                      <w:szCs w:val="21"/>
                    </w:rPr>
                  </w:pPr>
                  <w:r>
                    <w:rPr>
                      <w:b/>
                      <w:color w:val="auto"/>
                      <w:sz w:val="21"/>
                      <w:szCs w:val="21"/>
                    </w:rPr>
                    <w:t>污染物</w:t>
                  </w:r>
                </w:p>
              </w:tc>
              <w:tc>
                <w:tcPr>
                  <w:tcW w:w="1710" w:type="pct"/>
                  <w:noWrap w:val="0"/>
                  <w:tcMar>
                    <w:left w:w="28" w:type="dxa"/>
                    <w:right w:w="28" w:type="dxa"/>
                  </w:tcMar>
                  <w:vAlign w:val="center"/>
                </w:tcPr>
                <w:p w14:paraId="6DC4FDAA">
                  <w:pPr>
                    <w:spacing w:line="300" w:lineRule="exact"/>
                    <w:jc w:val="center"/>
                    <w:rPr>
                      <w:b/>
                      <w:color w:val="auto"/>
                      <w:sz w:val="21"/>
                      <w:szCs w:val="21"/>
                    </w:rPr>
                  </w:pPr>
                  <w:r>
                    <w:rPr>
                      <w:b/>
                      <w:color w:val="auto"/>
                      <w:sz w:val="21"/>
                      <w:szCs w:val="21"/>
                    </w:rPr>
                    <w:t>治理措施（设施数量、规模、处理能力等）</w:t>
                  </w:r>
                </w:p>
              </w:tc>
              <w:tc>
                <w:tcPr>
                  <w:tcW w:w="561" w:type="pct"/>
                  <w:noWrap w:val="0"/>
                  <w:tcMar>
                    <w:left w:w="28" w:type="dxa"/>
                    <w:right w:w="28" w:type="dxa"/>
                  </w:tcMar>
                  <w:vAlign w:val="center"/>
                </w:tcPr>
                <w:p w14:paraId="6F8F043E">
                  <w:pPr>
                    <w:spacing w:line="300" w:lineRule="exact"/>
                    <w:jc w:val="center"/>
                    <w:rPr>
                      <w:b/>
                      <w:color w:val="auto"/>
                      <w:sz w:val="21"/>
                      <w:szCs w:val="21"/>
                    </w:rPr>
                  </w:pPr>
                  <w:r>
                    <w:rPr>
                      <w:b/>
                      <w:color w:val="auto"/>
                      <w:sz w:val="21"/>
                      <w:szCs w:val="21"/>
                    </w:rPr>
                    <w:t>处理效果</w:t>
                  </w:r>
                </w:p>
              </w:tc>
              <w:tc>
                <w:tcPr>
                  <w:tcW w:w="649" w:type="pct"/>
                  <w:noWrap w:val="0"/>
                  <w:tcMar>
                    <w:left w:w="28" w:type="dxa"/>
                    <w:right w:w="28" w:type="dxa"/>
                  </w:tcMar>
                  <w:vAlign w:val="center"/>
                </w:tcPr>
                <w:p w14:paraId="1957F5DD">
                  <w:pPr>
                    <w:spacing w:line="300" w:lineRule="exact"/>
                    <w:jc w:val="center"/>
                    <w:rPr>
                      <w:b/>
                      <w:color w:val="auto"/>
                      <w:sz w:val="21"/>
                      <w:szCs w:val="21"/>
                    </w:rPr>
                  </w:pPr>
                  <w:r>
                    <w:rPr>
                      <w:b/>
                      <w:color w:val="auto"/>
                      <w:sz w:val="21"/>
                      <w:szCs w:val="21"/>
                    </w:rPr>
                    <w:t>环保投资(万元)</w:t>
                  </w:r>
                </w:p>
              </w:tc>
              <w:tc>
                <w:tcPr>
                  <w:tcW w:w="388" w:type="pct"/>
                  <w:noWrap w:val="0"/>
                  <w:tcMar>
                    <w:left w:w="28" w:type="dxa"/>
                    <w:right w:w="28" w:type="dxa"/>
                  </w:tcMar>
                  <w:vAlign w:val="center"/>
                </w:tcPr>
                <w:p w14:paraId="3C44FCBA">
                  <w:pPr>
                    <w:spacing w:line="300" w:lineRule="exact"/>
                    <w:jc w:val="center"/>
                    <w:rPr>
                      <w:b/>
                      <w:color w:val="auto"/>
                      <w:sz w:val="21"/>
                      <w:szCs w:val="21"/>
                    </w:rPr>
                  </w:pPr>
                  <w:r>
                    <w:rPr>
                      <w:b/>
                      <w:color w:val="auto"/>
                      <w:sz w:val="21"/>
                      <w:szCs w:val="21"/>
                    </w:rPr>
                    <w:t>完成</w:t>
                  </w:r>
                </w:p>
                <w:p w14:paraId="76628923">
                  <w:pPr>
                    <w:spacing w:line="300" w:lineRule="exact"/>
                    <w:jc w:val="center"/>
                    <w:rPr>
                      <w:b/>
                      <w:color w:val="auto"/>
                      <w:sz w:val="21"/>
                      <w:szCs w:val="21"/>
                    </w:rPr>
                  </w:pPr>
                  <w:r>
                    <w:rPr>
                      <w:b/>
                      <w:color w:val="auto"/>
                      <w:sz w:val="21"/>
                      <w:szCs w:val="21"/>
                    </w:rPr>
                    <w:t>时间</w:t>
                  </w:r>
                </w:p>
              </w:tc>
            </w:tr>
            <w:tr w14:paraId="15D534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0" w:hRule="atLeast"/>
              </w:trPr>
              <w:tc>
                <w:tcPr>
                  <w:tcW w:w="289" w:type="pct"/>
                  <w:vMerge w:val="restart"/>
                  <w:noWrap w:val="0"/>
                  <w:tcMar>
                    <w:left w:w="28" w:type="dxa"/>
                    <w:right w:w="28" w:type="dxa"/>
                  </w:tcMar>
                  <w:vAlign w:val="center"/>
                </w:tcPr>
                <w:p w14:paraId="41F744C7">
                  <w:pPr>
                    <w:spacing w:line="300" w:lineRule="exact"/>
                    <w:jc w:val="center"/>
                    <w:rPr>
                      <w:color w:val="auto"/>
                      <w:sz w:val="21"/>
                      <w:szCs w:val="21"/>
                    </w:rPr>
                  </w:pPr>
                  <w:r>
                    <w:rPr>
                      <w:color w:val="auto"/>
                      <w:sz w:val="21"/>
                      <w:szCs w:val="21"/>
                    </w:rPr>
                    <w:t>废气</w:t>
                  </w:r>
                </w:p>
              </w:tc>
              <w:tc>
                <w:tcPr>
                  <w:tcW w:w="677" w:type="pct"/>
                  <w:gridSpan w:val="2"/>
                  <w:vMerge w:val="restart"/>
                  <w:noWrap w:val="0"/>
                  <w:tcMar>
                    <w:left w:w="28" w:type="dxa"/>
                    <w:right w:w="28" w:type="dxa"/>
                  </w:tcMar>
                  <w:vAlign w:val="center"/>
                </w:tcPr>
                <w:p w14:paraId="4D6CB2B1">
                  <w:pPr>
                    <w:spacing w:line="300" w:lineRule="exact"/>
                    <w:jc w:val="center"/>
                    <w:rPr>
                      <w:rFonts w:hint="eastAsia"/>
                      <w:color w:val="auto"/>
                      <w:sz w:val="21"/>
                      <w:szCs w:val="21"/>
                    </w:rPr>
                  </w:pPr>
                  <w:r>
                    <w:rPr>
                      <w:color w:val="auto"/>
                      <w:sz w:val="21"/>
                      <w:szCs w:val="21"/>
                    </w:rPr>
                    <w:t>无组织</w:t>
                  </w:r>
                </w:p>
              </w:tc>
              <w:tc>
                <w:tcPr>
                  <w:tcW w:w="723" w:type="pct"/>
                  <w:noWrap w:val="0"/>
                  <w:tcMar>
                    <w:left w:w="28" w:type="dxa"/>
                    <w:right w:w="28" w:type="dxa"/>
                  </w:tcMar>
                  <w:vAlign w:val="center"/>
                </w:tcPr>
                <w:p w14:paraId="62D8F20C">
                  <w:pPr>
                    <w:spacing w:line="300" w:lineRule="exact"/>
                    <w:jc w:val="center"/>
                    <w:rPr>
                      <w:rFonts w:hint="default"/>
                      <w:color w:val="auto"/>
                      <w:sz w:val="21"/>
                      <w:szCs w:val="21"/>
                      <w:lang w:val="en-US" w:eastAsia="zh-CN"/>
                    </w:rPr>
                  </w:pPr>
                  <w:r>
                    <w:rPr>
                      <w:rFonts w:hint="eastAsia"/>
                      <w:color w:val="auto"/>
                      <w:sz w:val="21"/>
                      <w:szCs w:val="21"/>
                      <w:lang w:val="en-US" w:eastAsia="zh-CN"/>
                    </w:rPr>
                    <w:t>非甲烷总烃</w:t>
                  </w:r>
                </w:p>
              </w:tc>
              <w:tc>
                <w:tcPr>
                  <w:tcW w:w="1710" w:type="pct"/>
                  <w:vMerge w:val="restart"/>
                  <w:noWrap w:val="0"/>
                  <w:tcMar>
                    <w:left w:w="28" w:type="dxa"/>
                    <w:right w:w="28" w:type="dxa"/>
                  </w:tcMar>
                  <w:vAlign w:val="center"/>
                </w:tcPr>
                <w:p w14:paraId="6F8C9E43">
                  <w:pPr>
                    <w:spacing w:line="300" w:lineRule="exact"/>
                    <w:jc w:val="center"/>
                    <w:rPr>
                      <w:rFonts w:hint="default"/>
                      <w:color w:val="auto"/>
                      <w:sz w:val="21"/>
                      <w:szCs w:val="21"/>
                      <w:lang w:val="en-US" w:eastAsia="zh-CN"/>
                    </w:rPr>
                  </w:pPr>
                  <w:r>
                    <w:rPr>
                      <w:rFonts w:hint="eastAsia"/>
                      <w:color w:val="auto"/>
                      <w:sz w:val="21"/>
                      <w:szCs w:val="21"/>
                      <w:lang w:val="en-US" w:eastAsia="zh-CN"/>
                    </w:rPr>
                    <w:t>经内置活性炭吸附装置无管道通风橱收集处理后，车间无组织排放</w:t>
                  </w:r>
                </w:p>
              </w:tc>
              <w:tc>
                <w:tcPr>
                  <w:tcW w:w="561" w:type="pct"/>
                  <w:vMerge w:val="restart"/>
                  <w:noWrap w:val="0"/>
                  <w:tcMar>
                    <w:left w:w="28" w:type="dxa"/>
                    <w:right w:w="28" w:type="dxa"/>
                  </w:tcMar>
                  <w:vAlign w:val="center"/>
                </w:tcPr>
                <w:p w14:paraId="63F7D20D">
                  <w:pPr>
                    <w:spacing w:line="300" w:lineRule="exact"/>
                    <w:jc w:val="center"/>
                    <w:rPr>
                      <w:color w:val="auto"/>
                      <w:sz w:val="21"/>
                      <w:szCs w:val="21"/>
                    </w:rPr>
                  </w:pPr>
                  <w:r>
                    <w:rPr>
                      <w:color w:val="auto"/>
                      <w:sz w:val="21"/>
                      <w:szCs w:val="21"/>
                    </w:rPr>
                    <w:t>达标排放</w:t>
                  </w:r>
                </w:p>
              </w:tc>
              <w:tc>
                <w:tcPr>
                  <w:tcW w:w="649" w:type="pct"/>
                  <w:vMerge w:val="restart"/>
                  <w:noWrap w:val="0"/>
                  <w:tcMar>
                    <w:left w:w="28" w:type="dxa"/>
                    <w:right w:w="28" w:type="dxa"/>
                  </w:tcMar>
                  <w:vAlign w:val="center"/>
                </w:tcPr>
                <w:p w14:paraId="286364C2">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10</w:t>
                  </w:r>
                </w:p>
              </w:tc>
              <w:tc>
                <w:tcPr>
                  <w:tcW w:w="388" w:type="pct"/>
                  <w:vMerge w:val="restart"/>
                  <w:noWrap w:val="0"/>
                  <w:tcMar>
                    <w:left w:w="28" w:type="dxa"/>
                    <w:right w:w="28" w:type="dxa"/>
                  </w:tcMar>
                  <w:vAlign w:val="center"/>
                </w:tcPr>
                <w:p w14:paraId="796FDA19">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3个月</w:t>
                  </w:r>
                </w:p>
              </w:tc>
            </w:tr>
            <w:tr w14:paraId="519252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7" w:hRule="atLeast"/>
              </w:trPr>
              <w:tc>
                <w:tcPr>
                  <w:tcW w:w="289" w:type="pct"/>
                  <w:vMerge w:val="continue"/>
                  <w:noWrap w:val="0"/>
                  <w:tcMar>
                    <w:left w:w="28" w:type="dxa"/>
                    <w:right w:w="28" w:type="dxa"/>
                  </w:tcMar>
                  <w:vAlign w:val="center"/>
                </w:tcPr>
                <w:p w14:paraId="1318BBC1">
                  <w:pPr>
                    <w:spacing w:line="300" w:lineRule="exact"/>
                    <w:jc w:val="center"/>
                    <w:rPr>
                      <w:color w:val="auto"/>
                      <w:sz w:val="21"/>
                      <w:szCs w:val="21"/>
                    </w:rPr>
                  </w:pPr>
                </w:p>
              </w:tc>
              <w:tc>
                <w:tcPr>
                  <w:tcW w:w="677" w:type="pct"/>
                  <w:gridSpan w:val="2"/>
                  <w:vMerge w:val="continue"/>
                  <w:noWrap w:val="0"/>
                  <w:tcMar>
                    <w:left w:w="28" w:type="dxa"/>
                    <w:right w:w="28" w:type="dxa"/>
                  </w:tcMar>
                  <w:vAlign w:val="center"/>
                </w:tcPr>
                <w:p w14:paraId="5AF70784">
                  <w:pPr>
                    <w:spacing w:line="300" w:lineRule="exact"/>
                    <w:jc w:val="center"/>
                    <w:rPr>
                      <w:rFonts w:hint="eastAsia"/>
                      <w:color w:val="auto"/>
                      <w:sz w:val="21"/>
                      <w:szCs w:val="21"/>
                    </w:rPr>
                  </w:pPr>
                </w:p>
              </w:tc>
              <w:tc>
                <w:tcPr>
                  <w:tcW w:w="723" w:type="pct"/>
                  <w:noWrap w:val="0"/>
                  <w:tcMar>
                    <w:left w:w="28" w:type="dxa"/>
                    <w:right w:w="28" w:type="dxa"/>
                  </w:tcMar>
                  <w:vAlign w:val="center"/>
                </w:tcPr>
                <w:p w14:paraId="658E9199">
                  <w:pPr>
                    <w:spacing w:line="300" w:lineRule="exact"/>
                    <w:jc w:val="center"/>
                    <w:rPr>
                      <w:rFonts w:hint="eastAsia" w:eastAsia="宋体"/>
                      <w:color w:val="auto"/>
                      <w:sz w:val="21"/>
                      <w:szCs w:val="21"/>
                      <w:lang w:val="en-US" w:eastAsia="zh-CN"/>
                    </w:rPr>
                  </w:pPr>
                  <w:r>
                    <w:rPr>
                      <w:rFonts w:hint="eastAsia"/>
                      <w:color w:val="auto"/>
                      <w:sz w:val="21"/>
                      <w:szCs w:val="21"/>
                      <w:lang w:val="en-US" w:eastAsia="zh-CN"/>
                    </w:rPr>
                    <w:t>氨</w:t>
                  </w:r>
                </w:p>
              </w:tc>
              <w:tc>
                <w:tcPr>
                  <w:tcW w:w="1710" w:type="pct"/>
                  <w:vMerge w:val="continue"/>
                  <w:noWrap w:val="0"/>
                  <w:tcMar>
                    <w:left w:w="28" w:type="dxa"/>
                    <w:right w:w="28" w:type="dxa"/>
                  </w:tcMar>
                  <w:vAlign w:val="center"/>
                </w:tcPr>
                <w:p w14:paraId="4619CBAC">
                  <w:pPr>
                    <w:spacing w:line="300" w:lineRule="exact"/>
                    <w:jc w:val="center"/>
                    <w:rPr>
                      <w:rFonts w:hint="default" w:eastAsia="宋体"/>
                      <w:color w:val="auto"/>
                      <w:sz w:val="21"/>
                      <w:szCs w:val="21"/>
                      <w:lang w:val="en-US" w:eastAsia="zh-CN"/>
                    </w:rPr>
                  </w:pPr>
                </w:p>
              </w:tc>
              <w:tc>
                <w:tcPr>
                  <w:tcW w:w="561" w:type="pct"/>
                  <w:vMerge w:val="continue"/>
                  <w:noWrap w:val="0"/>
                  <w:tcMar>
                    <w:left w:w="28" w:type="dxa"/>
                    <w:right w:w="28" w:type="dxa"/>
                  </w:tcMar>
                  <w:vAlign w:val="center"/>
                </w:tcPr>
                <w:p w14:paraId="23B5B64F">
                  <w:pPr>
                    <w:spacing w:line="300" w:lineRule="exact"/>
                    <w:jc w:val="center"/>
                    <w:rPr>
                      <w:color w:val="auto"/>
                      <w:sz w:val="21"/>
                      <w:szCs w:val="21"/>
                    </w:rPr>
                  </w:pPr>
                </w:p>
              </w:tc>
              <w:tc>
                <w:tcPr>
                  <w:tcW w:w="649" w:type="pct"/>
                  <w:vMerge w:val="continue"/>
                  <w:noWrap w:val="0"/>
                  <w:tcMar>
                    <w:left w:w="28" w:type="dxa"/>
                    <w:right w:w="28" w:type="dxa"/>
                  </w:tcMar>
                  <w:vAlign w:val="center"/>
                </w:tcPr>
                <w:p w14:paraId="0DACDA4C">
                  <w:pPr>
                    <w:spacing w:line="300" w:lineRule="exact"/>
                    <w:jc w:val="center"/>
                    <w:rPr>
                      <w:rFonts w:hint="default" w:eastAsia="宋体"/>
                      <w:color w:val="auto"/>
                      <w:sz w:val="21"/>
                      <w:szCs w:val="21"/>
                      <w:lang w:val="en-US" w:eastAsia="zh-CN"/>
                    </w:rPr>
                  </w:pPr>
                </w:p>
              </w:tc>
              <w:tc>
                <w:tcPr>
                  <w:tcW w:w="388" w:type="pct"/>
                  <w:vMerge w:val="continue"/>
                  <w:noWrap w:val="0"/>
                  <w:tcMar>
                    <w:left w:w="28" w:type="dxa"/>
                    <w:right w:w="28" w:type="dxa"/>
                  </w:tcMar>
                  <w:vAlign w:val="center"/>
                </w:tcPr>
                <w:p w14:paraId="44E46A7C">
                  <w:pPr>
                    <w:spacing w:line="300" w:lineRule="exact"/>
                    <w:jc w:val="center"/>
                    <w:rPr>
                      <w:color w:val="auto"/>
                      <w:sz w:val="21"/>
                      <w:szCs w:val="21"/>
                    </w:rPr>
                  </w:pPr>
                </w:p>
              </w:tc>
            </w:tr>
            <w:tr w14:paraId="44BFDA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0" w:hRule="atLeast"/>
              </w:trPr>
              <w:tc>
                <w:tcPr>
                  <w:tcW w:w="289" w:type="pct"/>
                  <w:vMerge w:val="continue"/>
                  <w:noWrap w:val="0"/>
                  <w:tcMar>
                    <w:left w:w="28" w:type="dxa"/>
                    <w:right w:w="28" w:type="dxa"/>
                  </w:tcMar>
                  <w:vAlign w:val="center"/>
                </w:tcPr>
                <w:p w14:paraId="0542FF86">
                  <w:pPr>
                    <w:spacing w:line="300" w:lineRule="exact"/>
                    <w:jc w:val="center"/>
                    <w:rPr>
                      <w:color w:val="auto"/>
                    </w:rPr>
                  </w:pPr>
                </w:p>
              </w:tc>
              <w:tc>
                <w:tcPr>
                  <w:tcW w:w="677" w:type="pct"/>
                  <w:gridSpan w:val="2"/>
                  <w:vMerge w:val="continue"/>
                  <w:noWrap w:val="0"/>
                  <w:tcMar>
                    <w:left w:w="28" w:type="dxa"/>
                    <w:right w:w="28" w:type="dxa"/>
                  </w:tcMar>
                  <w:vAlign w:val="center"/>
                </w:tcPr>
                <w:p w14:paraId="31E03567">
                  <w:pPr>
                    <w:spacing w:line="300" w:lineRule="exact"/>
                    <w:jc w:val="center"/>
                    <w:rPr>
                      <w:color w:val="auto"/>
                    </w:rPr>
                  </w:pPr>
                </w:p>
              </w:tc>
              <w:tc>
                <w:tcPr>
                  <w:tcW w:w="723" w:type="pct"/>
                  <w:noWrap w:val="0"/>
                  <w:tcMar>
                    <w:left w:w="28" w:type="dxa"/>
                    <w:right w:w="28" w:type="dxa"/>
                  </w:tcMar>
                  <w:vAlign w:val="center"/>
                </w:tcPr>
                <w:p w14:paraId="7F930D31">
                  <w:pPr>
                    <w:spacing w:line="300" w:lineRule="exact"/>
                    <w:jc w:val="center"/>
                    <w:rPr>
                      <w:rFonts w:hint="eastAsia"/>
                      <w:color w:val="auto"/>
                      <w:sz w:val="21"/>
                      <w:szCs w:val="21"/>
                    </w:rPr>
                  </w:pPr>
                  <w:r>
                    <w:rPr>
                      <w:rFonts w:hint="eastAsia"/>
                      <w:color w:val="auto"/>
                      <w:lang w:val="en-US" w:eastAsia="zh-CN"/>
                    </w:rPr>
                    <w:t>颗粒物</w:t>
                  </w:r>
                </w:p>
              </w:tc>
              <w:tc>
                <w:tcPr>
                  <w:tcW w:w="1710" w:type="pct"/>
                  <w:vMerge w:val="restart"/>
                  <w:noWrap w:val="0"/>
                  <w:tcMar>
                    <w:left w:w="28" w:type="dxa"/>
                    <w:right w:w="28" w:type="dxa"/>
                  </w:tcMar>
                  <w:vAlign w:val="center"/>
                </w:tcPr>
                <w:p w14:paraId="15E3A292">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无组织排放</w:t>
                  </w:r>
                </w:p>
              </w:tc>
              <w:tc>
                <w:tcPr>
                  <w:tcW w:w="561" w:type="pct"/>
                  <w:vMerge w:val="restart"/>
                  <w:noWrap w:val="0"/>
                  <w:tcMar>
                    <w:left w:w="28" w:type="dxa"/>
                    <w:right w:w="28" w:type="dxa"/>
                  </w:tcMar>
                  <w:vAlign w:val="center"/>
                </w:tcPr>
                <w:p w14:paraId="5CB4AFF5">
                  <w:pPr>
                    <w:spacing w:line="300" w:lineRule="exact"/>
                    <w:jc w:val="center"/>
                    <w:rPr>
                      <w:rFonts w:hint="eastAsia"/>
                      <w:color w:val="auto"/>
                      <w:sz w:val="21"/>
                      <w:szCs w:val="21"/>
                    </w:rPr>
                  </w:pPr>
                  <w:r>
                    <w:rPr>
                      <w:color w:val="auto"/>
                      <w:sz w:val="21"/>
                      <w:szCs w:val="21"/>
                    </w:rPr>
                    <w:t>达标排放</w:t>
                  </w:r>
                </w:p>
              </w:tc>
              <w:tc>
                <w:tcPr>
                  <w:tcW w:w="649" w:type="pct"/>
                  <w:vMerge w:val="restart"/>
                  <w:noWrap w:val="0"/>
                  <w:tcMar>
                    <w:left w:w="28" w:type="dxa"/>
                    <w:right w:w="28" w:type="dxa"/>
                  </w:tcMar>
                  <w:vAlign w:val="center"/>
                </w:tcPr>
                <w:p w14:paraId="1CFD93B8">
                  <w:pPr>
                    <w:spacing w:line="300" w:lineRule="exact"/>
                    <w:jc w:val="center"/>
                    <w:rPr>
                      <w:rFonts w:hint="eastAsia" w:eastAsia="宋体"/>
                      <w:color w:val="auto"/>
                      <w:sz w:val="21"/>
                      <w:szCs w:val="21"/>
                      <w:lang w:val="en-US" w:eastAsia="zh-CN"/>
                    </w:rPr>
                  </w:pPr>
                  <w:r>
                    <w:rPr>
                      <w:rFonts w:hint="eastAsia"/>
                      <w:color w:val="auto"/>
                      <w:sz w:val="21"/>
                      <w:szCs w:val="21"/>
                      <w:lang w:val="en-US" w:eastAsia="zh-CN"/>
                    </w:rPr>
                    <w:t>1</w:t>
                  </w:r>
                </w:p>
              </w:tc>
              <w:tc>
                <w:tcPr>
                  <w:tcW w:w="388" w:type="pct"/>
                  <w:vMerge w:val="continue"/>
                  <w:noWrap w:val="0"/>
                  <w:tcMar>
                    <w:left w:w="28" w:type="dxa"/>
                    <w:right w:w="28" w:type="dxa"/>
                  </w:tcMar>
                  <w:vAlign w:val="center"/>
                </w:tcPr>
                <w:p w14:paraId="4E6C813A">
                  <w:pPr>
                    <w:spacing w:line="300" w:lineRule="exact"/>
                    <w:jc w:val="center"/>
                    <w:rPr>
                      <w:rFonts w:hint="eastAsia"/>
                      <w:color w:val="auto"/>
                      <w:sz w:val="21"/>
                      <w:szCs w:val="21"/>
                    </w:rPr>
                  </w:pPr>
                </w:p>
              </w:tc>
            </w:tr>
            <w:tr w14:paraId="0F3B37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289" w:type="pct"/>
                  <w:vMerge w:val="continue"/>
                  <w:noWrap w:val="0"/>
                  <w:tcMar>
                    <w:left w:w="28" w:type="dxa"/>
                    <w:right w:w="28" w:type="dxa"/>
                  </w:tcMar>
                  <w:vAlign w:val="center"/>
                </w:tcPr>
                <w:p w14:paraId="3DE76FF0">
                  <w:pPr>
                    <w:spacing w:line="300" w:lineRule="exact"/>
                    <w:jc w:val="center"/>
                    <w:rPr>
                      <w:color w:val="auto"/>
                    </w:rPr>
                  </w:pPr>
                </w:p>
              </w:tc>
              <w:tc>
                <w:tcPr>
                  <w:tcW w:w="677" w:type="pct"/>
                  <w:gridSpan w:val="2"/>
                  <w:vMerge w:val="continue"/>
                  <w:noWrap w:val="0"/>
                  <w:tcMar>
                    <w:left w:w="28" w:type="dxa"/>
                    <w:right w:w="28" w:type="dxa"/>
                  </w:tcMar>
                  <w:vAlign w:val="center"/>
                </w:tcPr>
                <w:p w14:paraId="650863CE">
                  <w:pPr>
                    <w:spacing w:line="300" w:lineRule="exact"/>
                    <w:jc w:val="center"/>
                    <w:rPr>
                      <w:color w:val="auto"/>
                    </w:rPr>
                  </w:pPr>
                </w:p>
              </w:tc>
              <w:tc>
                <w:tcPr>
                  <w:tcW w:w="723" w:type="pct"/>
                  <w:noWrap w:val="0"/>
                  <w:tcMar>
                    <w:left w:w="28" w:type="dxa"/>
                    <w:right w:w="28" w:type="dxa"/>
                  </w:tcMar>
                  <w:vAlign w:val="center"/>
                </w:tcPr>
                <w:p w14:paraId="699F98E6">
                  <w:pPr>
                    <w:spacing w:line="300" w:lineRule="exact"/>
                    <w:jc w:val="center"/>
                    <w:rPr>
                      <w:rFonts w:hint="default"/>
                      <w:color w:val="auto"/>
                      <w:lang w:val="en-US" w:eastAsia="zh-CN"/>
                    </w:rPr>
                  </w:pPr>
                  <w:r>
                    <w:rPr>
                      <w:rFonts w:hint="eastAsia"/>
                      <w:color w:val="auto"/>
                      <w:lang w:val="en-US" w:eastAsia="zh-CN"/>
                    </w:rPr>
                    <w:t>臭气浓度</w:t>
                  </w:r>
                </w:p>
              </w:tc>
              <w:tc>
                <w:tcPr>
                  <w:tcW w:w="1710" w:type="pct"/>
                  <w:vMerge w:val="continue"/>
                  <w:noWrap w:val="0"/>
                  <w:tcMar>
                    <w:left w:w="28" w:type="dxa"/>
                    <w:right w:w="28" w:type="dxa"/>
                  </w:tcMar>
                  <w:vAlign w:val="center"/>
                </w:tcPr>
                <w:p w14:paraId="44EACC56">
                  <w:pPr>
                    <w:spacing w:line="300" w:lineRule="exact"/>
                    <w:jc w:val="center"/>
                    <w:rPr>
                      <w:rFonts w:hint="eastAsia"/>
                      <w:color w:val="auto"/>
                      <w:lang w:val="en-US" w:eastAsia="zh-CN"/>
                    </w:rPr>
                  </w:pPr>
                </w:p>
              </w:tc>
              <w:tc>
                <w:tcPr>
                  <w:tcW w:w="561" w:type="pct"/>
                  <w:vMerge w:val="continue"/>
                  <w:noWrap w:val="0"/>
                  <w:tcMar>
                    <w:left w:w="28" w:type="dxa"/>
                    <w:right w:w="28" w:type="dxa"/>
                  </w:tcMar>
                  <w:vAlign w:val="center"/>
                </w:tcPr>
                <w:p w14:paraId="36AE22F3">
                  <w:pPr>
                    <w:spacing w:line="300" w:lineRule="exact"/>
                    <w:jc w:val="center"/>
                    <w:rPr>
                      <w:rFonts w:hint="eastAsia"/>
                      <w:color w:val="auto"/>
                      <w:lang w:val="en-US" w:eastAsia="zh-CN"/>
                    </w:rPr>
                  </w:pPr>
                </w:p>
              </w:tc>
              <w:tc>
                <w:tcPr>
                  <w:tcW w:w="649" w:type="pct"/>
                  <w:vMerge w:val="continue"/>
                  <w:noWrap w:val="0"/>
                  <w:tcMar>
                    <w:left w:w="28" w:type="dxa"/>
                    <w:right w:w="28" w:type="dxa"/>
                  </w:tcMar>
                  <w:vAlign w:val="center"/>
                </w:tcPr>
                <w:p w14:paraId="42E26654">
                  <w:pPr>
                    <w:spacing w:line="300" w:lineRule="exact"/>
                    <w:jc w:val="center"/>
                    <w:rPr>
                      <w:rFonts w:hint="eastAsia"/>
                      <w:color w:val="auto"/>
                      <w:lang w:val="en-US" w:eastAsia="zh-CN"/>
                    </w:rPr>
                  </w:pPr>
                </w:p>
              </w:tc>
              <w:tc>
                <w:tcPr>
                  <w:tcW w:w="388" w:type="pct"/>
                  <w:vMerge w:val="continue"/>
                  <w:noWrap w:val="0"/>
                  <w:tcMar>
                    <w:left w:w="28" w:type="dxa"/>
                    <w:right w:w="28" w:type="dxa"/>
                  </w:tcMar>
                  <w:vAlign w:val="center"/>
                </w:tcPr>
                <w:p w14:paraId="2BC52394">
                  <w:pPr>
                    <w:spacing w:line="300" w:lineRule="exact"/>
                    <w:jc w:val="center"/>
                    <w:rPr>
                      <w:rFonts w:hint="eastAsia"/>
                      <w:color w:val="auto"/>
                      <w:lang w:val="en-US" w:eastAsia="zh-CN"/>
                    </w:rPr>
                  </w:pPr>
                </w:p>
              </w:tc>
            </w:tr>
            <w:tr w14:paraId="7C75F6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0" w:hRule="atLeast"/>
              </w:trPr>
              <w:tc>
                <w:tcPr>
                  <w:tcW w:w="289" w:type="pct"/>
                  <w:vMerge w:val="restart"/>
                  <w:noWrap w:val="0"/>
                  <w:tcMar>
                    <w:left w:w="28" w:type="dxa"/>
                    <w:right w:w="28" w:type="dxa"/>
                  </w:tcMar>
                  <w:vAlign w:val="center"/>
                </w:tcPr>
                <w:p w14:paraId="5B8DBE8B">
                  <w:pPr>
                    <w:spacing w:line="300" w:lineRule="exact"/>
                    <w:jc w:val="center"/>
                    <w:rPr>
                      <w:color w:val="auto"/>
                      <w:sz w:val="21"/>
                      <w:szCs w:val="21"/>
                    </w:rPr>
                  </w:pPr>
                  <w:r>
                    <w:rPr>
                      <w:color w:val="auto"/>
                      <w:sz w:val="21"/>
                      <w:szCs w:val="21"/>
                    </w:rPr>
                    <w:t>废水</w:t>
                  </w:r>
                </w:p>
              </w:tc>
              <w:tc>
                <w:tcPr>
                  <w:tcW w:w="677" w:type="pct"/>
                  <w:gridSpan w:val="2"/>
                  <w:vMerge w:val="restart"/>
                  <w:noWrap w:val="0"/>
                  <w:tcMar>
                    <w:left w:w="28" w:type="dxa"/>
                    <w:right w:w="28" w:type="dxa"/>
                  </w:tcMar>
                  <w:vAlign w:val="center"/>
                </w:tcPr>
                <w:p w14:paraId="46CEDDEE">
                  <w:pPr>
                    <w:spacing w:line="300" w:lineRule="exact"/>
                    <w:jc w:val="center"/>
                    <w:rPr>
                      <w:color w:val="auto"/>
                      <w:sz w:val="21"/>
                      <w:szCs w:val="21"/>
                    </w:rPr>
                  </w:pPr>
                  <w:r>
                    <w:rPr>
                      <w:color w:val="auto"/>
                      <w:sz w:val="21"/>
                      <w:szCs w:val="21"/>
                    </w:rPr>
                    <w:t>生活污水</w:t>
                  </w:r>
                </w:p>
              </w:tc>
              <w:tc>
                <w:tcPr>
                  <w:tcW w:w="723" w:type="pct"/>
                  <w:noWrap w:val="0"/>
                  <w:tcMar>
                    <w:left w:w="28" w:type="dxa"/>
                    <w:right w:w="28" w:type="dxa"/>
                  </w:tcMar>
                  <w:vAlign w:val="center"/>
                </w:tcPr>
                <w:p w14:paraId="363A81A8">
                  <w:pPr>
                    <w:spacing w:line="300" w:lineRule="exact"/>
                    <w:jc w:val="center"/>
                    <w:rPr>
                      <w:color w:val="auto"/>
                      <w:sz w:val="21"/>
                      <w:szCs w:val="21"/>
                    </w:rPr>
                  </w:pPr>
                  <w:r>
                    <w:rPr>
                      <w:color w:val="auto"/>
                      <w:sz w:val="21"/>
                      <w:szCs w:val="21"/>
                    </w:rPr>
                    <w:t>COD</w:t>
                  </w:r>
                </w:p>
              </w:tc>
              <w:tc>
                <w:tcPr>
                  <w:tcW w:w="1710" w:type="pct"/>
                  <w:vMerge w:val="restart"/>
                  <w:noWrap w:val="0"/>
                  <w:tcMar>
                    <w:left w:w="28" w:type="dxa"/>
                    <w:right w:w="28" w:type="dxa"/>
                  </w:tcMar>
                  <w:vAlign w:val="center"/>
                </w:tcPr>
                <w:p w14:paraId="30498393">
                  <w:pPr>
                    <w:spacing w:line="300" w:lineRule="exact"/>
                    <w:jc w:val="center"/>
                    <w:rPr>
                      <w:color w:val="auto"/>
                      <w:sz w:val="21"/>
                      <w:szCs w:val="21"/>
                    </w:rPr>
                  </w:pPr>
                  <w:r>
                    <w:rPr>
                      <w:rFonts w:hint="eastAsia"/>
                      <w:color w:val="auto"/>
                      <w:sz w:val="21"/>
                      <w:szCs w:val="21"/>
                    </w:rPr>
                    <w:t>本次依托</w:t>
                  </w:r>
                  <w:r>
                    <w:rPr>
                      <w:rFonts w:hint="eastAsia"/>
                      <w:color w:val="auto"/>
                      <w:sz w:val="21"/>
                      <w:szCs w:val="21"/>
                      <w:lang w:val="en-US" w:eastAsia="zh-CN"/>
                    </w:rPr>
                    <w:t>园区污水管网</w:t>
                  </w:r>
                  <w:r>
                    <w:rPr>
                      <w:rFonts w:hint="eastAsia"/>
                      <w:color w:val="auto"/>
                      <w:sz w:val="21"/>
                      <w:szCs w:val="21"/>
                    </w:rPr>
                    <w:t>，</w:t>
                  </w:r>
                  <w:r>
                    <w:rPr>
                      <w:color w:val="auto"/>
                      <w:sz w:val="21"/>
                      <w:szCs w:val="21"/>
                    </w:rPr>
                    <w:t>接入市政污水管网进</w:t>
                  </w:r>
                  <w:r>
                    <w:rPr>
                      <w:rFonts w:hint="eastAsia"/>
                      <w:color w:val="auto"/>
                      <w:sz w:val="21"/>
                      <w:szCs w:val="21"/>
                    </w:rPr>
                    <w:t>常州金坛区第二污水处理有限公司</w:t>
                  </w:r>
                </w:p>
              </w:tc>
              <w:tc>
                <w:tcPr>
                  <w:tcW w:w="561" w:type="pct"/>
                  <w:vMerge w:val="restart"/>
                  <w:noWrap w:val="0"/>
                  <w:tcMar>
                    <w:left w:w="28" w:type="dxa"/>
                    <w:right w:w="28" w:type="dxa"/>
                  </w:tcMar>
                  <w:vAlign w:val="center"/>
                </w:tcPr>
                <w:p w14:paraId="5F2C96B1">
                  <w:pPr>
                    <w:spacing w:line="300" w:lineRule="exact"/>
                    <w:jc w:val="center"/>
                    <w:rPr>
                      <w:color w:val="auto"/>
                      <w:sz w:val="21"/>
                      <w:szCs w:val="21"/>
                    </w:rPr>
                  </w:pPr>
                  <w:r>
                    <w:rPr>
                      <w:color w:val="auto"/>
                      <w:sz w:val="21"/>
                      <w:szCs w:val="21"/>
                    </w:rPr>
                    <w:t>达标排放</w:t>
                  </w:r>
                </w:p>
              </w:tc>
              <w:tc>
                <w:tcPr>
                  <w:tcW w:w="649" w:type="pct"/>
                  <w:vMerge w:val="restart"/>
                  <w:noWrap w:val="0"/>
                  <w:tcMar>
                    <w:left w:w="28" w:type="dxa"/>
                    <w:right w:w="28" w:type="dxa"/>
                  </w:tcMar>
                  <w:vAlign w:val="center"/>
                </w:tcPr>
                <w:p w14:paraId="049136E5">
                  <w:pPr>
                    <w:spacing w:line="300" w:lineRule="exact"/>
                    <w:jc w:val="center"/>
                    <w:rPr>
                      <w:rFonts w:hint="eastAsia"/>
                      <w:color w:val="auto"/>
                      <w:sz w:val="21"/>
                      <w:szCs w:val="21"/>
                    </w:rPr>
                  </w:pPr>
                  <w:r>
                    <w:rPr>
                      <w:rFonts w:hint="eastAsia"/>
                      <w:color w:val="auto"/>
                      <w:sz w:val="21"/>
                      <w:szCs w:val="21"/>
                    </w:rPr>
                    <w:t>2</w:t>
                  </w:r>
                </w:p>
              </w:tc>
              <w:tc>
                <w:tcPr>
                  <w:tcW w:w="388" w:type="pct"/>
                  <w:vMerge w:val="continue"/>
                  <w:noWrap w:val="0"/>
                  <w:tcMar>
                    <w:left w:w="28" w:type="dxa"/>
                    <w:right w:w="28" w:type="dxa"/>
                  </w:tcMar>
                  <w:vAlign w:val="center"/>
                </w:tcPr>
                <w:p w14:paraId="24414C11">
                  <w:pPr>
                    <w:spacing w:line="300" w:lineRule="exact"/>
                    <w:jc w:val="center"/>
                    <w:rPr>
                      <w:color w:val="auto"/>
                      <w:sz w:val="21"/>
                      <w:szCs w:val="21"/>
                    </w:rPr>
                  </w:pPr>
                </w:p>
              </w:tc>
            </w:tr>
            <w:tr w14:paraId="5F6887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79FCDB66">
                  <w:pPr>
                    <w:spacing w:line="300" w:lineRule="exact"/>
                    <w:jc w:val="center"/>
                    <w:rPr>
                      <w:color w:val="auto"/>
                      <w:sz w:val="21"/>
                      <w:szCs w:val="21"/>
                    </w:rPr>
                  </w:pPr>
                </w:p>
              </w:tc>
              <w:tc>
                <w:tcPr>
                  <w:tcW w:w="677" w:type="pct"/>
                  <w:gridSpan w:val="2"/>
                  <w:vMerge w:val="continue"/>
                  <w:noWrap w:val="0"/>
                  <w:tcMar>
                    <w:left w:w="28" w:type="dxa"/>
                    <w:right w:w="28" w:type="dxa"/>
                  </w:tcMar>
                  <w:vAlign w:val="center"/>
                </w:tcPr>
                <w:p w14:paraId="5F824559">
                  <w:pPr>
                    <w:spacing w:line="300" w:lineRule="exact"/>
                    <w:jc w:val="center"/>
                    <w:rPr>
                      <w:color w:val="auto"/>
                      <w:sz w:val="21"/>
                      <w:szCs w:val="21"/>
                    </w:rPr>
                  </w:pPr>
                </w:p>
              </w:tc>
              <w:tc>
                <w:tcPr>
                  <w:tcW w:w="723" w:type="pct"/>
                  <w:noWrap w:val="0"/>
                  <w:tcMar>
                    <w:left w:w="28" w:type="dxa"/>
                    <w:right w:w="28" w:type="dxa"/>
                  </w:tcMar>
                  <w:vAlign w:val="center"/>
                </w:tcPr>
                <w:p w14:paraId="481226EB">
                  <w:pPr>
                    <w:spacing w:line="300" w:lineRule="exact"/>
                    <w:jc w:val="center"/>
                    <w:rPr>
                      <w:color w:val="auto"/>
                      <w:sz w:val="21"/>
                      <w:szCs w:val="21"/>
                    </w:rPr>
                  </w:pPr>
                  <w:r>
                    <w:rPr>
                      <w:color w:val="auto"/>
                      <w:sz w:val="21"/>
                      <w:szCs w:val="21"/>
                    </w:rPr>
                    <w:t>氨氮</w:t>
                  </w:r>
                </w:p>
              </w:tc>
              <w:tc>
                <w:tcPr>
                  <w:tcW w:w="1710" w:type="pct"/>
                  <w:vMerge w:val="continue"/>
                  <w:noWrap w:val="0"/>
                  <w:tcMar>
                    <w:left w:w="28" w:type="dxa"/>
                    <w:right w:w="28" w:type="dxa"/>
                  </w:tcMar>
                  <w:vAlign w:val="center"/>
                </w:tcPr>
                <w:p w14:paraId="2C4B3FE3">
                  <w:pPr>
                    <w:spacing w:line="300" w:lineRule="exact"/>
                    <w:jc w:val="center"/>
                    <w:rPr>
                      <w:color w:val="auto"/>
                      <w:sz w:val="21"/>
                      <w:szCs w:val="21"/>
                    </w:rPr>
                  </w:pPr>
                </w:p>
              </w:tc>
              <w:tc>
                <w:tcPr>
                  <w:tcW w:w="561" w:type="pct"/>
                  <w:vMerge w:val="continue"/>
                  <w:noWrap w:val="0"/>
                  <w:tcMar>
                    <w:left w:w="28" w:type="dxa"/>
                    <w:right w:w="28" w:type="dxa"/>
                  </w:tcMar>
                  <w:vAlign w:val="center"/>
                </w:tcPr>
                <w:p w14:paraId="79880E73">
                  <w:pPr>
                    <w:spacing w:line="300" w:lineRule="exact"/>
                    <w:jc w:val="center"/>
                    <w:rPr>
                      <w:color w:val="auto"/>
                      <w:sz w:val="21"/>
                      <w:szCs w:val="21"/>
                    </w:rPr>
                  </w:pPr>
                </w:p>
              </w:tc>
              <w:tc>
                <w:tcPr>
                  <w:tcW w:w="649" w:type="pct"/>
                  <w:vMerge w:val="continue"/>
                  <w:noWrap w:val="0"/>
                  <w:tcMar>
                    <w:left w:w="28" w:type="dxa"/>
                    <w:right w:w="28" w:type="dxa"/>
                  </w:tcMar>
                  <w:vAlign w:val="center"/>
                </w:tcPr>
                <w:p w14:paraId="7501B9D2">
                  <w:pPr>
                    <w:spacing w:line="300" w:lineRule="exact"/>
                    <w:jc w:val="center"/>
                    <w:rPr>
                      <w:color w:val="auto"/>
                      <w:sz w:val="21"/>
                      <w:szCs w:val="21"/>
                    </w:rPr>
                  </w:pPr>
                </w:p>
              </w:tc>
              <w:tc>
                <w:tcPr>
                  <w:tcW w:w="388" w:type="pct"/>
                  <w:vMerge w:val="continue"/>
                  <w:noWrap w:val="0"/>
                  <w:tcMar>
                    <w:left w:w="28" w:type="dxa"/>
                    <w:right w:w="28" w:type="dxa"/>
                  </w:tcMar>
                  <w:vAlign w:val="center"/>
                </w:tcPr>
                <w:p w14:paraId="082E0F24">
                  <w:pPr>
                    <w:spacing w:line="300" w:lineRule="exact"/>
                    <w:jc w:val="center"/>
                    <w:rPr>
                      <w:color w:val="auto"/>
                      <w:sz w:val="21"/>
                      <w:szCs w:val="21"/>
                    </w:rPr>
                  </w:pPr>
                </w:p>
              </w:tc>
            </w:tr>
            <w:tr w14:paraId="1177D9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76269FD5">
                  <w:pPr>
                    <w:spacing w:line="300" w:lineRule="exact"/>
                    <w:jc w:val="center"/>
                    <w:rPr>
                      <w:color w:val="auto"/>
                      <w:sz w:val="21"/>
                      <w:szCs w:val="21"/>
                    </w:rPr>
                  </w:pPr>
                </w:p>
              </w:tc>
              <w:tc>
                <w:tcPr>
                  <w:tcW w:w="677" w:type="pct"/>
                  <w:gridSpan w:val="2"/>
                  <w:vMerge w:val="continue"/>
                  <w:noWrap w:val="0"/>
                  <w:tcMar>
                    <w:left w:w="28" w:type="dxa"/>
                    <w:right w:w="28" w:type="dxa"/>
                  </w:tcMar>
                  <w:vAlign w:val="center"/>
                </w:tcPr>
                <w:p w14:paraId="0D3BB953">
                  <w:pPr>
                    <w:spacing w:line="300" w:lineRule="exact"/>
                    <w:jc w:val="center"/>
                    <w:rPr>
                      <w:color w:val="auto"/>
                      <w:sz w:val="21"/>
                      <w:szCs w:val="21"/>
                    </w:rPr>
                  </w:pPr>
                </w:p>
              </w:tc>
              <w:tc>
                <w:tcPr>
                  <w:tcW w:w="723" w:type="pct"/>
                  <w:noWrap w:val="0"/>
                  <w:tcMar>
                    <w:left w:w="28" w:type="dxa"/>
                    <w:right w:w="28" w:type="dxa"/>
                  </w:tcMar>
                  <w:vAlign w:val="center"/>
                </w:tcPr>
                <w:p w14:paraId="78E35D2B">
                  <w:pPr>
                    <w:spacing w:line="300" w:lineRule="exact"/>
                    <w:jc w:val="center"/>
                    <w:rPr>
                      <w:color w:val="auto"/>
                      <w:sz w:val="21"/>
                      <w:szCs w:val="21"/>
                    </w:rPr>
                  </w:pPr>
                  <w:r>
                    <w:rPr>
                      <w:color w:val="auto"/>
                      <w:sz w:val="21"/>
                      <w:szCs w:val="21"/>
                    </w:rPr>
                    <w:t>总磷</w:t>
                  </w:r>
                </w:p>
              </w:tc>
              <w:tc>
                <w:tcPr>
                  <w:tcW w:w="1710" w:type="pct"/>
                  <w:vMerge w:val="continue"/>
                  <w:noWrap w:val="0"/>
                  <w:tcMar>
                    <w:left w:w="28" w:type="dxa"/>
                    <w:right w:w="28" w:type="dxa"/>
                  </w:tcMar>
                  <w:vAlign w:val="center"/>
                </w:tcPr>
                <w:p w14:paraId="47D40E6C">
                  <w:pPr>
                    <w:spacing w:line="300" w:lineRule="exact"/>
                    <w:jc w:val="center"/>
                    <w:rPr>
                      <w:color w:val="auto"/>
                      <w:sz w:val="21"/>
                      <w:szCs w:val="21"/>
                    </w:rPr>
                  </w:pPr>
                </w:p>
              </w:tc>
              <w:tc>
                <w:tcPr>
                  <w:tcW w:w="561" w:type="pct"/>
                  <w:vMerge w:val="continue"/>
                  <w:noWrap w:val="0"/>
                  <w:tcMar>
                    <w:left w:w="28" w:type="dxa"/>
                    <w:right w:w="28" w:type="dxa"/>
                  </w:tcMar>
                  <w:vAlign w:val="center"/>
                </w:tcPr>
                <w:p w14:paraId="0215F4CB">
                  <w:pPr>
                    <w:spacing w:line="300" w:lineRule="exact"/>
                    <w:jc w:val="center"/>
                    <w:rPr>
                      <w:color w:val="auto"/>
                      <w:sz w:val="21"/>
                      <w:szCs w:val="21"/>
                    </w:rPr>
                  </w:pPr>
                </w:p>
              </w:tc>
              <w:tc>
                <w:tcPr>
                  <w:tcW w:w="649" w:type="pct"/>
                  <w:vMerge w:val="continue"/>
                  <w:noWrap w:val="0"/>
                  <w:tcMar>
                    <w:left w:w="28" w:type="dxa"/>
                    <w:right w:w="28" w:type="dxa"/>
                  </w:tcMar>
                  <w:vAlign w:val="center"/>
                </w:tcPr>
                <w:p w14:paraId="258651FD">
                  <w:pPr>
                    <w:spacing w:line="300" w:lineRule="exact"/>
                    <w:jc w:val="center"/>
                    <w:rPr>
                      <w:color w:val="auto"/>
                      <w:sz w:val="21"/>
                      <w:szCs w:val="21"/>
                    </w:rPr>
                  </w:pPr>
                </w:p>
              </w:tc>
              <w:tc>
                <w:tcPr>
                  <w:tcW w:w="388" w:type="pct"/>
                  <w:vMerge w:val="continue"/>
                  <w:noWrap w:val="0"/>
                  <w:tcMar>
                    <w:left w:w="28" w:type="dxa"/>
                    <w:right w:w="28" w:type="dxa"/>
                  </w:tcMar>
                  <w:vAlign w:val="center"/>
                </w:tcPr>
                <w:p w14:paraId="419DCC4F">
                  <w:pPr>
                    <w:spacing w:line="300" w:lineRule="exact"/>
                    <w:jc w:val="center"/>
                    <w:rPr>
                      <w:color w:val="auto"/>
                      <w:sz w:val="21"/>
                      <w:szCs w:val="21"/>
                    </w:rPr>
                  </w:pPr>
                </w:p>
              </w:tc>
            </w:tr>
            <w:tr w14:paraId="3F1FF6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3D022ED6">
                  <w:pPr>
                    <w:spacing w:line="300" w:lineRule="exact"/>
                    <w:jc w:val="center"/>
                    <w:rPr>
                      <w:color w:val="auto"/>
                      <w:sz w:val="21"/>
                      <w:szCs w:val="21"/>
                    </w:rPr>
                  </w:pPr>
                </w:p>
              </w:tc>
              <w:tc>
                <w:tcPr>
                  <w:tcW w:w="677" w:type="pct"/>
                  <w:gridSpan w:val="2"/>
                  <w:vMerge w:val="continue"/>
                  <w:noWrap w:val="0"/>
                  <w:tcMar>
                    <w:left w:w="28" w:type="dxa"/>
                    <w:right w:w="28" w:type="dxa"/>
                  </w:tcMar>
                  <w:vAlign w:val="center"/>
                </w:tcPr>
                <w:p w14:paraId="0DF4CB19">
                  <w:pPr>
                    <w:spacing w:line="300" w:lineRule="exact"/>
                    <w:jc w:val="center"/>
                    <w:rPr>
                      <w:color w:val="auto"/>
                      <w:sz w:val="21"/>
                      <w:szCs w:val="21"/>
                    </w:rPr>
                  </w:pPr>
                </w:p>
              </w:tc>
              <w:tc>
                <w:tcPr>
                  <w:tcW w:w="723" w:type="pct"/>
                  <w:noWrap w:val="0"/>
                  <w:tcMar>
                    <w:left w:w="28" w:type="dxa"/>
                    <w:right w:w="28" w:type="dxa"/>
                  </w:tcMar>
                  <w:vAlign w:val="center"/>
                </w:tcPr>
                <w:p w14:paraId="4A2CBFD9">
                  <w:pPr>
                    <w:spacing w:line="300" w:lineRule="exact"/>
                    <w:jc w:val="center"/>
                    <w:rPr>
                      <w:color w:val="auto"/>
                      <w:sz w:val="21"/>
                      <w:szCs w:val="21"/>
                    </w:rPr>
                  </w:pPr>
                  <w:r>
                    <w:rPr>
                      <w:color w:val="auto"/>
                      <w:sz w:val="21"/>
                      <w:szCs w:val="21"/>
                    </w:rPr>
                    <w:t>总氮</w:t>
                  </w:r>
                </w:p>
              </w:tc>
              <w:tc>
                <w:tcPr>
                  <w:tcW w:w="1710" w:type="pct"/>
                  <w:vMerge w:val="continue"/>
                  <w:noWrap w:val="0"/>
                  <w:tcMar>
                    <w:left w:w="28" w:type="dxa"/>
                    <w:right w:w="28" w:type="dxa"/>
                  </w:tcMar>
                  <w:vAlign w:val="center"/>
                </w:tcPr>
                <w:p w14:paraId="6FDDEBD1">
                  <w:pPr>
                    <w:spacing w:line="300" w:lineRule="exact"/>
                    <w:jc w:val="center"/>
                    <w:rPr>
                      <w:color w:val="auto"/>
                      <w:sz w:val="21"/>
                      <w:szCs w:val="21"/>
                    </w:rPr>
                  </w:pPr>
                </w:p>
              </w:tc>
              <w:tc>
                <w:tcPr>
                  <w:tcW w:w="561" w:type="pct"/>
                  <w:vMerge w:val="continue"/>
                  <w:noWrap w:val="0"/>
                  <w:tcMar>
                    <w:left w:w="28" w:type="dxa"/>
                    <w:right w:w="28" w:type="dxa"/>
                  </w:tcMar>
                  <w:vAlign w:val="center"/>
                </w:tcPr>
                <w:p w14:paraId="52430D95">
                  <w:pPr>
                    <w:spacing w:line="300" w:lineRule="exact"/>
                    <w:jc w:val="center"/>
                    <w:rPr>
                      <w:color w:val="auto"/>
                      <w:sz w:val="21"/>
                      <w:szCs w:val="21"/>
                    </w:rPr>
                  </w:pPr>
                </w:p>
              </w:tc>
              <w:tc>
                <w:tcPr>
                  <w:tcW w:w="649" w:type="pct"/>
                  <w:vMerge w:val="continue"/>
                  <w:noWrap w:val="0"/>
                  <w:tcMar>
                    <w:left w:w="28" w:type="dxa"/>
                    <w:right w:w="28" w:type="dxa"/>
                  </w:tcMar>
                  <w:vAlign w:val="center"/>
                </w:tcPr>
                <w:p w14:paraId="20951EA5">
                  <w:pPr>
                    <w:spacing w:line="300" w:lineRule="exact"/>
                    <w:jc w:val="center"/>
                    <w:rPr>
                      <w:color w:val="auto"/>
                      <w:sz w:val="21"/>
                      <w:szCs w:val="21"/>
                    </w:rPr>
                  </w:pPr>
                </w:p>
              </w:tc>
              <w:tc>
                <w:tcPr>
                  <w:tcW w:w="388" w:type="pct"/>
                  <w:vMerge w:val="continue"/>
                  <w:noWrap w:val="0"/>
                  <w:tcMar>
                    <w:left w:w="28" w:type="dxa"/>
                    <w:right w:w="28" w:type="dxa"/>
                  </w:tcMar>
                  <w:vAlign w:val="center"/>
                </w:tcPr>
                <w:p w14:paraId="61EACE39">
                  <w:pPr>
                    <w:spacing w:line="300" w:lineRule="exact"/>
                    <w:jc w:val="center"/>
                    <w:rPr>
                      <w:color w:val="auto"/>
                      <w:sz w:val="21"/>
                      <w:szCs w:val="21"/>
                    </w:rPr>
                  </w:pPr>
                </w:p>
              </w:tc>
            </w:tr>
            <w:tr w14:paraId="02B025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noWrap w:val="0"/>
                  <w:tcMar>
                    <w:left w:w="28" w:type="dxa"/>
                    <w:right w:w="28" w:type="dxa"/>
                  </w:tcMar>
                  <w:vAlign w:val="center"/>
                </w:tcPr>
                <w:p w14:paraId="791D35A7">
                  <w:pPr>
                    <w:spacing w:line="300" w:lineRule="exact"/>
                    <w:jc w:val="center"/>
                    <w:rPr>
                      <w:color w:val="auto"/>
                      <w:sz w:val="21"/>
                      <w:szCs w:val="21"/>
                    </w:rPr>
                  </w:pPr>
                  <w:r>
                    <w:rPr>
                      <w:color w:val="auto"/>
                      <w:sz w:val="21"/>
                      <w:szCs w:val="21"/>
                    </w:rPr>
                    <w:t>噪声</w:t>
                  </w:r>
                </w:p>
              </w:tc>
              <w:tc>
                <w:tcPr>
                  <w:tcW w:w="677" w:type="pct"/>
                  <w:gridSpan w:val="2"/>
                  <w:noWrap w:val="0"/>
                  <w:tcMar>
                    <w:left w:w="28" w:type="dxa"/>
                    <w:right w:w="28" w:type="dxa"/>
                  </w:tcMar>
                  <w:vAlign w:val="center"/>
                </w:tcPr>
                <w:p w14:paraId="4538DCCB">
                  <w:pPr>
                    <w:spacing w:line="300" w:lineRule="exact"/>
                    <w:jc w:val="center"/>
                    <w:rPr>
                      <w:color w:val="auto"/>
                      <w:sz w:val="21"/>
                      <w:szCs w:val="21"/>
                    </w:rPr>
                  </w:pPr>
                  <w:r>
                    <w:rPr>
                      <w:color w:val="auto"/>
                      <w:sz w:val="21"/>
                      <w:szCs w:val="21"/>
                    </w:rPr>
                    <w:t>生产设备</w:t>
                  </w:r>
                </w:p>
              </w:tc>
              <w:tc>
                <w:tcPr>
                  <w:tcW w:w="723" w:type="pct"/>
                  <w:noWrap w:val="0"/>
                  <w:tcMar>
                    <w:left w:w="28" w:type="dxa"/>
                    <w:right w:w="28" w:type="dxa"/>
                  </w:tcMar>
                  <w:vAlign w:val="center"/>
                </w:tcPr>
                <w:p w14:paraId="5C87AED1">
                  <w:pPr>
                    <w:spacing w:line="300" w:lineRule="exact"/>
                    <w:jc w:val="center"/>
                    <w:rPr>
                      <w:color w:val="auto"/>
                      <w:sz w:val="21"/>
                      <w:szCs w:val="21"/>
                    </w:rPr>
                  </w:pPr>
                  <w:r>
                    <w:rPr>
                      <w:color w:val="auto"/>
                      <w:sz w:val="21"/>
                      <w:szCs w:val="21"/>
                    </w:rPr>
                    <w:t>噪声</w:t>
                  </w:r>
                </w:p>
              </w:tc>
              <w:tc>
                <w:tcPr>
                  <w:tcW w:w="1710" w:type="pct"/>
                  <w:noWrap w:val="0"/>
                  <w:tcMar>
                    <w:left w:w="28" w:type="dxa"/>
                    <w:right w:w="28" w:type="dxa"/>
                  </w:tcMar>
                  <w:vAlign w:val="center"/>
                </w:tcPr>
                <w:p w14:paraId="32712587">
                  <w:pPr>
                    <w:spacing w:line="300" w:lineRule="exact"/>
                    <w:jc w:val="center"/>
                    <w:rPr>
                      <w:color w:val="auto"/>
                      <w:sz w:val="21"/>
                      <w:szCs w:val="21"/>
                    </w:rPr>
                  </w:pPr>
                  <w:r>
                    <w:rPr>
                      <w:color w:val="auto"/>
                      <w:sz w:val="21"/>
                      <w:szCs w:val="21"/>
                    </w:rPr>
                    <w:t>隔声、减震</w:t>
                  </w:r>
                </w:p>
              </w:tc>
              <w:tc>
                <w:tcPr>
                  <w:tcW w:w="561" w:type="pct"/>
                  <w:noWrap w:val="0"/>
                  <w:tcMar>
                    <w:left w:w="28" w:type="dxa"/>
                    <w:right w:w="28" w:type="dxa"/>
                  </w:tcMar>
                  <w:vAlign w:val="center"/>
                </w:tcPr>
                <w:p w14:paraId="2FBD35FE">
                  <w:pPr>
                    <w:spacing w:line="300" w:lineRule="exact"/>
                    <w:jc w:val="center"/>
                    <w:rPr>
                      <w:color w:val="auto"/>
                      <w:sz w:val="21"/>
                      <w:szCs w:val="21"/>
                    </w:rPr>
                  </w:pPr>
                  <w:r>
                    <w:rPr>
                      <w:color w:val="auto"/>
                      <w:sz w:val="21"/>
                      <w:szCs w:val="21"/>
                    </w:rPr>
                    <w:t>达标排放</w:t>
                  </w:r>
                </w:p>
              </w:tc>
              <w:tc>
                <w:tcPr>
                  <w:tcW w:w="649" w:type="pct"/>
                  <w:noWrap w:val="0"/>
                  <w:tcMar>
                    <w:left w:w="28" w:type="dxa"/>
                    <w:right w:w="28" w:type="dxa"/>
                  </w:tcMar>
                  <w:vAlign w:val="center"/>
                </w:tcPr>
                <w:p w14:paraId="73C94CCF">
                  <w:pPr>
                    <w:spacing w:line="300" w:lineRule="exact"/>
                    <w:jc w:val="center"/>
                    <w:rPr>
                      <w:rFonts w:hint="eastAsia" w:eastAsia="宋体"/>
                      <w:color w:val="auto"/>
                      <w:sz w:val="21"/>
                      <w:szCs w:val="21"/>
                      <w:lang w:val="en-US" w:eastAsia="zh-CN"/>
                    </w:rPr>
                  </w:pPr>
                  <w:r>
                    <w:rPr>
                      <w:rFonts w:hint="eastAsia"/>
                      <w:color w:val="auto"/>
                      <w:sz w:val="21"/>
                      <w:szCs w:val="21"/>
                      <w:lang w:val="en-US" w:eastAsia="zh-CN"/>
                    </w:rPr>
                    <w:t>3</w:t>
                  </w:r>
                </w:p>
              </w:tc>
              <w:tc>
                <w:tcPr>
                  <w:tcW w:w="388" w:type="pct"/>
                  <w:vMerge w:val="continue"/>
                  <w:noWrap w:val="0"/>
                  <w:tcMar>
                    <w:left w:w="28" w:type="dxa"/>
                    <w:right w:w="28" w:type="dxa"/>
                  </w:tcMar>
                  <w:vAlign w:val="center"/>
                </w:tcPr>
                <w:p w14:paraId="35ADC937">
                  <w:pPr>
                    <w:spacing w:line="300" w:lineRule="exact"/>
                    <w:jc w:val="center"/>
                    <w:rPr>
                      <w:color w:val="auto"/>
                      <w:sz w:val="21"/>
                      <w:szCs w:val="21"/>
                    </w:rPr>
                  </w:pPr>
                </w:p>
              </w:tc>
            </w:tr>
            <w:tr w14:paraId="3FC80B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restart"/>
                  <w:noWrap w:val="0"/>
                  <w:tcMar>
                    <w:left w:w="28" w:type="dxa"/>
                    <w:right w:w="28" w:type="dxa"/>
                  </w:tcMar>
                  <w:vAlign w:val="center"/>
                </w:tcPr>
                <w:p w14:paraId="42870E04">
                  <w:pPr>
                    <w:spacing w:line="300" w:lineRule="exact"/>
                    <w:jc w:val="center"/>
                    <w:rPr>
                      <w:color w:val="auto"/>
                      <w:sz w:val="21"/>
                      <w:szCs w:val="21"/>
                    </w:rPr>
                  </w:pPr>
                  <w:r>
                    <w:rPr>
                      <w:color w:val="auto"/>
                      <w:sz w:val="21"/>
                      <w:szCs w:val="21"/>
                    </w:rPr>
                    <w:t>固废</w:t>
                  </w:r>
                </w:p>
              </w:tc>
              <w:tc>
                <w:tcPr>
                  <w:tcW w:w="267" w:type="pct"/>
                  <w:vMerge w:val="restart"/>
                  <w:noWrap w:val="0"/>
                  <w:tcMar>
                    <w:left w:w="28" w:type="dxa"/>
                    <w:right w:w="28" w:type="dxa"/>
                  </w:tcMar>
                  <w:vAlign w:val="center"/>
                </w:tcPr>
                <w:p w14:paraId="2EBE63C6">
                  <w:pPr>
                    <w:spacing w:line="300" w:lineRule="exact"/>
                    <w:jc w:val="center"/>
                    <w:rPr>
                      <w:color w:val="auto"/>
                      <w:sz w:val="21"/>
                      <w:szCs w:val="21"/>
                    </w:rPr>
                  </w:pPr>
                  <w:r>
                    <w:rPr>
                      <w:color w:val="auto"/>
                      <w:sz w:val="21"/>
                      <w:szCs w:val="21"/>
                    </w:rPr>
                    <w:t>生产</w:t>
                  </w:r>
                </w:p>
              </w:tc>
              <w:tc>
                <w:tcPr>
                  <w:tcW w:w="409" w:type="pct"/>
                  <w:vMerge w:val="restart"/>
                  <w:noWrap w:val="0"/>
                  <w:tcMar>
                    <w:left w:w="28" w:type="dxa"/>
                    <w:right w:w="28" w:type="dxa"/>
                  </w:tcMar>
                  <w:vAlign w:val="center"/>
                </w:tcPr>
                <w:p w14:paraId="059B39A2">
                  <w:pPr>
                    <w:spacing w:line="300" w:lineRule="exact"/>
                    <w:jc w:val="center"/>
                    <w:rPr>
                      <w:color w:val="auto"/>
                      <w:sz w:val="21"/>
                      <w:szCs w:val="21"/>
                    </w:rPr>
                  </w:pPr>
                  <w:r>
                    <w:rPr>
                      <w:color w:val="auto"/>
                      <w:sz w:val="21"/>
                      <w:szCs w:val="21"/>
                    </w:rPr>
                    <w:t>一般固废</w:t>
                  </w:r>
                </w:p>
              </w:tc>
              <w:tc>
                <w:tcPr>
                  <w:tcW w:w="723" w:type="pct"/>
                  <w:noWrap w:val="0"/>
                  <w:tcMar>
                    <w:left w:w="28" w:type="dxa"/>
                    <w:right w:w="28" w:type="dxa"/>
                  </w:tcMar>
                  <w:vAlign w:val="center"/>
                </w:tcPr>
                <w:p w14:paraId="5F095123">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试剂废包装箱</w:t>
                  </w:r>
                </w:p>
              </w:tc>
              <w:tc>
                <w:tcPr>
                  <w:tcW w:w="1710" w:type="pct"/>
                  <w:vMerge w:val="restart"/>
                  <w:noWrap w:val="0"/>
                  <w:tcMar>
                    <w:left w:w="28" w:type="dxa"/>
                    <w:right w:w="28" w:type="dxa"/>
                  </w:tcMar>
                  <w:vAlign w:val="center"/>
                </w:tcPr>
                <w:p w14:paraId="33DFBF7D">
                  <w:pPr>
                    <w:spacing w:line="300" w:lineRule="exact"/>
                    <w:jc w:val="center"/>
                    <w:rPr>
                      <w:color w:val="auto"/>
                      <w:sz w:val="21"/>
                      <w:szCs w:val="21"/>
                    </w:rPr>
                  </w:pPr>
                  <w:r>
                    <w:rPr>
                      <w:rFonts w:hint="eastAsia"/>
                      <w:color w:val="auto"/>
                      <w:sz w:val="21"/>
                      <w:szCs w:val="21"/>
                    </w:rPr>
                    <w:t>委外综合利用</w:t>
                  </w:r>
                </w:p>
              </w:tc>
              <w:tc>
                <w:tcPr>
                  <w:tcW w:w="561" w:type="pct"/>
                  <w:vMerge w:val="restart"/>
                  <w:noWrap w:val="0"/>
                  <w:tcMar>
                    <w:left w:w="28" w:type="dxa"/>
                    <w:right w:w="28" w:type="dxa"/>
                  </w:tcMar>
                  <w:vAlign w:val="center"/>
                </w:tcPr>
                <w:p w14:paraId="18FA6E05">
                  <w:pPr>
                    <w:spacing w:line="300" w:lineRule="exact"/>
                    <w:jc w:val="center"/>
                    <w:rPr>
                      <w:color w:val="auto"/>
                      <w:sz w:val="21"/>
                      <w:szCs w:val="21"/>
                    </w:rPr>
                  </w:pPr>
                  <w:r>
                    <w:rPr>
                      <w:color w:val="auto"/>
                      <w:sz w:val="21"/>
                      <w:szCs w:val="21"/>
                    </w:rPr>
                    <w:t>不产生二</w:t>
                  </w:r>
                </w:p>
                <w:p w14:paraId="3D9B6BA0">
                  <w:pPr>
                    <w:spacing w:line="300" w:lineRule="exact"/>
                    <w:jc w:val="center"/>
                    <w:rPr>
                      <w:color w:val="auto"/>
                      <w:spacing w:val="-10"/>
                      <w:sz w:val="21"/>
                      <w:szCs w:val="21"/>
                    </w:rPr>
                  </w:pPr>
                  <w:r>
                    <w:rPr>
                      <w:color w:val="auto"/>
                      <w:sz w:val="21"/>
                      <w:szCs w:val="21"/>
                    </w:rPr>
                    <w:t>次污染</w:t>
                  </w:r>
                </w:p>
              </w:tc>
              <w:tc>
                <w:tcPr>
                  <w:tcW w:w="649" w:type="pct"/>
                  <w:vMerge w:val="restart"/>
                  <w:noWrap w:val="0"/>
                  <w:tcMar>
                    <w:left w:w="28" w:type="dxa"/>
                    <w:right w:w="28" w:type="dxa"/>
                  </w:tcMar>
                  <w:vAlign w:val="center"/>
                </w:tcPr>
                <w:p w14:paraId="0C58E3B9">
                  <w:pPr>
                    <w:spacing w:line="300" w:lineRule="exact"/>
                    <w:jc w:val="center"/>
                    <w:rPr>
                      <w:rFonts w:hint="eastAsia" w:eastAsia="宋体"/>
                      <w:color w:val="auto"/>
                      <w:sz w:val="21"/>
                      <w:szCs w:val="21"/>
                      <w:lang w:eastAsia="zh-CN"/>
                    </w:rPr>
                  </w:pPr>
                  <w:r>
                    <w:rPr>
                      <w:rFonts w:hint="eastAsia"/>
                      <w:color w:val="auto"/>
                      <w:sz w:val="21"/>
                      <w:szCs w:val="21"/>
                      <w:lang w:val="en-US" w:eastAsia="zh-CN"/>
                    </w:rPr>
                    <w:t>4</w:t>
                  </w:r>
                </w:p>
              </w:tc>
              <w:tc>
                <w:tcPr>
                  <w:tcW w:w="388" w:type="pct"/>
                  <w:vMerge w:val="continue"/>
                  <w:noWrap w:val="0"/>
                  <w:tcMar>
                    <w:left w:w="28" w:type="dxa"/>
                    <w:right w:w="28" w:type="dxa"/>
                  </w:tcMar>
                  <w:vAlign w:val="center"/>
                </w:tcPr>
                <w:p w14:paraId="367C31EE">
                  <w:pPr>
                    <w:spacing w:line="300" w:lineRule="exact"/>
                    <w:jc w:val="center"/>
                    <w:rPr>
                      <w:color w:val="auto"/>
                      <w:sz w:val="21"/>
                      <w:szCs w:val="21"/>
                    </w:rPr>
                  </w:pPr>
                </w:p>
              </w:tc>
            </w:tr>
            <w:tr w14:paraId="3083CD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28B1E933">
                  <w:pPr>
                    <w:spacing w:line="300" w:lineRule="exact"/>
                    <w:jc w:val="center"/>
                    <w:rPr>
                      <w:color w:val="auto"/>
                      <w:sz w:val="21"/>
                      <w:szCs w:val="21"/>
                    </w:rPr>
                  </w:pPr>
                </w:p>
              </w:tc>
              <w:tc>
                <w:tcPr>
                  <w:tcW w:w="267" w:type="pct"/>
                  <w:vMerge w:val="continue"/>
                  <w:noWrap w:val="0"/>
                  <w:tcMar>
                    <w:left w:w="28" w:type="dxa"/>
                    <w:right w:w="28" w:type="dxa"/>
                  </w:tcMar>
                  <w:vAlign w:val="center"/>
                </w:tcPr>
                <w:p w14:paraId="526215B8">
                  <w:pPr>
                    <w:spacing w:line="300" w:lineRule="exact"/>
                    <w:jc w:val="center"/>
                    <w:rPr>
                      <w:color w:val="auto"/>
                      <w:sz w:val="21"/>
                      <w:szCs w:val="21"/>
                    </w:rPr>
                  </w:pPr>
                </w:p>
              </w:tc>
              <w:tc>
                <w:tcPr>
                  <w:tcW w:w="409" w:type="pct"/>
                  <w:vMerge w:val="continue"/>
                  <w:noWrap w:val="0"/>
                  <w:tcMar>
                    <w:left w:w="28" w:type="dxa"/>
                    <w:right w:w="28" w:type="dxa"/>
                  </w:tcMar>
                  <w:vAlign w:val="center"/>
                </w:tcPr>
                <w:p w14:paraId="7F4D625F">
                  <w:pPr>
                    <w:spacing w:line="300" w:lineRule="exact"/>
                    <w:jc w:val="center"/>
                    <w:rPr>
                      <w:color w:val="auto"/>
                      <w:sz w:val="21"/>
                      <w:szCs w:val="21"/>
                    </w:rPr>
                  </w:pPr>
                </w:p>
              </w:tc>
              <w:tc>
                <w:tcPr>
                  <w:tcW w:w="723" w:type="pct"/>
                  <w:noWrap w:val="0"/>
                  <w:tcMar>
                    <w:left w:w="28" w:type="dxa"/>
                    <w:right w:w="28" w:type="dxa"/>
                  </w:tcMar>
                  <w:vAlign w:val="center"/>
                </w:tcPr>
                <w:p w14:paraId="3B1910DF">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纯水废瓶</w:t>
                  </w:r>
                </w:p>
              </w:tc>
              <w:tc>
                <w:tcPr>
                  <w:tcW w:w="1710" w:type="pct"/>
                  <w:vMerge w:val="continue"/>
                  <w:noWrap w:val="0"/>
                  <w:tcMar>
                    <w:left w:w="28" w:type="dxa"/>
                    <w:right w:w="28" w:type="dxa"/>
                  </w:tcMar>
                  <w:vAlign w:val="center"/>
                </w:tcPr>
                <w:p w14:paraId="71B70ED0">
                  <w:pPr>
                    <w:spacing w:line="300" w:lineRule="exact"/>
                    <w:jc w:val="center"/>
                    <w:rPr>
                      <w:color w:val="auto"/>
                      <w:sz w:val="21"/>
                      <w:szCs w:val="21"/>
                    </w:rPr>
                  </w:pPr>
                </w:p>
              </w:tc>
              <w:tc>
                <w:tcPr>
                  <w:tcW w:w="561" w:type="pct"/>
                  <w:vMerge w:val="continue"/>
                  <w:noWrap w:val="0"/>
                  <w:tcMar>
                    <w:left w:w="28" w:type="dxa"/>
                    <w:right w:w="28" w:type="dxa"/>
                  </w:tcMar>
                  <w:vAlign w:val="center"/>
                </w:tcPr>
                <w:p w14:paraId="1A27E54E">
                  <w:pPr>
                    <w:spacing w:line="300" w:lineRule="exact"/>
                    <w:jc w:val="center"/>
                    <w:rPr>
                      <w:color w:val="auto"/>
                      <w:sz w:val="21"/>
                      <w:szCs w:val="21"/>
                    </w:rPr>
                  </w:pPr>
                </w:p>
              </w:tc>
              <w:tc>
                <w:tcPr>
                  <w:tcW w:w="649" w:type="pct"/>
                  <w:vMerge w:val="continue"/>
                  <w:noWrap w:val="0"/>
                  <w:tcMar>
                    <w:left w:w="28" w:type="dxa"/>
                    <w:right w:w="28" w:type="dxa"/>
                  </w:tcMar>
                  <w:vAlign w:val="center"/>
                </w:tcPr>
                <w:p w14:paraId="56421CC7">
                  <w:pPr>
                    <w:spacing w:line="300" w:lineRule="exact"/>
                    <w:jc w:val="center"/>
                    <w:rPr>
                      <w:rFonts w:hint="eastAsia"/>
                      <w:color w:val="auto"/>
                      <w:sz w:val="21"/>
                      <w:szCs w:val="21"/>
                    </w:rPr>
                  </w:pPr>
                </w:p>
              </w:tc>
              <w:tc>
                <w:tcPr>
                  <w:tcW w:w="388" w:type="pct"/>
                  <w:vMerge w:val="continue"/>
                  <w:noWrap w:val="0"/>
                  <w:tcMar>
                    <w:left w:w="28" w:type="dxa"/>
                    <w:right w:w="28" w:type="dxa"/>
                  </w:tcMar>
                  <w:vAlign w:val="center"/>
                </w:tcPr>
                <w:p w14:paraId="12AD6C74">
                  <w:pPr>
                    <w:spacing w:line="300" w:lineRule="exact"/>
                    <w:jc w:val="center"/>
                    <w:rPr>
                      <w:color w:val="auto"/>
                      <w:sz w:val="21"/>
                      <w:szCs w:val="21"/>
                    </w:rPr>
                  </w:pPr>
                </w:p>
              </w:tc>
            </w:tr>
            <w:tr w14:paraId="7810D4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4981E77C">
                  <w:pPr>
                    <w:spacing w:line="300" w:lineRule="exact"/>
                    <w:jc w:val="center"/>
                    <w:rPr>
                      <w:color w:val="auto"/>
                      <w:sz w:val="21"/>
                      <w:szCs w:val="21"/>
                    </w:rPr>
                  </w:pPr>
                </w:p>
              </w:tc>
              <w:tc>
                <w:tcPr>
                  <w:tcW w:w="267" w:type="pct"/>
                  <w:vMerge w:val="continue"/>
                  <w:noWrap w:val="0"/>
                  <w:tcMar>
                    <w:left w:w="28" w:type="dxa"/>
                    <w:right w:w="28" w:type="dxa"/>
                  </w:tcMar>
                  <w:vAlign w:val="center"/>
                </w:tcPr>
                <w:p w14:paraId="7EB270F8">
                  <w:pPr>
                    <w:spacing w:line="300" w:lineRule="exact"/>
                    <w:jc w:val="center"/>
                    <w:rPr>
                      <w:color w:val="auto"/>
                      <w:sz w:val="21"/>
                      <w:szCs w:val="21"/>
                    </w:rPr>
                  </w:pPr>
                </w:p>
              </w:tc>
              <w:tc>
                <w:tcPr>
                  <w:tcW w:w="409" w:type="pct"/>
                  <w:vMerge w:val="restart"/>
                  <w:noWrap w:val="0"/>
                  <w:tcMar>
                    <w:left w:w="28" w:type="dxa"/>
                    <w:right w:w="28" w:type="dxa"/>
                  </w:tcMar>
                  <w:vAlign w:val="center"/>
                </w:tcPr>
                <w:p w14:paraId="4FFE80CD">
                  <w:pPr>
                    <w:spacing w:line="300" w:lineRule="exact"/>
                    <w:jc w:val="center"/>
                    <w:rPr>
                      <w:color w:val="auto"/>
                      <w:sz w:val="21"/>
                      <w:szCs w:val="21"/>
                    </w:rPr>
                  </w:pPr>
                  <w:r>
                    <w:rPr>
                      <w:color w:val="auto"/>
                      <w:sz w:val="21"/>
                      <w:szCs w:val="21"/>
                    </w:rPr>
                    <w:t>危险固废</w:t>
                  </w:r>
                </w:p>
              </w:tc>
              <w:tc>
                <w:tcPr>
                  <w:tcW w:w="723" w:type="pct"/>
                  <w:noWrap w:val="0"/>
                  <w:tcMar>
                    <w:left w:w="28" w:type="dxa"/>
                    <w:right w:w="28" w:type="dxa"/>
                  </w:tcMar>
                  <w:vAlign w:val="center"/>
                </w:tcPr>
                <w:p w14:paraId="32BEAD99">
                  <w:pPr>
                    <w:spacing w:line="300" w:lineRule="exact"/>
                    <w:jc w:val="center"/>
                    <w:rPr>
                      <w:rFonts w:hint="default"/>
                      <w:color w:val="auto"/>
                      <w:sz w:val="21"/>
                      <w:szCs w:val="21"/>
                      <w:lang w:val="en-US" w:eastAsia="zh-CN"/>
                    </w:rPr>
                  </w:pPr>
                  <w:r>
                    <w:rPr>
                      <w:rFonts w:hint="eastAsia"/>
                      <w:color w:val="auto"/>
                      <w:sz w:val="21"/>
                      <w:szCs w:val="21"/>
                      <w:lang w:val="en-US" w:eastAsia="zh-CN"/>
                    </w:rPr>
                    <w:t>废渣</w:t>
                  </w:r>
                </w:p>
              </w:tc>
              <w:tc>
                <w:tcPr>
                  <w:tcW w:w="1710" w:type="pct"/>
                  <w:vMerge w:val="continue"/>
                  <w:noWrap w:val="0"/>
                  <w:tcMar>
                    <w:left w:w="28" w:type="dxa"/>
                    <w:right w:w="28" w:type="dxa"/>
                  </w:tcMar>
                  <w:vAlign w:val="center"/>
                </w:tcPr>
                <w:p w14:paraId="35E73406">
                  <w:pPr>
                    <w:spacing w:line="300" w:lineRule="exact"/>
                    <w:jc w:val="center"/>
                    <w:rPr>
                      <w:color w:val="auto"/>
                      <w:sz w:val="21"/>
                      <w:szCs w:val="21"/>
                    </w:rPr>
                  </w:pPr>
                </w:p>
              </w:tc>
              <w:tc>
                <w:tcPr>
                  <w:tcW w:w="561" w:type="pct"/>
                  <w:vMerge w:val="continue"/>
                  <w:noWrap w:val="0"/>
                  <w:tcMar>
                    <w:left w:w="28" w:type="dxa"/>
                    <w:right w:w="28" w:type="dxa"/>
                  </w:tcMar>
                  <w:vAlign w:val="center"/>
                </w:tcPr>
                <w:p w14:paraId="3927C19B">
                  <w:pPr>
                    <w:spacing w:line="300" w:lineRule="exact"/>
                    <w:jc w:val="center"/>
                    <w:rPr>
                      <w:color w:val="auto"/>
                      <w:sz w:val="21"/>
                      <w:szCs w:val="21"/>
                    </w:rPr>
                  </w:pPr>
                </w:p>
              </w:tc>
              <w:tc>
                <w:tcPr>
                  <w:tcW w:w="649" w:type="pct"/>
                  <w:vMerge w:val="continue"/>
                  <w:noWrap w:val="0"/>
                  <w:tcMar>
                    <w:left w:w="28" w:type="dxa"/>
                    <w:right w:w="28" w:type="dxa"/>
                  </w:tcMar>
                  <w:vAlign w:val="center"/>
                </w:tcPr>
                <w:p w14:paraId="2545B879">
                  <w:pPr>
                    <w:spacing w:line="300" w:lineRule="exact"/>
                    <w:jc w:val="center"/>
                    <w:rPr>
                      <w:rFonts w:hint="eastAsia"/>
                      <w:color w:val="auto"/>
                      <w:sz w:val="21"/>
                      <w:szCs w:val="21"/>
                    </w:rPr>
                  </w:pPr>
                </w:p>
              </w:tc>
              <w:tc>
                <w:tcPr>
                  <w:tcW w:w="388" w:type="pct"/>
                  <w:vMerge w:val="continue"/>
                  <w:noWrap w:val="0"/>
                  <w:tcMar>
                    <w:left w:w="28" w:type="dxa"/>
                    <w:right w:w="28" w:type="dxa"/>
                  </w:tcMar>
                  <w:vAlign w:val="center"/>
                </w:tcPr>
                <w:p w14:paraId="713C690B">
                  <w:pPr>
                    <w:spacing w:line="300" w:lineRule="exact"/>
                    <w:jc w:val="center"/>
                    <w:rPr>
                      <w:color w:val="auto"/>
                      <w:sz w:val="21"/>
                      <w:szCs w:val="21"/>
                    </w:rPr>
                  </w:pPr>
                </w:p>
              </w:tc>
            </w:tr>
            <w:tr w14:paraId="3D54BF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601C12BF">
                  <w:pPr>
                    <w:spacing w:line="300" w:lineRule="exact"/>
                    <w:jc w:val="center"/>
                    <w:rPr>
                      <w:color w:val="auto"/>
                      <w:sz w:val="21"/>
                      <w:szCs w:val="21"/>
                    </w:rPr>
                  </w:pPr>
                </w:p>
              </w:tc>
              <w:tc>
                <w:tcPr>
                  <w:tcW w:w="267" w:type="pct"/>
                  <w:vMerge w:val="continue"/>
                  <w:noWrap w:val="0"/>
                  <w:tcMar>
                    <w:left w:w="28" w:type="dxa"/>
                    <w:right w:w="28" w:type="dxa"/>
                  </w:tcMar>
                  <w:vAlign w:val="center"/>
                </w:tcPr>
                <w:p w14:paraId="15865880">
                  <w:pPr>
                    <w:spacing w:line="300" w:lineRule="exact"/>
                    <w:jc w:val="center"/>
                    <w:rPr>
                      <w:color w:val="auto"/>
                      <w:sz w:val="21"/>
                      <w:szCs w:val="21"/>
                    </w:rPr>
                  </w:pPr>
                </w:p>
              </w:tc>
              <w:tc>
                <w:tcPr>
                  <w:tcW w:w="409" w:type="pct"/>
                  <w:vMerge w:val="continue"/>
                  <w:noWrap w:val="0"/>
                  <w:tcMar>
                    <w:left w:w="28" w:type="dxa"/>
                    <w:right w:w="28" w:type="dxa"/>
                  </w:tcMar>
                  <w:vAlign w:val="center"/>
                </w:tcPr>
                <w:p w14:paraId="716419F5">
                  <w:pPr>
                    <w:spacing w:line="300" w:lineRule="exact"/>
                    <w:jc w:val="center"/>
                    <w:rPr>
                      <w:color w:val="auto"/>
                      <w:sz w:val="21"/>
                      <w:szCs w:val="21"/>
                    </w:rPr>
                  </w:pPr>
                </w:p>
              </w:tc>
              <w:tc>
                <w:tcPr>
                  <w:tcW w:w="723" w:type="pct"/>
                  <w:noWrap w:val="0"/>
                  <w:tcMar>
                    <w:left w:w="28" w:type="dxa"/>
                    <w:right w:w="28" w:type="dxa"/>
                  </w:tcMar>
                  <w:vAlign w:val="center"/>
                </w:tcPr>
                <w:p w14:paraId="61FEE646">
                  <w:pPr>
                    <w:spacing w:line="300" w:lineRule="exact"/>
                    <w:jc w:val="center"/>
                    <w:rPr>
                      <w:rFonts w:hint="eastAsia" w:eastAsia="宋体"/>
                      <w:color w:val="auto"/>
                      <w:sz w:val="21"/>
                      <w:szCs w:val="21"/>
                      <w:lang w:val="en-US" w:eastAsia="zh-CN"/>
                    </w:rPr>
                  </w:pPr>
                  <w:r>
                    <w:rPr>
                      <w:rFonts w:hint="eastAsia"/>
                      <w:color w:val="auto"/>
                      <w:sz w:val="21"/>
                      <w:szCs w:val="21"/>
                    </w:rPr>
                    <w:t>废</w:t>
                  </w:r>
                  <w:r>
                    <w:rPr>
                      <w:rFonts w:hint="eastAsia"/>
                      <w:color w:val="auto"/>
                      <w:sz w:val="21"/>
                      <w:szCs w:val="21"/>
                      <w:lang w:val="en-US" w:eastAsia="zh-CN"/>
                    </w:rPr>
                    <w:t>试剂瓶</w:t>
                  </w:r>
                </w:p>
              </w:tc>
              <w:tc>
                <w:tcPr>
                  <w:tcW w:w="1710" w:type="pct"/>
                  <w:vMerge w:val="restart"/>
                  <w:noWrap w:val="0"/>
                  <w:tcMar>
                    <w:left w:w="28" w:type="dxa"/>
                    <w:right w:w="28" w:type="dxa"/>
                  </w:tcMar>
                  <w:vAlign w:val="center"/>
                </w:tcPr>
                <w:p w14:paraId="6F909D54">
                  <w:pPr>
                    <w:spacing w:line="300" w:lineRule="exact"/>
                    <w:jc w:val="center"/>
                    <w:rPr>
                      <w:color w:val="auto"/>
                      <w:sz w:val="21"/>
                      <w:szCs w:val="21"/>
                    </w:rPr>
                  </w:pPr>
                  <w:r>
                    <w:rPr>
                      <w:rFonts w:hint="eastAsia"/>
                      <w:color w:val="auto"/>
                      <w:sz w:val="21"/>
                      <w:szCs w:val="21"/>
                      <w:lang w:val="en-US" w:eastAsia="zh-CN"/>
                    </w:rPr>
                    <w:t>委托</w:t>
                  </w:r>
                  <w:r>
                    <w:rPr>
                      <w:color w:val="auto"/>
                      <w:sz w:val="21"/>
                      <w:szCs w:val="21"/>
                    </w:rPr>
                    <w:t>有资质单位处理</w:t>
                  </w:r>
                </w:p>
              </w:tc>
              <w:tc>
                <w:tcPr>
                  <w:tcW w:w="561" w:type="pct"/>
                  <w:vMerge w:val="continue"/>
                  <w:noWrap w:val="0"/>
                  <w:tcMar>
                    <w:left w:w="28" w:type="dxa"/>
                    <w:right w:w="28" w:type="dxa"/>
                  </w:tcMar>
                  <w:vAlign w:val="center"/>
                </w:tcPr>
                <w:p w14:paraId="4D0E5CD4">
                  <w:pPr>
                    <w:spacing w:line="300" w:lineRule="exact"/>
                    <w:jc w:val="center"/>
                    <w:rPr>
                      <w:color w:val="auto"/>
                      <w:sz w:val="21"/>
                      <w:szCs w:val="21"/>
                    </w:rPr>
                  </w:pPr>
                </w:p>
              </w:tc>
              <w:tc>
                <w:tcPr>
                  <w:tcW w:w="649" w:type="pct"/>
                  <w:vMerge w:val="continue"/>
                  <w:noWrap w:val="0"/>
                  <w:tcMar>
                    <w:left w:w="28" w:type="dxa"/>
                    <w:right w:w="28" w:type="dxa"/>
                  </w:tcMar>
                  <w:vAlign w:val="center"/>
                </w:tcPr>
                <w:p w14:paraId="65F0C6EC">
                  <w:pPr>
                    <w:spacing w:line="300" w:lineRule="exact"/>
                    <w:jc w:val="center"/>
                    <w:rPr>
                      <w:color w:val="auto"/>
                      <w:sz w:val="21"/>
                      <w:szCs w:val="21"/>
                    </w:rPr>
                  </w:pPr>
                </w:p>
              </w:tc>
              <w:tc>
                <w:tcPr>
                  <w:tcW w:w="388" w:type="pct"/>
                  <w:vMerge w:val="continue"/>
                  <w:noWrap w:val="0"/>
                  <w:tcMar>
                    <w:left w:w="28" w:type="dxa"/>
                    <w:right w:w="28" w:type="dxa"/>
                  </w:tcMar>
                  <w:vAlign w:val="center"/>
                </w:tcPr>
                <w:p w14:paraId="63863BFC">
                  <w:pPr>
                    <w:spacing w:line="300" w:lineRule="exact"/>
                    <w:jc w:val="center"/>
                    <w:rPr>
                      <w:color w:val="auto"/>
                      <w:sz w:val="21"/>
                      <w:szCs w:val="21"/>
                    </w:rPr>
                  </w:pPr>
                </w:p>
              </w:tc>
            </w:tr>
            <w:tr w14:paraId="67F94B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44BF090A">
                  <w:pPr>
                    <w:spacing w:line="300" w:lineRule="exact"/>
                    <w:jc w:val="center"/>
                    <w:rPr>
                      <w:color w:val="auto"/>
                      <w:sz w:val="21"/>
                      <w:szCs w:val="21"/>
                    </w:rPr>
                  </w:pPr>
                </w:p>
              </w:tc>
              <w:tc>
                <w:tcPr>
                  <w:tcW w:w="267" w:type="pct"/>
                  <w:vMerge w:val="continue"/>
                  <w:noWrap w:val="0"/>
                  <w:tcMar>
                    <w:left w:w="28" w:type="dxa"/>
                    <w:right w:w="28" w:type="dxa"/>
                  </w:tcMar>
                  <w:vAlign w:val="center"/>
                </w:tcPr>
                <w:p w14:paraId="4DC282A6">
                  <w:pPr>
                    <w:spacing w:line="300" w:lineRule="exact"/>
                    <w:jc w:val="center"/>
                    <w:rPr>
                      <w:color w:val="auto"/>
                      <w:sz w:val="21"/>
                      <w:szCs w:val="21"/>
                    </w:rPr>
                  </w:pPr>
                </w:p>
              </w:tc>
              <w:tc>
                <w:tcPr>
                  <w:tcW w:w="409" w:type="pct"/>
                  <w:vMerge w:val="continue"/>
                  <w:noWrap w:val="0"/>
                  <w:tcMar>
                    <w:left w:w="28" w:type="dxa"/>
                    <w:right w:w="28" w:type="dxa"/>
                  </w:tcMar>
                  <w:vAlign w:val="center"/>
                </w:tcPr>
                <w:p w14:paraId="105506CD">
                  <w:pPr>
                    <w:spacing w:line="300" w:lineRule="exact"/>
                    <w:jc w:val="center"/>
                    <w:rPr>
                      <w:color w:val="auto"/>
                      <w:sz w:val="21"/>
                      <w:szCs w:val="21"/>
                    </w:rPr>
                  </w:pPr>
                </w:p>
              </w:tc>
              <w:tc>
                <w:tcPr>
                  <w:tcW w:w="723" w:type="pct"/>
                  <w:noWrap w:val="0"/>
                  <w:tcMar>
                    <w:left w:w="28" w:type="dxa"/>
                    <w:right w:w="28" w:type="dxa"/>
                  </w:tcMar>
                  <w:vAlign w:val="center"/>
                </w:tcPr>
                <w:p w14:paraId="1292E6E7">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废液</w:t>
                  </w:r>
                </w:p>
              </w:tc>
              <w:tc>
                <w:tcPr>
                  <w:tcW w:w="1710" w:type="pct"/>
                  <w:vMerge w:val="continue"/>
                  <w:noWrap w:val="0"/>
                  <w:tcMar>
                    <w:left w:w="28" w:type="dxa"/>
                    <w:right w:w="28" w:type="dxa"/>
                  </w:tcMar>
                  <w:vAlign w:val="center"/>
                </w:tcPr>
                <w:p w14:paraId="3AED1C47">
                  <w:pPr>
                    <w:spacing w:line="300" w:lineRule="exact"/>
                    <w:jc w:val="center"/>
                    <w:rPr>
                      <w:color w:val="auto"/>
                      <w:sz w:val="21"/>
                      <w:szCs w:val="21"/>
                    </w:rPr>
                  </w:pPr>
                </w:p>
              </w:tc>
              <w:tc>
                <w:tcPr>
                  <w:tcW w:w="561" w:type="pct"/>
                  <w:vMerge w:val="continue"/>
                  <w:noWrap w:val="0"/>
                  <w:tcMar>
                    <w:left w:w="28" w:type="dxa"/>
                    <w:right w:w="28" w:type="dxa"/>
                  </w:tcMar>
                  <w:vAlign w:val="center"/>
                </w:tcPr>
                <w:p w14:paraId="27E545C0">
                  <w:pPr>
                    <w:spacing w:line="300" w:lineRule="exact"/>
                    <w:jc w:val="center"/>
                    <w:rPr>
                      <w:color w:val="auto"/>
                      <w:sz w:val="21"/>
                      <w:szCs w:val="21"/>
                    </w:rPr>
                  </w:pPr>
                </w:p>
              </w:tc>
              <w:tc>
                <w:tcPr>
                  <w:tcW w:w="649" w:type="pct"/>
                  <w:vMerge w:val="continue"/>
                  <w:noWrap w:val="0"/>
                  <w:tcMar>
                    <w:left w:w="28" w:type="dxa"/>
                    <w:right w:w="28" w:type="dxa"/>
                  </w:tcMar>
                  <w:vAlign w:val="center"/>
                </w:tcPr>
                <w:p w14:paraId="48596E11">
                  <w:pPr>
                    <w:spacing w:line="300" w:lineRule="exact"/>
                    <w:jc w:val="center"/>
                    <w:rPr>
                      <w:color w:val="auto"/>
                      <w:sz w:val="21"/>
                      <w:szCs w:val="21"/>
                    </w:rPr>
                  </w:pPr>
                </w:p>
              </w:tc>
              <w:tc>
                <w:tcPr>
                  <w:tcW w:w="388" w:type="pct"/>
                  <w:vMerge w:val="continue"/>
                  <w:noWrap w:val="0"/>
                  <w:tcMar>
                    <w:left w:w="28" w:type="dxa"/>
                    <w:right w:w="28" w:type="dxa"/>
                  </w:tcMar>
                  <w:vAlign w:val="center"/>
                </w:tcPr>
                <w:p w14:paraId="1ED56E9E">
                  <w:pPr>
                    <w:spacing w:line="300" w:lineRule="exact"/>
                    <w:jc w:val="center"/>
                    <w:rPr>
                      <w:color w:val="auto"/>
                      <w:sz w:val="21"/>
                      <w:szCs w:val="21"/>
                    </w:rPr>
                  </w:pPr>
                </w:p>
              </w:tc>
            </w:tr>
            <w:tr w14:paraId="1BBF05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7D4F92EC">
                  <w:pPr>
                    <w:spacing w:line="300" w:lineRule="exact"/>
                    <w:jc w:val="center"/>
                    <w:rPr>
                      <w:color w:val="auto"/>
                      <w:sz w:val="21"/>
                      <w:szCs w:val="21"/>
                    </w:rPr>
                  </w:pPr>
                </w:p>
              </w:tc>
              <w:tc>
                <w:tcPr>
                  <w:tcW w:w="267" w:type="pct"/>
                  <w:vMerge w:val="continue"/>
                  <w:noWrap w:val="0"/>
                  <w:tcMar>
                    <w:left w:w="28" w:type="dxa"/>
                    <w:right w:w="28" w:type="dxa"/>
                  </w:tcMar>
                  <w:vAlign w:val="center"/>
                </w:tcPr>
                <w:p w14:paraId="72728B54">
                  <w:pPr>
                    <w:spacing w:line="300" w:lineRule="exact"/>
                    <w:jc w:val="center"/>
                    <w:rPr>
                      <w:color w:val="auto"/>
                      <w:sz w:val="21"/>
                      <w:szCs w:val="21"/>
                    </w:rPr>
                  </w:pPr>
                </w:p>
              </w:tc>
              <w:tc>
                <w:tcPr>
                  <w:tcW w:w="409" w:type="pct"/>
                  <w:vMerge w:val="continue"/>
                  <w:noWrap w:val="0"/>
                  <w:tcMar>
                    <w:left w:w="28" w:type="dxa"/>
                    <w:right w:w="28" w:type="dxa"/>
                  </w:tcMar>
                  <w:vAlign w:val="center"/>
                </w:tcPr>
                <w:p w14:paraId="765110D9">
                  <w:pPr>
                    <w:spacing w:line="300" w:lineRule="exact"/>
                    <w:jc w:val="center"/>
                    <w:rPr>
                      <w:color w:val="auto"/>
                      <w:sz w:val="21"/>
                      <w:szCs w:val="21"/>
                    </w:rPr>
                  </w:pPr>
                </w:p>
              </w:tc>
              <w:tc>
                <w:tcPr>
                  <w:tcW w:w="723" w:type="pct"/>
                  <w:noWrap w:val="0"/>
                  <w:tcMar>
                    <w:left w:w="28" w:type="dxa"/>
                    <w:right w:w="28" w:type="dxa"/>
                  </w:tcMar>
                  <w:vAlign w:val="center"/>
                </w:tcPr>
                <w:p w14:paraId="02EFB04C">
                  <w:pPr>
                    <w:spacing w:line="300" w:lineRule="exact"/>
                    <w:jc w:val="center"/>
                    <w:rPr>
                      <w:rFonts w:hint="default"/>
                      <w:color w:val="auto"/>
                      <w:sz w:val="21"/>
                      <w:szCs w:val="21"/>
                      <w:lang w:val="en-US" w:eastAsia="zh-CN"/>
                    </w:rPr>
                  </w:pPr>
                  <w:r>
                    <w:rPr>
                      <w:rFonts w:hint="eastAsia"/>
                      <w:color w:val="auto"/>
                      <w:sz w:val="21"/>
                      <w:szCs w:val="21"/>
                      <w:lang w:val="en-US" w:eastAsia="zh-CN"/>
                    </w:rPr>
                    <w:t>废活性炭</w:t>
                  </w:r>
                </w:p>
              </w:tc>
              <w:tc>
                <w:tcPr>
                  <w:tcW w:w="1710" w:type="pct"/>
                  <w:vMerge w:val="continue"/>
                  <w:noWrap w:val="0"/>
                  <w:tcMar>
                    <w:left w:w="28" w:type="dxa"/>
                    <w:right w:w="28" w:type="dxa"/>
                  </w:tcMar>
                  <w:vAlign w:val="center"/>
                </w:tcPr>
                <w:p w14:paraId="7142317C">
                  <w:pPr>
                    <w:spacing w:line="300" w:lineRule="exact"/>
                    <w:jc w:val="center"/>
                    <w:rPr>
                      <w:color w:val="auto"/>
                      <w:sz w:val="21"/>
                      <w:szCs w:val="21"/>
                    </w:rPr>
                  </w:pPr>
                </w:p>
              </w:tc>
              <w:tc>
                <w:tcPr>
                  <w:tcW w:w="561" w:type="pct"/>
                  <w:vMerge w:val="continue"/>
                  <w:noWrap w:val="0"/>
                  <w:tcMar>
                    <w:left w:w="28" w:type="dxa"/>
                    <w:right w:w="28" w:type="dxa"/>
                  </w:tcMar>
                  <w:vAlign w:val="center"/>
                </w:tcPr>
                <w:p w14:paraId="1265C988">
                  <w:pPr>
                    <w:spacing w:line="300" w:lineRule="exact"/>
                    <w:jc w:val="center"/>
                    <w:rPr>
                      <w:color w:val="auto"/>
                      <w:sz w:val="21"/>
                      <w:szCs w:val="21"/>
                    </w:rPr>
                  </w:pPr>
                </w:p>
              </w:tc>
              <w:tc>
                <w:tcPr>
                  <w:tcW w:w="649" w:type="pct"/>
                  <w:vMerge w:val="continue"/>
                  <w:noWrap w:val="0"/>
                  <w:tcMar>
                    <w:left w:w="28" w:type="dxa"/>
                    <w:right w:w="28" w:type="dxa"/>
                  </w:tcMar>
                  <w:vAlign w:val="center"/>
                </w:tcPr>
                <w:p w14:paraId="619F5DA2">
                  <w:pPr>
                    <w:spacing w:line="300" w:lineRule="exact"/>
                    <w:jc w:val="center"/>
                    <w:rPr>
                      <w:color w:val="auto"/>
                      <w:sz w:val="21"/>
                      <w:szCs w:val="21"/>
                    </w:rPr>
                  </w:pPr>
                </w:p>
              </w:tc>
              <w:tc>
                <w:tcPr>
                  <w:tcW w:w="388" w:type="pct"/>
                  <w:vMerge w:val="continue"/>
                  <w:noWrap w:val="0"/>
                  <w:tcMar>
                    <w:left w:w="28" w:type="dxa"/>
                    <w:right w:w="28" w:type="dxa"/>
                  </w:tcMar>
                  <w:vAlign w:val="center"/>
                </w:tcPr>
                <w:p w14:paraId="1E2BFF3D">
                  <w:pPr>
                    <w:spacing w:line="300" w:lineRule="exact"/>
                    <w:jc w:val="center"/>
                    <w:rPr>
                      <w:color w:val="auto"/>
                      <w:sz w:val="21"/>
                      <w:szCs w:val="21"/>
                    </w:rPr>
                  </w:pPr>
                </w:p>
              </w:tc>
            </w:tr>
            <w:tr w14:paraId="01A5AF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89" w:type="pct"/>
                  <w:vMerge w:val="continue"/>
                  <w:noWrap w:val="0"/>
                  <w:tcMar>
                    <w:left w:w="28" w:type="dxa"/>
                    <w:right w:w="28" w:type="dxa"/>
                  </w:tcMar>
                  <w:vAlign w:val="center"/>
                </w:tcPr>
                <w:p w14:paraId="41409831">
                  <w:pPr>
                    <w:spacing w:line="300" w:lineRule="exact"/>
                    <w:jc w:val="center"/>
                    <w:rPr>
                      <w:color w:val="auto"/>
                      <w:sz w:val="21"/>
                      <w:szCs w:val="21"/>
                    </w:rPr>
                  </w:pPr>
                </w:p>
              </w:tc>
              <w:tc>
                <w:tcPr>
                  <w:tcW w:w="267" w:type="pct"/>
                  <w:noWrap w:val="0"/>
                  <w:tcMar>
                    <w:left w:w="28" w:type="dxa"/>
                    <w:right w:w="28" w:type="dxa"/>
                  </w:tcMar>
                  <w:vAlign w:val="center"/>
                </w:tcPr>
                <w:p w14:paraId="5E392802">
                  <w:pPr>
                    <w:spacing w:line="300" w:lineRule="exact"/>
                    <w:jc w:val="center"/>
                    <w:rPr>
                      <w:color w:val="auto"/>
                      <w:sz w:val="21"/>
                      <w:szCs w:val="21"/>
                    </w:rPr>
                  </w:pPr>
                  <w:r>
                    <w:rPr>
                      <w:color w:val="auto"/>
                      <w:sz w:val="21"/>
                      <w:szCs w:val="21"/>
                    </w:rPr>
                    <w:t>生活</w:t>
                  </w:r>
                </w:p>
              </w:tc>
              <w:tc>
                <w:tcPr>
                  <w:tcW w:w="1133" w:type="pct"/>
                  <w:gridSpan w:val="2"/>
                  <w:noWrap w:val="0"/>
                  <w:tcMar>
                    <w:left w:w="28" w:type="dxa"/>
                    <w:right w:w="28" w:type="dxa"/>
                  </w:tcMar>
                  <w:vAlign w:val="center"/>
                </w:tcPr>
                <w:p w14:paraId="4F827736">
                  <w:pPr>
                    <w:spacing w:line="300" w:lineRule="exact"/>
                    <w:jc w:val="center"/>
                    <w:rPr>
                      <w:color w:val="auto"/>
                      <w:sz w:val="21"/>
                      <w:szCs w:val="21"/>
                    </w:rPr>
                  </w:pPr>
                  <w:r>
                    <w:rPr>
                      <w:color w:val="auto"/>
                      <w:sz w:val="21"/>
                      <w:szCs w:val="21"/>
                    </w:rPr>
                    <w:t>生活垃圾</w:t>
                  </w:r>
                </w:p>
              </w:tc>
              <w:tc>
                <w:tcPr>
                  <w:tcW w:w="1710" w:type="pct"/>
                  <w:noWrap w:val="0"/>
                  <w:tcMar>
                    <w:left w:w="28" w:type="dxa"/>
                    <w:right w:w="28" w:type="dxa"/>
                  </w:tcMar>
                  <w:vAlign w:val="center"/>
                </w:tcPr>
                <w:p w14:paraId="31DAB182">
                  <w:pPr>
                    <w:spacing w:line="300" w:lineRule="exact"/>
                    <w:jc w:val="center"/>
                    <w:rPr>
                      <w:color w:val="auto"/>
                      <w:sz w:val="21"/>
                      <w:szCs w:val="21"/>
                    </w:rPr>
                  </w:pPr>
                  <w:r>
                    <w:rPr>
                      <w:color w:val="auto"/>
                      <w:sz w:val="21"/>
                      <w:szCs w:val="21"/>
                    </w:rPr>
                    <w:t>环卫部门清运</w:t>
                  </w:r>
                </w:p>
              </w:tc>
              <w:tc>
                <w:tcPr>
                  <w:tcW w:w="561" w:type="pct"/>
                  <w:vMerge w:val="continue"/>
                  <w:noWrap w:val="0"/>
                  <w:tcMar>
                    <w:left w:w="28" w:type="dxa"/>
                    <w:right w:w="28" w:type="dxa"/>
                  </w:tcMar>
                  <w:vAlign w:val="center"/>
                </w:tcPr>
                <w:p w14:paraId="4CF47973">
                  <w:pPr>
                    <w:spacing w:line="300" w:lineRule="exact"/>
                    <w:jc w:val="center"/>
                    <w:rPr>
                      <w:color w:val="auto"/>
                      <w:spacing w:val="-10"/>
                      <w:sz w:val="21"/>
                      <w:szCs w:val="21"/>
                    </w:rPr>
                  </w:pPr>
                </w:p>
              </w:tc>
              <w:tc>
                <w:tcPr>
                  <w:tcW w:w="649" w:type="pct"/>
                  <w:vMerge w:val="continue"/>
                  <w:noWrap w:val="0"/>
                  <w:tcMar>
                    <w:left w:w="28" w:type="dxa"/>
                    <w:right w:w="28" w:type="dxa"/>
                  </w:tcMar>
                  <w:vAlign w:val="center"/>
                </w:tcPr>
                <w:p w14:paraId="4345050C">
                  <w:pPr>
                    <w:spacing w:line="300" w:lineRule="exact"/>
                    <w:jc w:val="center"/>
                    <w:rPr>
                      <w:color w:val="auto"/>
                      <w:sz w:val="21"/>
                      <w:szCs w:val="21"/>
                    </w:rPr>
                  </w:pPr>
                </w:p>
              </w:tc>
              <w:tc>
                <w:tcPr>
                  <w:tcW w:w="388" w:type="pct"/>
                  <w:vMerge w:val="continue"/>
                  <w:noWrap w:val="0"/>
                  <w:tcMar>
                    <w:left w:w="28" w:type="dxa"/>
                    <w:right w:w="28" w:type="dxa"/>
                  </w:tcMar>
                  <w:vAlign w:val="center"/>
                </w:tcPr>
                <w:p w14:paraId="423082CF">
                  <w:pPr>
                    <w:spacing w:line="300" w:lineRule="exact"/>
                    <w:jc w:val="center"/>
                    <w:rPr>
                      <w:color w:val="auto"/>
                      <w:sz w:val="21"/>
                      <w:szCs w:val="21"/>
                    </w:rPr>
                  </w:pPr>
                </w:p>
              </w:tc>
            </w:tr>
            <w:tr w14:paraId="7353C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6" w:hRule="atLeast"/>
              </w:trPr>
              <w:tc>
                <w:tcPr>
                  <w:tcW w:w="1690" w:type="pct"/>
                  <w:gridSpan w:val="4"/>
                  <w:noWrap w:val="0"/>
                  <w:tcMar>
                    <w:left w:w="28" w:type="dxa"/>
                    <w:right w:w="28" w:type="dxa"/>
                  </w:tcMar>
                  <w:vAlign w:val="center"/>
                </w:tcPr>
                <w:p w14:paraId="3CE8B836">
                  <w:pPr>
                    <w:spacing w:line="300" w:lineRule="exact"/>
                    <w:jc w:val="center"/>
                    <w:rPr>
                      <w:color w:val="auto"/>
                      <w:sz w:val="21"/>
                      <w:szCs w:val="21"/>
                    </w:rPr>
                  </w:pPr>
                  <w:r>
                    <w:rPr>
                      <w:color w:val="auto"/>
                      <w:sz w:val="21"/>
                      <w:szCs w:val="21"/>
                    </w:rPr>
                    <w:t>风险防范及应急预案</w:t>
                  </w:r>
                </w:p>
              </w:tc>
              <w:tc>
                <w:tcPr>
                  <w:tcW w:w="2271" w:type="pct"/>
                  <w:gridSpan w:val="2"/>
                  <w:noWrap w:val="0"/>
                  <w:tcMar>
                    <w:left w:w="28" w:type="dxa"/>
                    <w:right w:w="28" w:type="dxa"/>
                  </w:tcMar>
                  <w:vAlign w:val="center"/>
                </w:tcPr>
                <w:p w14:paraId="2395C46F">
                  <w:pPr>
                    <w:spacing w:line="300" w:lineRule="exact"/>
                    <w:jc w:val="center"/>
                    <w:rPr>
                      <w:color w:val="auto"/>
                      <w:sz w:val="21"/>
                      <w:szCs w:val="21"/>
                    </w:rPr>
                  </w:pPr>
                  <w:r>
                    <w:rPr>
                      <w:color w:val="auto"/>
                      <w:sz w:val="21"/>
                      <w:szCs w:val="21"/>
                    </w:rPr>
                    <w:t>委托专业单位</w:t>
                  </w:r>
                  <w:r>
                    <w:rPr>
                      <w:rFonts w:hint="eastAsia"/>
                      <w:color w:val="auto"/>
                      <w:sz w:val="21"/>
                      <w:szCs w:val="21"/>
                    </w:rPr>
                    <w:t>更新</w:t>
                  </w:r>
                  <w:r>
                    <w:rPr>
                      <w:color w:val="auto"/>
                      <w:sz w:val="21"/>
                      <w:szCs w:val="21"/>
                    </w:rPr>
                    <w:t>突发环境事件应急预案及风险评估报告</w:t>
                  </w:r>
                </w:p>
              </w:tc>
              <w:tc>
                <w:tcPr>
                  <w:tcW w:w="649" w:type="pct"/>
                  <w:noWrap w:val="0"/>
                  <w:tcMar>
                    <w:left w:w="28" w:type="dxa"/>
                    <w:right w:w="28" w:type="dxa"/>
                  </w:tcMar>
                  <w:vAlign w:val="center"/>
                </w:tcPr>
                <w:p w14:paraId="1FFA6226">
                  <w:pPr>
                    <w:spacing w:line="300" w:lineRule="exact"/>
                    <w:jc w:val="center"/>
                    <w:rPr>
                      <w:rFonts w:hint="eastAsia"/>
                      <w:color w:val="auto"/>
                      <w:sz w:val="21"/>
                      <w:szCs w:val="21"/>
                    </w:rPr>
                  </w:pPr>
                  <w:r>
                    <w:rPr>
                      <w:rFonts w:hint="eastAsia"/>
                      <w:color w:val="auto"/>
                      <w:sz w:val="21"/>
                      <w:szCs w:val="21"/>
                    </w:rPr>
                    <w:t>2</w:t>
                  </w:r>
                </w:p>
              </w:tc>
              <w:tc>
                <w:tcPr>
                  <w:tcW w:w="388" w:type="pct"/>
                  <w:vMerge w:val="continue"/>
                  <w:noWrap w:val="0"/>
                  <w:tcMar>
                    <w:left w:w="28" w:type="dxa"/>
                    <w:right w:w="28" w:type="dxa"/>
                  </w:tcMar>
                  <w:vAlign w:val="center"/>
                </w:tcPr>
                <w:p w14:paraId="74D1B9D3">
                  <w:pPr>
                    <w:spacing w:line="300" w:lineRule="exact"/>
                    <w:jc w:val="center"/>
                    <w:rPr>
                      <w:color w:val="auto"/>
                      <w:sz w:val="21"/>
                      <w:szCs w:val="21"/>
                    </w:rPr>
                  </w:pPr>
                </w:p>
              </w:tc>
            </w:tr>
            <w:tr w14:paraId="0EC6EA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90" w:type="pct"/>
                  <w:gridSpan w:val="4"/>
                  <w:noWrap w:val="0"/>
                  <w:tcMar>
                    <w:left w:w="28" w:type="dxa"/>
                    <w:right w:w="28" w:type="dxa"/>
                  </w:tcMar>
                  <w:vAlign w:val="center"/>
                </w:tcPr>
                <w:p w14:paraId="0BDCB5AC">
                  <w:pPr>
                    <w:spacing w:line="300" w:lineRule="exact"/>
                    <w:jc w:val="center"/>
                    <w:rPr>
                      <w:color w:val="auto"/>
                      <w:sz w:val="21"/>
                      <w:szCs w:val="21"/>
                    </w:rPr>
                  </w:pPr>
                  <w:r>
                    <w:rPr>
                      <w:color w:val="auto"/>
                      <w:sz w:val="21"/>
                      <w:szCs w:val="21"/>
                    </w:rPr>
                    <w:t>事故应急措施</w:t>
                  </w:r>
                </w:p>
              </w:tc>
              <w:tc>
                <w:tcPr>
                  <w:tcW w:w="2271" w:type="pct"/>
                  <w:gridSpan w:val="2"/>
                  <w:noWrap w:val="0"/>
                  <w:tcMar>
                    <w:left w:w="28" w:type="dxa"/>
                    <w:right w:w="28" w:type="dxa"/>
                  </w:tcMar>
                  <w:vAlign w:val="center"/>
                </w:tcPr>
                <w:p w14:paraId="7137147C">
                  <w:pPr>
                    <w:spacing w:line="300" w:lineRule="exact"/>
                    <w:jc w:val="center"/>
                    <w:rPr>
                      <w:rFonts w:hint="default" w:eastAsia="宋体"/>
                      <w:color w:val="auto"/>
                      <w:sz w:val="21"/>
                      <w:szCs w:val="21"/>
                      <w:lang w:val="en-US" w:eastAsia="zh-CN"/>
                    </w:rPr>
                  </w:pPr>
                  <w:r>
                    <w:rPr>
                      <w:rFonts w:hint="eastAsia"/>
                      <w:color w:val="auto"/>
                      <w:kern w:val="0"/>
                      <w:sz w:val="21"/>
                      <w:szCs w:val="21"/>
                    </w:rPr>
                    <w:t>依托</w:t>
                  </w:r>
                  <w:r>
                    <w:rPr>
                      <w:rFonts w:hint="eastAsia"/>
                      <w:color w:val="auto"/>
                      <w:kern w:val="0"/>
                      <w:sz w:val="21"/>
                      <w:szCs w:val="21"/>
                      <w:lang w:val="en-US" w:eastAsia="zh-CN"/>
                    </w:rPr>
                    <w:t>园区已建事故应急池</w:t>
                  </w:r>
                  <w:r>
                    <w:rPr>
                      <w:rFonts w:hint="eastAsia"/>
                      <w:color w:val="auto"/>
                      <w:sz w:val="21"/>
                      <w:szCs w:val="21"/>
                      <w:lang w:val="en-US" w:eastAsia="zh-CN"/>
                    </w:rPr>
                    <w:t>1832.2</w:t>
                  </w:r>
                  <w:r>
                    <w:rPr>
                      <w:rFonts w:hint="eastAsia"/>
                      <w:color w:val="auto"/>
                      <w:sz w:val="21"/>
                      <w:szCs w:val="21"/>
                    </w:rPr>
                    <w:t>m</w:t>
                  </w:r>
                  <w:r>
                    <w:rPr>
                      <w:rFonts w:hint="eastAsia" w:ascii="Times New Roman" w:hAnsi="Times New Roman" w:cs="Times New Roman"/>
                      <w:color w:val="auto"/>
                      <w:sz w:val="21"/>
                      <w:szCs w:val="21"/>
                      <w:vertAlign w:val="superscript"/>
                    </w:rPr>
                    <w:t>3</w:t>
                  </w:r>
                </w:p>
              </w:tc>
              <w:tc>
                <w:tcPr>
                  <w:tcW w:w="649" w:type="pct"/>
                  <w:noWrap w:val="0"/>
                  <w:tcMar>
                    <w:left w:w="28" w:type="dxa"/>
                    <w:right w:w="28" w:type="dxa"/>
                  </w:tcMar>
                  <w:vAlign w:val="center"/>
                </w:tcPr>
                <w:p w14:paraId="15415126">
                  <w:pPr>
                    <w:spacing w:line="300" w:lineRule="exact"/>
                    <w:jc w:val="center"/>
                    <w:rPr>
                      <w:color w:val="auto"/>
                      <w:sz w:val="21"/>
                      <w:szCs w:val="21"/>
                    </w:rPr>
                  </w:pPr>
                  <w:r>
                    <w:rPr>
                      <w:color w:val="auto"/>
                      <w:sz w:val="21"/>
                      <w:szCs w:val="21"/>
                    </w:rPr>
                    <w:t>/</w:t>
                  </w:r>
                </w:p>
              </w:tc>
              <w:tc>
                <w:tcPr>
                  <w:tcW w:w="388" w:type="pct"/>
                  <w:vMerge w:val="continue"/>
                  <w:noWrap w:val="0"/>
                  <w:tcMar>
                    <w:left w:w="28" w:type="dxa"/>
                    <w:right w:w="28" w:type="dxa"/>
                  </w:tcMar>
                  <w:vAlign w:val="center"/>
                </w:tcPr>
                <w:p w14:paraId="7BADE7B6">
                  <w:pPr>
                    <w:spacing w:line="300" w:lineRule="exact"/>
                    <w:jc w:val="center"/>
                    <w:rPr>
                      <w:color w:val="auto"/>
                      <w:sz w:val="21"/>
                      <w:szCs w:val="21"/>
                    </w:rPr>
                  </w:pPr>
                </w:p>
              </w:tc>
            </w:tr>
            <w:tr w14:paraId="532B0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90" w:type="pct"/>
                  <w:gridSpan w:val="4"/>
                  <w:noWrap w:val="0"/>
                  <w:tcMar>
                    <w:left w:w="28" w:type="dxa"/>
                    <w:right w:w="28" w:type="dxa"/>
                  </w:tcMar>
                  <w:vAlign w:val="center"/>
                </w:tcPr>
                <w:p w14:paraId="20502344">
                  <w:pPr>
                    <w:spacing w:line="300" w:lineRule="exact"/>
                    <w:jc w:val="center"/>
                    <w:rPr>
                      <w:color w:val="auto"/>
                      <w:sz w:val="21"/>
                      <w:szCs w:val="21"/>
                    </w:rPr>
                  </w:pPr>
                  <w:r>
                    <w:rPr>
                      <w:color w:val="auto"/>
                      <w:sz w:val="21"/>
                      <w:szCs w:val="21"/>
                    </w:rPr>
                    <w:t>环境管理</w:t>
                  </w:r>
                </w:p>
              </w:tc>
              <w:tc>
                <w:tcPr>
                  <w:tcW w:w="2271" w:type="pct"/>
                  <w:gridSpan w:val="2"/>
                  <w:noWrap w:val="0"/>
                  <w:tcMar>
                    <w:left w:w="28" w:type="dxa"/>
                    <w:right w:w="28" w:type="dxa"/>
                  </w:tcMar>
                  <w:vAlign w:val="center"/>
                </w:tcPr>
                <w:p w14:paraId="43C683F6">
                  <w:pPr>
                    <w:spacing w:line="300" w:lineRule="exact"/>
                    <w:jc w:val="center"/>
                    <w:rPr>
                      <w:color w:val="auto"/>
                      <w:sz w:val="21"/>
                      <w:szCs w:val="21"/>
                    </w:rPr>
                  </w:pPr>
                  <w:r>
                    <w:rPr>
                      <w:color w:val="auto"/>
                      <w:sz w:val="21"/>
                      <w:szCs w:val="21"/>
                    </w:rPr>
                    <w:t>设置环境管理机构</w:t>
                  </w:r>
                </w:p>
              </w:tc>
              <w:tc>
                <w:tcPr>
                  <w:tcW w:w="649" w:type="pct"/>
                  <w:noWrap w:val="0"/>
                  <w:tcMar>
                    <w:left w:w="28" w:type="dxa"/>
                    <w:right w:w="28" w:type="dxa"/>
                  </w:tcMar>
                  <w:vAlign w:val="center"/>
                </w:tcPr>
                <w:p w14:paraId="33D12EED">
                  <w:pPr>
                    <w:spacing w:line="300" w:lineRule="exact"/>
                    <w:jc w:val="center"/>
                    <w:rPr>
                      <w:color w:val="auto"/>
                      <w:sz w:val="21"/>
                      <w:szCs w:val="21"/>
                    </w:rPr>
                  </w:pPr>
                  <w:r>
                    <w:rPr>
                      <w:color w:val="auto"/>
                      <w:sz w:val="21"/>
                      <w:szCs w:val="21"/>
                    </w:rPr>
                    <w:t>/</w:t>
                  </w:r>
                </w:p>
              </w:tc>
              <w:tc>
                <w:tcPr>
                  <w:tcW w:w="388" w:type="pct"/>
                  <w:vMerge w:val="continue"/>
                  <w:noWrap w:val="0"/>
                  <w:tcMar>
                    <w:left w:w="28" w:type="dxa"/>
                    <w:right w:w="28" w:type="dxa"/>
                  </w:tcMar>
                  <w:vAlign w:val="center"/>
                </w:tcPr>
                <w:p w14:paraId="12D049CD">
                  <w:pPr>
                    <w:spacing w:line="300" w:lineRule="exact"/>
                    <w:jc w:val="center"/>
                    <w:rPr>
                      <w:color w:val="auto"/>
                      <w:sz w:val="21"/>
                      <w:szCs w:val="21"/>
                    </w:rPr>
                  </w:pPr>
                </w:p>
              </w:tc>
            </w:tr>
            <w:tr w14:paraId="5857A7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90" w:type="pct"/>
                  <w:gridSpan w:val="4"/>
                  <w:noWrap w:val="0"/>
                  <w:tcMar>
                    <w:left w:w="28" w:type="dxa"/>
                    <w:right w:w="28" w:type="dxa"/>
                  </w:tcMar>
                  <w:vAlign w:val="center"/>
                </w:tcPr>
                <w:p w14:paraId="5A117AE6">
                  <w:pPr>
                    <w:spacing w:line="300" w:lineRule="exact"/>
                    <w:jc w:val="center"/>
                    <w:rPr>
                      <w:color w:val="auto"/>
                      <w:sz w:val="21"/>
                      <w:szCs w:val="21"/>
                    </w:rPr>
                  </w:pPr>
                  <w:r>
                    <w:rPr>
                      <w:color w:val="auto"/>
                      <w:sz w:val="21"/>
                      <w:szCs w:val="21"/>
                    </w:rPr>
                    <w:t>绿化</w:t>
                  </w:r>
                </w:p>
              </w:tc>
              <w:tc>
                <w:tcPr>
                  <w:tcW w:w="2271" w:type="pct"/>
                  <w:gridSpan w:val="2"/>
                  <w:noWrap w:val="0"/>
                  <w:tcMar>
                    <w:left w:w="28" w:type="dxa"/>
                    <w:right w:w="28" w:type="dxa"/>
                  </w:tcMar>
                  <w:vAlign w:val="center"/>
                </w:tcPr>
                <w:p w14:paraId="3C2B1684">
                  <w:pPr>
                    <w:spacing w:line="300" w:lineRule="exact"/>
                    <w:jc w:val="center"/>
                    <w:rPr>
                      <w:rFonts w:hint="eastAsia"/>
                      <w:color w:val="auto"/>
                      <w:sz w:val="21"/>
                      <w:szCs w:val="21"/>
                    </w:rPr>
                  </w:pPr>
                  <w:r>
                    <w:rPr>
                      <w:color w:val="auto"/>
                      <w:sz w:val="21"/>
                      <w:szCs w:val="21"/>
                    </w:rPr>
                    <w:t>依托</w:t>
                  </w:r>
                  <w:r>
                    <w:rPr>
                      <w:rFonts w:hint="eastAsia"/>
                      <w:color w:val="auto"/>
                      <w:sz w:val="21"/>
                      <w:szCs w:val="21"/>
                    </w:rPr>
                    <w:t>现有</w:t>
                  </w:r>
                </w:p>
              </w:tc>
              <w:tc>
                <w:tcPr>
                  <w:tcW w:w="649" w:type="pct"/>
                  <w:noWrap w:val="0"/>
                  <w:tcMar>
                    <w:left w:w="28" w:type="dxa"/>
                    <w:right w:w="28" w:type="dxa"/>
                  </w:tcMar>
                  <w:vAlign w:val="center"/>
                </w:tcPr>
                <w:p w14:paraId="219B36BB">
                  <w:pPr>
                    <w:spacing w:line="300" w:lineRule="exact"/>
                    <w:jc w:val="center"/>
                    <w:rPr>
                      <w:color w:val="auto"/>
                      <w:sz w:val="21"/>
                      <w:szCs w:val="21"/>
                    </w:rPr>
                  </w:pPr>
                  <w:r>
                    <w:rPr>
                      <w:color w:val="auto"/>
                      <w:sz w:val="21"/>
                      <w:szCs w:val="21"/>
                    </w:rPr>
                    <w:t>/</w:t>
                  </w:r>
                </w:p>
              </w:tc>
              <w:tc>
                <w:tcPr>
                  <w:tcW w:w="388" w:type="pct"/>
                  <w:vMerge w:val="continue"/>
                  <w:noWrap w:val="0"/>
                  <w:tcMar>
                    <w:left w:w="28" w:type="dxa"/>
                    <w:right w:w="28" w:type="dxa"/>
                  </w:tcMar>
                  <w:vAlign w:val="center"/>
                </w:tcPr>
                <w:p w14:paraId="4DD1DB9A">
                  <w:pPr>
                    <w:spacing w:line="300" w:lineRule="exact"/>
                    <w:jc w:val="center"/>
                    <w:rPr>
                      <w:color w:val="auto"/>
                      <w:sz w:val="21"/>
                      <w:szCs w:val="21"/>
                    </w:rPr>
                  </w:pPr>
                </w:p>
              </w:tc>
            </w:tr>
            <w:tr w14:paraId="73C666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90" w:type="pct"/>
                  <w:gridSpan w:val="4"/>
                  <w:noWrap w:val="0"/>
                  <w:tcMar>
                    <w:left w:w="28" w:type="dxa"/>
                    <w:right w:w="28" w:type="dxa"/>
                  </w:tcMar>
                  <w:vAlign w:val="center"/>
                </w:tcPr>
                <w:p w14:paraId="58458299">
                  <w:pPr>
                    <w:spacing w:line="300" w:lineRule="exact"/>
                    <w:jc w:val="center"/>
                    <w:rPr>
                      <w:color w:val="auto"/>
                      <w:sz w:val="21"/>
                      <w:szCs w:val="21"/>
                    </w:rPr>
                  </w:pPr>
                  <w:r>
                    <w:rPr>
                      <w:color w:val="auto"/>
                      <w:sz w:val="21"/>
                      <w:szCs w:val="21"/>
                    </w:rPr>
                    <w:t>清污分流、排污口规范化设置</w:t>
                  </w:r>
                </w:p>
                <w:p w14:paraId="725090D0">
                  <w:pPr>
                    <w:spacing w:line="300" w:lineRule="exact"/>
                    <w:jc w:val="center"/>
                    <w:rPr>
                      <w:color w:val="auto"/>
                      <w:sz w:val="21"/>
                      <w:szCs w:val="21"/>
                    </w:rPr>
                  </w:pPr>
                  <w:r>
                    <w:rPr>
                      <w:color w:val="auto"/>
                      <w:sz w:val="21"/>
                      <w:szCs w:val="21"/>
                    </w:rPr>
                    <w:t>（流量计、在线监测仪）</w:t>
                  </w:r>
                </w:p>
              </w:tc>
              <w:tc>
                <w:tcPr>
                  <w:tcW w:w="2271" w:type="pct"/>
                  <w:gridSpan w:val="2"/>
                  <w:noWrap w:val="0"/>
                  <w:tcMar>
                    <w:left w:w="28" w:type="dxa"/>
                    <w:right w:w="28" w:type="dxa"/>
                  </w:tcMar>
                  <w:vAlign w:val="center"/>
                </w:tcPr>
                <w:p w14:paraId="0D9BEB0D">
                  <w:pPr>
                    <w:spacing w:line="300" w:lineRule="exact"/>
                    <w:jc w:val="center"/>
                    <w:rPr>
                      <w:color w:val="auto"/>
                      <w:spacing w:val="-6"/>
                      <w:sz w:val="21"/>
                      <w:szCs w:val="21"/>
                    </w:rPr>
                  </w:pPr>
                  <w:r>
                    <w:rPr>
                      <w:color w:val="auto"/>
                      <w:sz w:val="21"/>
                      <w:szCs w:val="21"/>
                    </w:rPr>
                    <w:t>按《江苏省排污口设置及规范化整治管理办法》(苏环控[97]122号)要求设置；对固定噪声污染源、临时堆场进行规范化设置</w:t>
                  </w:r>
                </w:p>
              </w:tc>
              <w:tc>
                <w:tcPr>
                  <w:tcW w:w="649" w:type="pct"/>
                  <w:noWrap w:val="0"/>
                  <w:tcMar>
                    <w:left w:w="28" w:type="dxa"/>
                    <w:right w:w="28" w:type="dxa"/>
                  </w:tcMar>
                  <w:vAlign w:val="center"/>
                </w:tcPr>
                <w:p w14:paraId="0B46981B">
                  <w:pPr>
                    <w:spacing w:line="300" w:lineRule="exact"/>
                    <w:jc w:val="center"/>
                    <w:rPr>
                      <w:color w:val="auto"/>
                      <w:sz w:val="21"/>
                      <w:szCs w:val="21"/>
                    </w:rPr>
                  </w:pPr>
                  <w:r>
                    <w:rPr>
                      <w:color w:val="auto"/>
                      <w:sz w:val="21"/>
                      <w:szCs w:val="21"/>
                    </w:rPr>
                    <w:t>1</w:t>
                  </w:r>
                </w:p>
              </w:tc>
              <w:tc>
                <w:tcPr>
                  <w:tcW w:w="388" w:type="pct"/>
                  <w:vMerge w:val="continue"/>
                  <w:noWrap w:val="0"/>
                  <w:tcMar>
                    <w:left w:w="28" w:type="dxa"/>
                    <w:right w:w="28" w:type="dxa"/>
                  </w:tcMar>
                  <w:vAlign w:val="center"/>
                </w:tcPr>
                <w:p w14:paraId="160C14E5">
                  <w:pPr>
                    <w:spacing w:line="300" w:lineRule="exact"/>
                    <w:jc w:val="center"/>
                    <w:rPr>
                      <w:color w:val="auto"/>
                      <w:sz w:val="21"/>
                      <w:szCs w:val="21"/>
                    </w:rPr>
                  </w:pPr>
                </w:p>
              </w:tc>
            </w:tr>
            <w:tr w14:paraId="0F8666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90" w:type="pct"/>
                  <w:gridSpan w:val="4"/>
                  <w:noWrap w:val="0"/>
                  <w:tcMar>
                    <w:left w:w="28" w:type="dxa"/>
                    <w:right w:w="28" w:type="dxa"/>
                  </w:tcMar>
                  <w:vAlign w:val="center"/>
                </w:tcPr>
                <w:p w14:paraId="0773EF35">
                  <w:pPr>
                    <w:spacing w:line="300" w:lineRule="exact"/>
                    <w:jc w:val="center"/>
                    <w:rPr>
                      <w:color w:val="auto"/>
                      <w:sz w:val="21"/>
                      <w:szCs w:val="21"/>
                    </w:rPr>
                  </w:pPr>
                  <w:r>
                    <w:rPr>
                      <w:color w:val="auto"/>
                      <w:sz w:val="21"/>
                      <w:szCs w:val="21"/>
                    </w:rPr>
                    <w:t>总量平衡具体方案</w:t>
                  </w:r>
                </w:p>
              </w:tc>
              <w:tc>
                <w:tcPr>
                  <w:tcW w:w="2271" w:type="pct"/>
                  <w:gridSpan w:val="2"/>
                  <w:noWrap w:val="0"/>
                  <w:tcMar>
                    <w:left w:w="28" w:type="dxa"/>
                    <w:right w:w="28" w:type="dxa"/>
                  </w:tcMar>
                  <w:vAlign w:val="center"/>
                </w:tcPr>
                <w:p w14:paraId="227A48CC">
                  <w:pPr>
                    <w:spacing w:line="300" w:lineRule="exact"/>
                    <w:jc w:val="center"/>
                    <w:rPr>
                      <w:color w:val="auto"/>
                      <w:spacing w:val="-6"/>
                      <w:sz w:val="21"/>
                      <w:szCs w:val="21"/>
                    </w:rPr>
                  </w:pPr>
                  <w:r>
                    <w:rPr>
                      <w:rFonts w:hint="eastAsia"/>
                      <w:color w:val="auto"/>
                      <w:sz w:val="21"/>
                      <w:szCs w:val="21"/>
                      <w:lang w:val="en-US" w:eastAsia="zh-CN"/>
                    </w:rPr>
                    <w:t>颗粒物和非甲烷总烃在金坛区内平衡，</w:t>
                  </w:r>
                  <w:r>
                    <w:rPr>
                      <w:color w:val="auto"/>
                      <w:sz w:val="21"/>
                      <w:szCs w:val="21"/>
                    </w:rPr>
                    <w:t>水污染物在</w:t>
                  </w:r>
                  <w:r>
                    <w:rPr>
                      <w:rFonts w:hint="eastAsia"/>
                      <w:color w:val="auto"/>
                      <w:sz w:val="21"/>
                      <w:szCs w:val="21"/>
                    </w:rPr>
                    <w:t>常州金坛区第二污水处理有限公司内</w:t>
                  </w:r>
                  <w:r>
                    <w:rPr>
                      <w:color w:val="auto"/>
                      <w:sz w:val="21"/>
                      <w:szCs w:val="21"/>
                    </w:rPr>
                    <w:t>平衡，</w:t>
                  </w:r>
                </w:p>
              </w:tc>
              <w:tc>
                <w:tcPr>
                  <w:tcW w:w="649" w:type="pct"/>
                  <w:noWrap w:val="0"/>
                  <w:tcMar>
                    <w:left w:w="28" w:type="dxa"/>
                    <w:right w:w="28" w:type="dxa"/>
                  </w:tcMar>
                  <w:vAlign w:val="center"/>
                </w:tcPr>
                <w:p w14:paraId="3399A2E2">
                  <w:pPr>
                    <w:spacing w:line="300" w:lineRule="exact"/>
                    <w:jc w:val="center"/>
                    <w:rPr>
                      <w:color w:val="auto"/>
                      <w:sz w:val="21"/>
                      <w:szCs w:val="21"/>
                    </w:rPr>
                  </w:pPr>
                  <w:r>
                    <w:rPr>
                      <w:color w:val="auto"/>
                      <w:sz w:val="21"/>
                      <w:szCs w:val="21"/>
                    </w:rPr>
                    <w:t>/</w:t>
                  </w:r>
                </w:p>
              </w:tc>
              <w:tc>
                <w:tcPr>
                  <w:tcW w:w="388" w:type="pct"/>
                  <w:vMerge w:val="continue"/>
                  <w:noWrap w:val="0"/>
                  <w:tcMar>
                    <w:left w:w="28" w:type="dxa"/>
                    <w:right w:w="28" w:type="dxa"/>
                  </w:tcMar>
                  <w:vAlign w:val="center"/>
                </w:tcPr>
                <w:p w14:paraId="12CA23A0">
                  <w:pPr>
                    <w:spacing w:line="300" w:lineRule="exact"/>
                    <w:jc w:val="center"/>
                    <w:rPr>
                      <w:color w:val="auto"/>
                      <w:sz w:val="21"/>
                      <w:szCs w:val="21"/>
                    </w:rPr>
                  </w:pPr>
                </w:p>
              </w:tc>
            </w:tr>
            <w:tr w14:paraId="393309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9" w:hRule="atLeast"/>
              </w:trPr>
              <w:tc>
                <w:tcPr>
                  <w:tcW w:w="1690" w:type="pct"/>
                  <w:gridSpan w:val="4"/>
                  <w:noWrap w:val="0"/>
                  <w:tcMar>
                    <w:left w:w="28" w:type="dxa"/>
                    <w:right w:w="28" w:type="dxa"/>
                  </w:tcMar>
                  <w:vAlign w:val="center"/>
                </w:tcPr>
                <w:p w14:paraId="433CFCC0">
                  <w:pPr>
                    <w:spacing w:line="300" w:lineRule="exact"/>
                    <w:jc w:val="center"/>
                    <w:rPr>
                      <w:color w:val="auto"/>
                      <w:sz w:val="21"/>
                      <w:szCs w:val="21"/>
                    </w:rPr>
                  </w:pPr>
                  <w:r>
                    <w:rPr>
                      <w:color w:val="auto"/>
                      <w:sz w:val="21"/>
                      <w:szCs w:val="21"/>
                    </w:rPr>
                    <w:t>卫生防护距离设置</w:t>
                  </w:r>
                </w:p>
              </w:tc>
              <w:tc>
                <w:tcPr>
                  <w:tcW w:w="2271" w:type="pct"/>
                  <w:gridSpan w:val="2"/>
                  <w:noWrap w:val="0"/>
                  <w:tcMar>
                    <w:left w:w="28" w:type="dxa"/>
                    <w:right w:w="28" w:type="dxa"/>
                  </w:tcMar>
                  <w:vAlign w:val="center"/>
                </w:tcPr>
                <w:p w14:paraId="45C08E5C">
                  <w:pPr>
                    <w:spacing w:line="300" w:lineRule="exact"/>
                    <w:jc w:val="center"/>
                    <w:rPr>
                      <w:color w:val="auto"/>
                      <w:spacing w:val="-4"/>
                      <w:sz w:val="21"/>
                      <w:szCs w:val="21"/>
                    </w:rPr>
                  </w:pPr>
                  <w:r>
                    <w:rPr>
                      <w:color w:val="auto"/>
                      <w:sz w:val="21"/>
                      <w:szCs w:val="21"/>
                    </w:rPr>
                    <w:t>本项目</w:t>
                  </w:r>
                  <w:r>
                    <w:rPr>
                      <w:rFonts w:hint="eastAsia"/>
                      <w:color w:val="auto"/>
                      <w:sz w:val="21"/>
                      <w:szCs w:val="21"/>
                    </w:rPr>
                    <w:t>建成后</w:t>
                  </w:r>
                  <w:r>
                    <w:rPr>
                      <w:color w:val="auto"/>
                      <w:sz w:val="21"/>
                      <w:szCs w:val="21"/>
                    </w:rPr>
                    <w:t>以</w:t>
                  </w:r>
                  <w:r>
                    <w:rPr>
                      <w:rFonts w:hint="eastAsia"/>
                      <w:color w:val="auto"/>
                      <w:sz w:val="21"/>
                      <w:szCs w:val="21"/>
                      <w:lang w:val="en-US" w:eastAsia="zh-CN"/>
                    </w:rPr>
                    <w:t>生产车间</w:t>
                  </w:r>
                  <w:r>
                    <w:rPr>
                      <w:rFonts w:hint="eastAsia"/>
                      <w:color w:val="auto"/>
                      <w:sz w:val="21"/>
                      <w:szCs w:val="21"/>
                    </w:rPr>
                    <w:t>为界</w:t>
                  </w:r>
                  <w:r>
                    <w:rPr>
                      <w:color w:val="auto"/>
                      <w:sz w:val="21"/>
                      <w:szCs w:val="21"/>
                    </w:rPr>
                    <w:t>外扩</w:t>
                  </w:r>
                  <w:r>
                    <w:rPr>
                      <w:rFonts w:hint="eastAsia"/>
                      <w:color w:val="auto"/>
                      <w:sz w:val="21"/>
                      <w:szCs w:val="21"/>
                      <w:lang w:val="en-US" w:eastAsia="zh-CN"/>
                    </w:rPr>
                    <w:t>100</w:t>
                  </w:r>
                  <w:r>
                    <w:rPr>
                      <w:color w:val="auto"/>
                      <w:sz w:val="21"/>
                      <w:szCs w:val="21"/>
                    </w:rPr>
                    <w:t>m设置卫生防护距离</w:t>
                  </w:r>
                </w:p>
              </w:tc>
              <w:tc>
                <w:tcPr>
                  <w:tcW w:w="649" w:type="pct"/>
                  <w:noWrap w:val="0"/>
                  <w:tcMar>
                    <w:left w:w="28" w:type="dxa"/>
                    <w:right w:w="28" w:type="dxa"/>
                  </w:tcMar>
                  <w:vAlign w:val="center"/>
                </w:tcPr>
                <w:p w14:paraId="0A268A25">
                  <w:pPr>
                    <w:spacing w:line="300" w:lineRule="exact"/>
                    <w:jc w:val="center"/>
                    <w:rPr>
                      <w:color w:val="auto"/>
                      <w:sz w:val="21"/>
                      <w:szCs w:val="21"/>
                    </w:rPr>
                  </w:pPr>
                  <w:r>
                    <w:rPr>
                      <w:color w:val="auto"/>
                      <w:sz w:val="21"/>
                      <w:szCs w:val="21"/>
                    </w:rPr>
                    <w:t>/</w:t>
                  </w:r>
                </w:p>
              </w:tc>
              <w:tc>
                <w:tcPr>
                  <w:tcW w:w="388" w:type="pct"/>
                  <w:vMerge w:val="continue"/>
                  <w:noWrap w:val="0"/>
                  <w:tcMar>
                    <w:left w:w="28" w:type="dxa"/>
                    <w:right w:w="28" w:type="dxa"/>
                  </w:tcMar>
                  <w:vAlign w:val="center"/>
                </w:tcPr>
                <w:p w14:paraId="0675BF14">
                  <w:pPr>
                    <w:spacing w:line="300" w:lineRule="exact"/>
                    <w:jc w:val="center"/>
                    <w:rPr>
                      <w:color w:val="auto"/>
                      <w:sz w:val="21"/>
                      <w:szCs w:val="21"/>
                    </w:rPr>
                  </w:pPr>
                </w:p>
              </w:tc>
            </w:tr>
            <w:tr w14:paraId="283F91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62" w:type="pct"/>
                  <w:gridSpan w:val="6"/>
                  <w:noWrap w:val="0"/>
                  <w:tcMar>
                    <w:left w:w="28" w:type="dxa"/>
                    <w:right w:w="28" w:type="dxa"/>
                  </w:tcMar>
                  <w:vAlign w:val="center"/>
                </w:tcPr>
                <w:p w14:paraId="30E7ED76">
                  <w:pPr>
                    <w:spacing w:line="300" w:lineRule="exact"/>
                    <w:jc w:val="center"/>
                    <w:rPr>
                      <w:color w:val="auto"/>
                      <w:sz w:val="21"/>
                      <w:szCs w:val="21"/>
                    </w:rPr>
                  </w:pPr>
                  <w:r>
                    <w:rPr>
                      <w:color w:val="auto"/>
                      <w:sz w:val="21"/>
                      <w:szCs w:val="21"/>
                    </w:rPr>
                    <w:t>总计</w:t>
                  </w:r>
                </w:p>
              </w:tc>
              <w:tc>
                <w:tcPr>
                  <w:tcW w:w="649" w:type="pct"/>
                  <w:noWrap w:val="0"/>
                  <w:tcMar>
                    <w:left w:w="28" w:type="dxa"/>
                    <w:right w:w="28" w:type="dxa"/>
                  </w:tcMar>
                  <w:vAlign w:val="center"/>
                </w:tcPr>
                <w:p w14:paraId="085F9F61">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23</w:t>
                  </w:r>
                </w:p>
              </w:tc>
              <w:tc>
                <w:tcPr>
                  <w:tcW w:w="388" w:type="pct"/>
                  <w:vMerge w:val="continue"/>
                  <w:noWrap w:val="0"/>
                  <w:tcMar>
                    <w:left w:w="28" w:type="dxa"/>
                    <w:right w:w="28" w:type="dxa"/>
                  </w:tcMar>
                  <w:vAlign w:val="center"/>
                </w:tcPr>
                <w:p w14:paraId="6AC7A000">
                  <w:pPr>
                    <w:spacing w:line="300" w:lineRule="exact"/>
                    <w:jc w:val="center"/>
                    <w:rPr>
                      <w:color w:val="auto"/>
                      <w:sz w:val="21"/>
                      <w:szCs w:val="21"/>
                    </w:rPr>
                  </w:pPr>
                </w:p>
              </w:tc>
            </w:tr>
          </w:tbl>
          <w:p w14:paraId="7BB930D6">
            <w:pPr>
              <w:pStyle w:val="44"/>
              <w:rPr>
                <w:color w:val="auto"/>
              </w:rPr>
            </w:pPr>
          </w:p>
        </w:tc>
      </w:tr>
    </w:tbl>
    <w:p w14:paraId="334FFA3B">
      <w:pPr>
        <w:pStyle w:val="44"/>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2F66B2A3">
      <w:pPr>
        <w:pStyle w:val="18"/>
        <w:spacing w:before="0" w:beforeAutospacing="0" w:after="0" w:afterAutospacing="0"/>
        <w:jc w:val="center"/>
        <w:outlineLvl w:val="0"/>
        <w:rPr>
          <w:rFonts w:ascii="Times New Roman" w:hAnsi="Times New Roman" w:eastAsia="黑体"/>
          <w:snapToGrid w:val="0"/>
          <w:color w:val="auto"/>
          <w:sz w:val="30"/>
          <w:szCs w:val="30"/>
        </w:rPr>
      </w:pPr>
      <w:bookmarkStart w:id="81" w:name="_Hlk54167917"/>
      <w:r>
        <w:rPr>
          <w:rFonts w:ascii="Times New Roman" w:hAnsi="Times New Roman" w:eastAsia="黑体"/>
          <w:snapToGrid w:val="0"/>
          <w:color w:val="auto"/>
          <w:sz w:val="30"/>
          <w:szCs w:val="30"/>
        </w:rPr>
        <w:t>五、环境保护措施监督检查清单</w:t>
      </w:r>
      <w:bookmarkEnd w:id="81"/>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521"/>
        <w:gridCol w:w="1466"/>
        <w:gridCol w:w="1654"/>
        <w:gridCol w:w="2734"/>
      </w:tblGrid>
      <w:tr w14:paraId="24639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tcBorders>
              <w:tl2br w:val="single" w:color="auto" w:sz="4" w:space="0"/>
            </w:tcBorders>
            <w:noWrap w:val="0"/>
            <w:vAlign w:val="top"/>
          </w:tcPr>
          <w:p w14:paraId="2FAFC8BE">
            <w:pPr>
              <w:adjustRightInd w:val="0"/>
              <w:snapToGrid w:val="0"/>
              <w:spacing w:line="320" w:lineRule="exact"/>
              <w:ind w:firstLine="723" w:firstLineChars="300"/>
              <w:rPr>
                <w:b/>
                <w:bCs/>
                <w:color w:val="auto"/>
                <w:sz w:val="24"/>
                <w:szCs w:val="24"/>
              </w:rPr>
            </w:pPr>
            <w:r>
              <w:rPr>
                <w:b/>
                <w:bCs/>
                <w:color w:val="auto"/>
                <w:sz w:val="24"/>
                <w:szCs w:val="24"/>
              </w:rPr>
              <w:t>内容</w:t>
            </w:r>
          </w:p>
          <w:p w14:paraId="0ECC78E2">
            <w:pPr>
              <w:adjustRightInd w:val="0"/>
              <w:snapToGrid w:val="0"/>
              <w:spacing w:line="320" w:lineRule="exact"/>
              <w:rPr>
                <w:b/>
                <w:bCs/>
                <w:color w:val="auto"/>
                <w:sz w:val="24"/>
                <w:szCs w:val="24"/>
              </w:rPr>
            </w:pPr>
            <w:r>
              <w:rPr>
                <w:b/>
                <w:bCs/>
                <w:color w:val="auto"/>
                <w:sz w:val="24"/>
                <w:szCs w:val="24"/>
              </w:rPr>
              <w:t>要素</w:t>
            </w:r>
          </w:p>
        </w:tc>
        <w:tc>
          <w:tcPr>
            <w:tcW w:w="1521" w:type="dxa"/>
            <w:noWrap w:val="0"/>
            <w:vAlign w:val="center"/>
          </w:tcPr>
          <w:p w14:paraId="58D5EA1A">
            <w:pPr>
              <w:adjustRightInd w:val="0"/>
              <w:snapToGrid w:val="0"/>
              <w:spacing w:line="320" w:lineRule="exact"/>
              <w:jc w:val="center"/>
              <w:rPr>
                <w:b/>
                <w:bCs/>
                <w:color w:val="auto"/>
                <w:sz w:val="24"/>
                <w:szCs w:val="24"/>
              </w:rPr>
            </w:pPr>
            <w:r>
              <w:rPr>
                <w:b/>
                <w:bCs/>
                <w:color w:val="auto"/>
                <w:sz w:val="24"/>
                <w:szCs w:val="24"/>
              </w:rPr>
              <w:t>排放口(编号、</w:t>
            </w:r>
          </w:p>
          <w:p w14:paraId="0CA8A394">
            <w:pPr>
              <w:adjustRightInd w:val="0"/>
              <w:snapToGrid w:val="0"/>
              <w:spacing w:line="320" w:lineRule="exact"/>
              <w:jc w:val="center"/>
              <w:rPr>
                <w:b/>
                <w:bCs/>
                <w:color w:val="auto"/>
                <w:sz w:val="24"/>
                <w:szCs w:val="24"/>
              </w:rPr>
            </w:pPr>
            <w:r>
              <w:rPr>
                <w:b/>
                <w:bCs/>
                <w:color w:val="auto"/>
                <w:sz w:val="24"/>
                <w:szCs w:val="24"/>
              </w:rPr>
              <w:t>名称)/污染源</w:t>
            </w:r>
          </w:p>
        </w:tc>
        <w:tc>
          <w:tcPr>
            <w:tcW w:w="1466" w:type="dxa"/>
            <w:noWrap w:val="0"/>
            <w:vAlign w:val="center"/>
          </w:tcPr>
          <w:p w14:paraId="21FEB5A1">
            <w:pPr>
              <w:adjustRightInd w:val="0"/>
              <w:snapToGrid w:val="0"/>
              <w:spacing w:line="320" w:lineRule="exact"/>
              <w:jc w:val="center"/>
              <w:rPr>
                <w:b/>
                <w:bCs/>
                <w:color w:val="auto"/>
                <w:sz w:val="24"/>
                <w:szCs w:val="24"/>
              </w:rPr>
            </w:pPr>
            <w:r>
              <w:rPr>
                <w:b/>
                <w:bCs/>
                <w:color w:val="auto"/>
                <w:sz w:val="24"/>
                <w:szCs w:val="24"/>
              </w:rPr>
              <w:t>污染物项目</w:t>
            </w:r>
          </w:p>
        </w:tc>
        <w:tc>
          <w:tcPr>
            <w:tcW w:w="1654" w:type="dxa"/>
            <w:noWrap w:val="0"/>
            <w:vAlign w:val="center"/>
          </w:tcPr>
          <w:p w14:paraId="35460FB2">
            <w:pPr>
              <w:adjustRightInd w:val="0"/>
              <w:snapToGrid w:val="0"/>
              <w:spacing w:line="320" w:lineRule="exact"/>
              <w:jc w:val="center"/>
              <w:rPr>
                <w:b/>
                <w:bCs/>
                <w:color w:val="auto"/>
                <w:sz w:val="24"/>
                <w:szCs w:val="24"/>
              </w:rPr>
            </w:pPr>
            <w:r>
              <w:rPr>
                <w:b/>
                <w:bCs/>
                <w:color w:val="auto"/>
                <w:sz w:val="24"/>
                <w:szCs w:val="24"/>
              </w:rPr>
              <w:t>环境保护措施</w:t>
            </w:r>
          </w:p>
        </w:tc>
        <w:tc>
          <w:tcPr>
            <w:tcW w:w="2734" w:type="dxa"/>
            <w:noWrap w:val="0"/>
            <w:vAlign w:val="center"/>
          </w:tcPr>
          <w:p w14:paraId="2EE25787">
            <w:pPr>
              <w:adjustRightInd w:val="0"/>
              <w:snapToGrid w:val="0"/>
              <w:spacing w:line="320" w:lineRule="exact"/>
              <w:jc w:val="center"/>
              <w:rPr>
                <w:b/>
                <w:bCs/>
                <w:color w:val="auto"/>
                <w:sz w:val="24"/>
                <w:szCs w:val="24"/>
              </w:rPr>
            </w:pPr>
            <w:r>
              <w:rPr>
                <w:b/>
                <w:bCs/>
                <w:color w:val="auto"/>
                <w:sz w:val="24"/>
                <w:szCs w:val="24"/>
              </w:rPr>
              <w:t>执行标准</w:t>
            </w:r>
          </w:p>
        </w:tc>
      </w:tr>
      <w:tr w14:paraId="2DB26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425" w:type="dxa"/>
            <w:vMerge w:val="restart"/>
            <w:noWrap w:val="0"/>
            <w:vAlign w:val="center"/>
          </w:tcPr>
          <w:p w14:paraId="1CDD2E35">
            <w:pPr>
              <w:adjustRightInd w:val="0"/>
              <w:snapToGrid w:val="0"/>
              <w:spacing w:line="320" w:lineRule="exact"/>
              <w:jc w:val="center"/>
              <w:rPr>
                <w:color w:val="auto"/>
                <w:sz w:val="24"/>
                <w:szCs w:val="24"/>
              </w:rPr>
            </w:pPr>
            <w:r>
              <w:rPr>
                <w:color w:val="auto"/>
                <w:sz w:val="24"/>
                <w:szCs w:val="24"/>
              </w:rPr>
              <w:t>大气环境</w:t>
            </w:r>
          </w:p>
        </w:tc>
        <w:tc>
          <w:tcPr>
            <w:tcW w:w="1521" w:type="dxa"/>
            <w:vMerge w:val="restart"/>
            <w:noWrap w:val="0"/>
            <w:vAlign w:val="center"/>
          </w:tcPr>
          <w:p w14:paraId="403FED27">
            <w:pPr>
              <w:adjustRightInd w:val="0"/>
              <w:snapToGrid w:val="0"/>
              <w:spacing w:line="320" w:lineRule="exact"/>
              <w:jc w:val="center"/>
              <w:rPr>
                <w:rFonts w:hint="default" w:eastAsia="宋体"/>
                <w:color w:val="auto"/>
                <w:sz w:val="24"/>
                <w:szCs w:val="24"/>
                <w:lang w:val="en-US" w:eastAsia="zh-CN"/>
              </w:rPr>
            </w:pPr>
            <w:r>
              <w:rPr>
                <w:rFonts w:hint="eastAsia"/>
                <w:color w:val="auto"/>
                <w:sz w:val="24"/>
                <w:szCs w:val="24"/>
                <w:lang w:val="en-US" w:eastAsia="zh-CN"/>
              </w:rPr>
              <w:t>无组织排放</w:t>
            </w:r>
          </w:p>
        </w:tc>
        <w:tc>
          <w:tcPr>
            <w:tcW w:w="1466" w:type="dxa"/>
            <w:noWrap w:val="0"/>
            <w:vAlign w:val="center"/>
          </w:tcPr>
          <w:p w14:paraId="316C83AE">
            <w:pPr>
              <w:adjustRightInd w:val="0"/>
              <w:snapToGrid w:val="0"/>
              <w:spacing w:line="320" w:lineRule="exact"/>
              <w:jc w:val="center"/>
              <w:rPr>
                <w:rFonts w:hint="default"/>
                <w:color w:val="auto"/>
                <w:sz w:val="24"/>
                <w:szCs w:val="24"/>
                <w:lang w:val="en-US" w:eastAsia="zh-CN"/>
              </w:rPr>
            </w:pPr>
            <w:r>
              <w:rPr>
                <w:rFonts w:hint="eastAsia"/>
                <w:color w:val="auto"/>
                <w:sz w:val="24"/>
                <w:szCs w:val="24"/>
                <w:lang w:val="en-US" w:eastAsia="zh-CN"/>
              </w:rPr>
              <w:t>非甲烷总烃</w:t>
            </w:r>
          </w:p>
        </w:tc>
        <w:tc>
          <w:tcPr>
            <w:tcW w:w="1654" w:type="dxa"/>
            <w:vMerge w:val="restart"/>
            <w:noWrap w:val="0"/>
            <w:vAlign w:val="center"/>
          </w:tcPr>
          <w:p w14:paraId="3F4FA0A9">
            <w:pPr>
              <w:keepNext w:val="0"/>
              <w:keepLines w:val="0"/>
              <w:pageBreakBefore w:val="0"/>
              <w:widowControl w:val="0"/>
              <w:kinsoku/>
              <w:wordWrap/>
              <w:overflowPunct/>
              <w:topLinePunct w:val="0"/>
              <w:autoSpaceDE/>
              <w:autoSpaceDN/>
              <w:bidi w:val="0"/>
              <w:spacing w:line="300" w:lineRule="exact"/>
              <w:jc w:val="center"/>
              <w:textAlignment w:val="auto"/>
              <w:rPr>
                <w:rFonts w:hint="default"/>
                <w:color w:val="auto"/>
                <w:lang w:val="en-US" w:eastAsia="zh-CN"/>
              </w:rPr>
            </w:pPr>
            <w:r>
              <w:rPr>
                <w:rFonts w:hint="eastAsia"/>
                <w:color w:val="auto"/>
                <w:sz w:val="24"/>
                <w:szCs w:val="24"/>
                <w:lang w:val="en-US" w:eastAsia="zh-CN"/>
              </w:rPr>
              <w:t>经内置活性炭吸附装置无管道通风橱收集处理后，车间无组织排放</w:t>
            </w:r>
          </w:p>
        </w:tc>
        <w:tc>
          <w:tcPr>
            <w:tcW w:w="2734" w:type="dxa"/>
            <w:noWrap w:val="0"/>
            <w:vAlign w:val="center"/>
          </w:tcPr>
          <w:p w14:paraId="45166E77">
            <w:pPr>
              <w:adjustRightInd w:val="0"/>
              <w:snapToGrid w:val="0"/>
              <w:spacing w:line="320" w:lineRule="exact"/>
              <w:jc w:val="center"/>
              <w:rPr>
                <w:rFonts w:hint="eastAsia"/>
                <w:color w:val="auto"/>
                <w:sz w:val="24"/>
                <w:szCs w:val="24"/>
                <w:lang w:val="en-US" w:eastAsia="zh-CN"/>
              </w:rPr>
            </w:pPr>
            <w:r>
              <w:rPr>
                <w:rFonts w:hint="eastAsia"/>
                <w:color w:val="auto"/>
                <w:sz w:val="24"/>
                <w:szCs w:val="24"/>
                <w:lang w:val="en-US" w:eastAsia="zh-CN"/>
              </w:rPr>
              <w:t>《大气污染物综合排放标准》（DB32/4042-2021）</w:t>
            </w:r>
          </w:p>
        </w:tc>
      </w:tr>
      <w:tr w14:paraId="3936A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25" w:type="dxa"/>
            <w:vMerge w:val="continue"/>
            <w:noWrap w:val="0"/>
            <w:vAlign w:val="center"/>
          </w:tcPr>
          <w:p w14:paraId="6210ED95">
            <w:pPr>
              <w:adjustRightInd w:val="0"/>
              <w:snapToGrid w:val="0"/>
              <w:spacing w:line="320" w:lineRule="exact"/>
              <w:jc w:val="center"/>
              <w:rPr>
                <w:color w:val="auto"/>
                <w:sz w:val="24"/>
                <w:szCs w:val="24"/>
              </w:rPr>
            </w:pPr>
          </w:p>
        </w:tc>
        <w:tc>
          <w:tcPr>
            <w:tcW w:w="1521" w:type="dxa"/>
            <w:vMerge w:val="continue"/>
            <w:noWrap w:val="0"/>
            <w:vAlign w:val="center"/>
          </w:tcPr>
          <w:p w14:paraId="610AEFC9">
            <w:pPr>
              <w:adjustRightInd w:val="0"/>
              <w:snapToGrid w:val="0"/>
              <w:spacing w:line="320" w:lineRule="exact"/>
              <w:jc w:val="center"/>
              <w:rPr>
                <w:rFonts w:hint="default" w:eastAsia="宋体"/>
                <w:color w:val="auto"/>
                <w:sz w:val="24"/>
                <w:szCs w:val="24"/>
                <w:lang w:val="en-US" w:eastAsia="zh-CN"/>
              </w:rPr>
            </w:pPr>
          </w:p>
        </w:tc>
        <w:tc>
          <w:tcPr>
            <w:tcW w:w="1466" w:type="dxa"/>
            <w:noWrap w:val="0"/>
            <w:vAlign w:val="center"/>
          </w:tcPr>
          <w:p w14:paraId="42A8B633">
            <w:pPr>
              <w:adjustRightInd w:val="0"/>
              <w:snapToGrid w:val="0"/>
              <w:spacing w:line="320" w:lineRule="exact"/>
              <w:jc w:val="center"/>
              <w:rPr>
                <w:rFonts w:hint="default" w:eastAsia="宋体"/>
                <w:color w:val="auto"/>
                <w:sz w:val="24"/>
                <w:szCs w:val="24"/>
                <w:lang w:val="en-US" w:eastAsia="zh-CN"/>
              </w:rPr>
            </w:pPr>
            <w:r>
              <w:rPr>
                <w:rFonts w:hint="eastAsia"/>
                <w:color w:val="auto"/>
                <w:sz w:val="24"/>
                <w:szCs w:val="24"/>
                <w:lang w:val="en-US" w:eastAsia="zh-CN"/>
              </w:rPr>
              <w:t>氨</w:t>
            </w:r>
          </w:p>
        </w:tc>
        <w:tc>
          <w:tcPr>
            <w:tcW w:w="1654" w:type="dxa"/>
            <w:vMerge w:val="continue"/>
            <w:noWrap w:val="0"/>
            <w:vAlign w:val="center"/>
          </w:tcPr>
          <w:p w14:paraId="02BF0EB2">
            <w:pPr>
              <w:adjustRightInd w:val="0"/>
              <w:snapToGrid w:val="0"/>
              <w:spacing w:line="320" w:lineRule="exact"/>
              <w:jc w:val="center"/>
              <w:rPr>
                <w:rFonts w:hint="default"/>
                <w:color w:val="auto"/>
                <w:sz w:val="24"/>
                <w:szCs w:val="24"/>
                <w:lang w:val="en-US" w:eastAsia="zh-CN"/>
              </w:rPr>
            </w:pPr>
          </w:p>
        </w:tc>
        <w:tc>
          <w:tcPr>
            <w:tcW w:w="2734" w:type="dxa"/>
            <w:noWrap w:val="0"/>
            <w:vAlign w:val="center"/>
          </w:tcPr>
          <w:p w14:paraId="0F544EB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eastAsia="宋体"/>
                <w:color w:val="auto"/>
                <w:sz w:val="24"/>
                <w:szCs w:val="24"/>
                <w:lang w:val="en-US" w:eastAsia="zh-CN"/>
              </w:rPr>
            </w:pPr>
            <w:r>
              <w:rPr>
                <w:rFonts w:hint="eastAsia"/>
                <w:color w:val="auto"/>
                <w:sz w:val="24"/>
                <w:szCs w:val="24"/>
                <w:lang w:val="en-US" w:eastAsia="zh-CN"/>
              </w:rPr>
              <w:t>《恶臭污染物排放标准》(GB14554-93)</w:t>
            </w:r>
          </w:p>
        </w:tc>
      </w:tr>
      <w:tr w14:paraId="7D4F6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25" w:type="dxa"/>
            <w:vMerge w:val="continue"/>
            <w:noWrap w:val="0"/>
            <w:vAlign w:val="center"/>
          </w:tcPr>
          <w:p w14:paraId="66D15FD7">
            <w:pPr>
              <w:adjustRightInd w:val="0"/>
              <w:snapToGrid w:val="0"/>
              <w:spacing w:line="320" w:lineRule="exact"/>
              <w:jc w:val="center"/>
            </w:pPr>
          </w:p>
        </w:tc>
        <w:tc>
          <w:tcPr>
            <w:tcW w:w="1521" w:type="dxa"/>
            <w:vMerge w:val="continue"/>
            <w:noWrap w:val="0"/>
            <w:vAlign w:val="center"/>
          </w:tcPr>
          <w:p w14:paraId="6D650AF7">
            <w:pPr>
              <w:adjustRightInd w:val="0"/>
              <w:snapToGrid w:val="0"/>
              <w:spacing w:line="320" w:lineRule="exact"/>
              <w:jc w:val="center"/>
              <w:rPr>
                <w:color w:val="auto"/>
              </w:rPr>
            </w:pPr>
          </w:p>
        </w:tc>
        <w:tc>
          <w:tcPr>
            <w:tcW w:w="1466" w:type="dxa"/>
            <w:noWrap w:val="0"/>
            <w:vAlign w:val="center"/>
          </w:tcPr>
          <w:p w14:paraId="44EA5A3B">
            <w:pPr>
              <w:adjustRightInd w:val="0"/>
              <w:snapToGrid w:val="0"/>
              <w:spacing w:line="320" w:lineRule="exact"/>
              <w:jc w:val="center"/>
              <w:rPr>
                <w:rFonts w:hint="default"/>
                <w:color w:val="auto"/>
                <w:sz w:val="24"/>
                <w:szCs w:val="24"/>
                <w:lang w:val="en-US" w:eastAsia="zh-CN"/>
              </w:rPr>
            </w:pPr>
            <w:r>
              <w:rPr>
                <w:rFonts w:hint="eastAsia"/>
                <w:color w:val="auto"/>
                <w:sz w:val="24"/>
                <w:szCs w:val="24"/>
                <w:lang w:val="en-US" w:eastAsia="zh-CN"/>
              </w:rPr>
              <w:t>臭气浓度</w:t>
            </w:r>
          </w:p>
        </w:tc>
        <w:tc>
          <w:tcPr>
            <w:tcW w:w="1654" w:type="dxa"/>
            <w:vMerge w:val="restart"/>
            <w:noWrap w:val="0"/>
            <w:vAlign w:val="center"/>
          </w:tcPr>
          <w:p w14:paraId="7ED50712">
            <w:pPr>
              <w:adjustRightInd w:val="0"/>
              <w:snapToGrid w:val="0"/>
              <w:spacing w:line="320" w:lineRule="exact"/>
              <w:jc w:val="center"/>
              <w:rPr>
                <w:rFonts w:hint="default"/>
                <w:color w:val="auto"/>
                <w:sz w:val="24"/>
                <w:szCs w:val="24"/>
                <w:lang w:val="en-US" w:eastAsia="zh-CN"/>
              </w:rPr>
            </w:pPr>
            <w:r>
              <w:rPr>
                <w:rFonts w:hint="eastAsia"/>
                <w:color w:val="auto"/>
                <w:sz w:val="24"/>
                <w:szCs w:val="24"/>
                <w:lang w:val="en-US" w:eastAsia="zh-CN"/>
              </w:rPr>
              <w:t>无组织排放</w:t>
            </w:r>
          </w:p>
        </w:tc>
        <w:tc>
          <w:tcPr>
            <w:tcW w:w="2734" w:type="dxa"/>
            <w:noWrap w:val="0"/>
            <w:vAlign w:val="center"/>
          </w:tcPr>
          <w:p w14:paraId="0F6EFCDE">
            <w:pPr>
              <w:adjustRightInd w:val="0"/>
              <w:snapToGrid w:val="0"/>
              <w:spacing w:line="320" w:lineRule="exact"/>
              <w:jc w:val="center"/>
              <w:rPr>
                <w:rFonts w:hint="eastAsia"/>
                <w:color w:val="auto"/>
                <w:sz w:val="24"/>
                <w:szCs w:val="24"/>
                <w:lang w:val="en-US" w:eastAsia="zh-CN"/>
              </w:rPr>
            </w:pPr>
            <w:r>
              <w:rPr>
                <w:rFonts w:hint="eastAsia"/>
                <w:color w:val="auto"/>
                <w:sz w:val="24"/>
                <w:szCs w:val="24"/>
                <w:lang w:val="en-US" w:eastAsia="zh-CN"/>
              </w:rPr>
              <w:t>《恶臭污染物排放标准》(GB14554-93)</w:t>
            </w:r>
          </w:p>
        </w:tc>
      </w:tr>
      <w:tr w14:paraId="7BE3A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25" w:type="dxa"/>
            <w:vMerge w:val="continue"/>
            <w:noWrap w:val="0"/>
            <w:vAlign w:val="center"/>
          </w:tcPr>
          <w:p w14:paraId="1D01C34A">
            <w:pPr>
              <w:adjustRightInd w:val="0"/>
              <w:snapToGrid w:val="0"/>
              <w:spacing w:line="320" w:lineRule="exact"/>
              <w:jc w:val="center"/>
            </w:pPr>
          </w:p>
        </w:tc>
        <w:tc>
          <w:tcPr>
            <w:tcW w:w="1521" w:type="dxa"/>
            <w:vMerge w:val="continue"/>
            <w:noWrap w:val="0"/>
            <w:vAlign w:val="center"/>
          </w:tcPr>
          <w:p w14:paraId="28399DDE">
            <w:pPr>
              <w:adjustRightInd w:val="0"/>
              <w:snapToGrid w:val="0"/>
              <w:spacing w:line="320" w:lineRule="exact"/>
              <w:jc w:val="center"/>
              <w:rPr>
                <w:color w:val="auto"/>
              </w:rPr>
            </w:pPr>
          </w:p>
        </w:tc>
        <w:tc>
          <w:tcPr>
            <w:tcW w:w="1466" w:type="dxa"/>
            <w:noWrap w:val="0"/>
            <w:vAlign w:val="center"/>
          </w:tcPr>
          <w:p w14:paraId="37B25102">
            <w:pPr>
              <w:adjustRightInd w:val="0"/>
              <w:snapToGrid w:val="0"/>
              <w:spacing w:line="320" w:lineRule="exact"/>
              <w:jc w:val="center"/>
              <w:rPr>
                <w:rFonts w:hint="default"/>
                <w:color w:val="auto"/>
                <w:sz w:val="24"/>
                <w:szCs w:val="24"/>
                <w:lang w:val="en-US" w:eastAsia="zh-CN"/>
              </w:rPr>
            </w:pPr>
            <w:r>
              <w:rPr>
                <w:rFonts w:hint="eastAsia"/>
                <w:color w:val="auto"/>
                <w:sz w:val="24"/>
                <w:szCs w:val="24"/>
                <w:lang w:val="en-US" w:eastAsia="zh-CN"/>
              </w:rPr>
              <w:t>颗粒物</w:t>
            </w:r>
          </w:p>
        </w:tc>
        <w:tc>
          <w:tcPr>
            <w:tcW w:w="1654" w:type="dxa"/>
            <w:vMerge w:val="continue"/>
            <w:noWrap w:val="0"/>
            <w:vAlign w:val="center"/>
          </w:tcPr>
          <w:p w14:paraId="56DF0B82">
            <w:pPr>
              <w:adjustRightInd w:val="0"/>
              <w:snapToGrid w:val="0"/>
              <w:spacing w:line="320" w:lineRule="exact"/>
              <w:jc w:val="center"/>
              <w:rPr>
                <w:rFonts w:hint="default"/>
                <w:color w:val="auto"/>
                <w:sz w:val="24"/>
                <w:szCs w:val="24"/>
                <w:lang w:val="en-US" w:eastAsia="zh-CN"/>
              </w:rPr>
            </w:pPr>
          </w:p>
        </w:tc>
        <w:tc>
          <w:tcPr>
            <w:tcW w:w="2734" w:type="dxa"/>
            <w:noWrap w:val="0"/>
            <w:vAlign w:val="center"/>
          </w:tcPr>
          <w:p w14:paraId="66312D0D">
            <w:pPr>
              <w:adjustRightInd w:val="0"/>
              <w:snapToGrid w:val="0"/>
              <w:spacing w:line="320" w:lineRule="exact"/>
              <w:jc w:val="center"/>
              <w:rPr>
                <w:rFonts w:hint="eastAsia"/>
                <w:color w:val="auto"/>
                <w:sz w:val="24"/>
                <w:szCs w:val="24"/>
                <w:lang w:val="en-US" w:eastAsia="zh-CN"/>
              </w:rPr>
            </w:pPr>
            <w:r>
              <w:rPr>
                <w:rFonts w:hint="eastAsia"/>
                <w:color w:val="auto"/>
                <w:sz w:val="24"/>
                <w:szCs w:val="24"/>
                <w:lang w:val="en-US" w:eastAsia="zh-CN"/>
              </w:rPr>
              <w:t>《大气污染物综合排放标准》（DB32/4042-2021）</w:t>
            </w:r>
          </w:p>
        </w:tc>
      </w:tr>
      <w:tr w14:paraId="4D736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425" w:type="dxa"/>
            <w:vMerge w:val="restart"/>
            <w:noWrap w:val="0"/>
            <w:vAlign w:val="center"/>
          </w:tcPr>
          <w:p w14:paraId="23FEAF44">
            <w:pPr>
              <w:adjustRightInd w:val="0"/>
              <w:snapToGrid w:val="0"/>
              <w:spacing w:line="320" w:lineRule="exact"/>
              <w:jc w:val="center"/>
              <w:rPr>
                <w:color w:val="auto"/>
                <w:sz w:val="24"/>
                <w:szCs w:val="24"/>
              </w:rPr>
            </w:pPr>
            <w:r>
              <w:rPr>
                <w:color w:val="auto"/>
                <w:sz w:val="24"/>
                <w:szCs w:val="24"/>
              </w:rPr>
              <w:t>地表水环境</w:t>
            </w:r>
          </w:p>
        </w:tc>
        <w:tc>
          <w:tcPr>
            <w:tcW w:w="1521" w:type="dxa"/>
            <w:vMerge w:val="restart"/>
            <w:noWrap w:val="0"/>
            <w:vAlign w:val="center"/>
          </w:tcPr>
          <w:p w14:paraId="5D323437">
            <w:pPr>
              <w:adjustRightInd w:val="0"/>
              <w:snapToGrid w:val="0"/>
              <w:spacing w:line="320" w:lineRule="exact"/>
              <w:jc w:val="center"/>
              <w:rPr>
                <w:color w:val="auto"/>
                <w:sz w:val="24"/>
                <w:szCs w:val="24"/>
              </w:rPr>
            </w:pPr>
            <w:r>
              <w:rPr>
                <w:color w:val="auto"/>
                <w:sz w:val="24"/>
                <w:szCs w:val="24"/>
              </w:rPr>
              <w:t>生活污水</w:t>
            </w:r>
          </w:p>
        </w:tc>
        <w:tc>
          <w:tcPr>
            <w:tcW w:w="1466" w:type="dxa"/>
            <w:noWrap w:val="0"/>
            <w:vAlign w:val="center"/>
          </w:tcPr>
          <w:p w14:paraId="40056236">
            <w:pPr>
              <w:adjustRightInd w:val="0"/>
              <w:snapToGrid w:val="0"/>
              <w:spacing w:line="320" w:lineRule="exact"/>
              <w:jc w:val="center"/>
              <w:rPr>
                <w:color w:val="auto"/>
                <w:sz w:val="24"/>
                <w:szCs w:val="24"/>
              </w:rPr>
            </w:pPr>
            <w:r>
              <w:rPr>
                <w:color w:val="auto"/>
                <w:sz w:val="24"/>
                <w:szCs w:val="24"/>
              </w:rPr>
              <w:t>COD</w:t>
            </w:r>
          </w:p>
        </w:tc>
        <w:tc>
          <w:tcPr>
            <w:tcW w:w="1654" w:type="dxa"/>
            <w:vMerge w:val="restart"/>
            <w:noWrap w:val="0"/>
            <w:vAlign w:val="center"/>
          </w:tcPr>
          <w:p w14:paraId="4888FAE2">
            <w:pPr>
              <w:adjustRightInd w:val="0"/>
              <w:snapToGrid w:val="0"/>
              <w:spacing w:line="320" w:lineRule="exact"/>
              <w:jc w:val="center"/>
              <w:rPr>
                <w:color w:val="auto"/>
                <w:sz w:val="24"/>
                <w:szCs w:val="24"/>
              </w:rPr>
            </w:pPr>
            <w:r>
              <w:rPr>
                <w:color w:val="auto"/>
                <w:sz w:val="24"/>
                <w:szCs w:val="24"/>
              </w:rPr>
              <w:t>接入市政污水管网进</w:t>
            </w:r>
            <w:r>
              <w:rPr>
                <w:rFonts w:hint="eastAsia"/>
                <w:color w:val="auto"/>
                <w:sz w:val="24"/>
                <w:szCs w:val="24"/>
                <w:lang w:val="en-US" w:eastAsia="zh-CN"/>
              </w:rPr>
              <w:t>入</w:t>
            </w:r>
            <w:r>
              <w:rPr>
                <w:rFonts w:hint="eastAsia"/>
                <w:color w:val="auto"/>
                <w:sz w:val="24"/>
                <w:szCs w:val="24"/>
              </w:rPr>
              <w:t>常州金坛区第二污水处理有限公司</w:t>
            </w:r>
            <w:r>
              <w:rPr>
                <w:color w:val="auto"/>
                <w:sz w:val="24"/>
                <w:szCs w:val="24"/>
              </w:rPr>
              <w:t>处理</w:t>
            </w:r>
          </w:p>
        </w:tc>
        <w:tc>
          <w:tcPr>
            <w:tcW w:w="2734" w:type="dxa"/>
            <w:vMerge w:val="restart"/>
            <w:noWrap w:val="0"/>
            <w:vAlign w:val="center"/>
          </w:tcPr>
          <w:p w14:paraId="78FABC82">
            <w:pPr>
              <w:adjustRightInd w:val="0"/>
              <w:snapToGrid w:val="0"/>
              <w:spacing w:line="320" w:lineRule="exact"/>
              <w:jc w:val="center"/>
              <w:rPr>
                <w:color w:val="auto"/>
                <w:sz w:val="24"/>
                <w:szCs w:val="24"/>
              </w:rPr>
            </w:pPr>
          </w:p>
        </w:tc>
      </w:tr>
      <w:tr w14:paraId="0B257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425" w:type="dxa"/>
            <w:vMerge w:val="continue"/>
            <w:noWrap w:val="0"/>
            <w:vAlign w:val="center"/>
          </w:tcPr>
          <w:p w14:paraId="6C58033E">
            <w:pPr>
              <w:adjustRightInd w:val="0"/>
              <w:snapToGrid w:val="0"/>
              <w:spacing w:line="320" w:lineRule="exact"/>
              <w:jc w:val="center"/>
            </w:pPr>
          </w:p>
        </w:tc>
        <w:tc>
          <w:tcPr>
            <w:tcW w:w="1521" w:type="dxa"/>
            <w:vMerge w:val="continue"/>
            <w:noWrap w:val="0"/>
            <w:vAlign w:val="center"/>
          </w:tcPr>
          <w:p w14:paraId="6DD72BD8">
            <w:pPr>
              <w:adjustRightInd w:val="0"/>
              <w:snapToGrid w:val="0"/>
              <w:spacing w:line="320" w:lineRule="exact"/>
              <w:jc w:val="center"/>
            </w:pPr>
          </w:p>
        </w:tc>
        <w:tc>
          <w:tcPr>
            <w:tcW w:w="1466" w:type="dxa"/>
            <w:noWrap w:val="0"/>
            <w:vAlign w:val="center"/>
          </w:tcPr>
          <w:p w14:paraId="58106961">
            <w:pPr>
              <w:adjustRightInd w:val="0"/>
              <w:snapToGrid w:val="0"/>
              <w:spacing w:line="320" w:lineRule="exact"/>
              <w:jc w:val="center"/>
              <w:rPr>
                <w:rFonts w:hint="default" w:eastAsia="宋体"/>
                <w:color w:val="auto"/>
                <w:sz w:val="24"/>
                <w:szCs w:val="24"/>
                <w:lang w:val="en-US" w:eastAsia="zh-CN"/>
              </w:rPr>
            </w:pPr>
            <w:r>
              <w:rPr>
                <w:rFonts w:hint="eastAsia"/>
                <w:color w:val="auto"/>
                <w:sz w:val="24"/>
                <w:szCs w:val="24"/>
                <w:lang w:val="en-US" w:eastAsia="zh-CN"/>
              </w:rPr>
              <w:t>SS</w:t>
            </w:r>
          </w:p>
        </w:tc>
        <w:tc>
          <w:tcPr>
            <w:tcW w:w="1654" w:type="dxa"/>
            <w:vMerge w:val="continue"/>
            <w:noWrap w:val="0"/>
            <w:vAlign w:val="center"/>
          </w:tcPr>
          <w:p w14:paraId="7D7287A0">
            <w:pPr>
              <w:adjustRightInd w:val="0"/>
              <w:snapToGrid w:val="0"/>
              <w:spacing w:line="320" w:lineRule="exact"/>
              <w:jc w:val="center"/>
              <w:rPr>
                <w:color w:val="auto"/>
                <w:sz w:val="24"/>
                <w:szCs w:val="24"/>
              </w:rPr>
            </w:pPr>
          </w:p>
        </w:tc>
        <w:tc>
          <w:tcPr>
            <w:tcW w:w="2734" w:type="dxa"/>
            <w:vMerge w:val="continue"/>
            <w:noWrap w:val="0"/>
            <w:vAlign w:val="center"/>
          </w:tcPr>
          <w:p w14:paraId="5DC146FF">
            <w:pPr>
              <w:adjustRightInd w:val="0"/>
              <w:snapToGrid w:val="0"/>
              <w:spacing w:line="320" w:lineRule="exact"/>
              <w:jc w:val="center"/>
              <w:rPr>
                <w:color w:val="auto"/>
                <w:sz w:val="24"/>
                <w:szCs w:val="24"/>
              </w:rPr>
            </w:pPr>
          </w:p>
        </w:tc>
      </w:tr>
      <w:tr w14:paraId="17B91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425" w:type="dxa"/>
            <w:vMerge w:val="continue"/>
            <w:noWrap w:val="0"/>
            <w:vAlign w:val="center"/>
          </w:tcPr>
          <w:p w14:paraId="6FFEC58E">
            <w:pPr>
              <w:adjustRightInd w:val="0"/>
              <w:snapToGrid w:val="0"/>
              <w:spacing w:line="320" w:lineRule="exact"/>
              <w:jc w:val="center"/>
              <w:rPr>
                <w:color w:val="auto"/>
                <w:sz w:val="24"/>
                <w:szCs w:val="24"/>
              </w:rPr>
            </w:pPr>
          </w:p>
        </w:tc>
        <w:tc>
          <w:tcPr>
            <w:tcW w:w="1521" w:type="dxa"/>
            <w:vMerge w:val="continue"/>
            <w:noWrap w:val="0"/>
            <w:vAlign w:val="center"/>
          </w:tcPr>
          <w:p w14:paraId="423AAF06">
            <w:pPr>
              <w:adjustRightInd w:val="0"/>
              <w:snapToGrid w:val="0"/>
              <w:spacing w:line="320" w:lineRule="exact"/>
              <w:jc w:val="center"/>
              <w:rPr>
                <w:color w:val="auto"/>
                <w:sz w:val="24"/>
                <w:szCs w:val="24"/>
              </w:rPr>
            </w:pPr>
          </w:p>
        </w:tc>
        <w:tc>
          <w:tcPr>
            <w:tcW w:w="1466" w:type="dxa"/>
            <w:noWrap w:val="0"/>
            <w:vAlign w:val="center"/>
          </w:tcPr>
          <w:p w14:paraId="670FB48D">
            <w:pPr>
              <w:adjustRightInd w:val="0"/>
              <w:snapToGrid w:val="0"/>
              <w:spacing w:line="320" w:lineRule="exact"/>
              <w:jc w:val="center"/>
              <w:rPr>
                <w:color w:val="auto"/>
                <w:sz w:val="24"/>
                <w:szCs w:val="24"/>
              </w:rPr>
            </w:pPr>
            <w:r>
              <w:rPr>
                <w:color w:val="auto"/>
                <w:sz w:val="24"/>
                <w:szCs w:val="24"/>
              </w:rPr>
              <w:t>NH</w:t>
            </w:r>
            <w:r>
              <w:rPr>
                <w:color w:val="auto"/>
                <w:sz w:val="24"/>
                <w:szCs w:val="24"/>
                <w:vertAlign w:val="subscript"/>
              </w:rPr>
              <w:t>3</w:t>
            </w:r>
            <w:r>
              <w:rPr>
                <w:color w:val="auto"/>
                <w:sz w:val="24"/>
                <w:szCs w:val="24"/>
              </w:rPr>
              <w:t>-N</w:t>
            </w:r>
          </w:p>
        </w:tc>
        <w:tc>
          <w:tcPr>
            <w:tcW w:w="1654" w:type="dxa"/>
            <w:vMerge w:val="continue"/>
            <w:noWrap w:val="0"/>
            <w:vAlign w:val="center"/>
          </w:tcPr>
          <w:p w14:paraId="40C7D3C8">
            <w:pPr>
              <w:adjustRightInd w:val="0"/>
              <w:snapToGrid w:val="0"/>
              <w:spacing w:line="320" w:lineRule="exact"/>
              <w:jc w:val="center"/>
              <w:rPr>
                <w:color w:val="auto"/>
                <w:sz w:val="24"/>
                <w:szCs w:val="24"/>
              </w:rPr>
            </w:pPr>
          </w:p>
        </w:tc>
        <w:tc>
          <w:tcPr>
            <w:tcW w:w="2734" w:type="dxa"/>
            <w:vMerge w:val="continue"/>
            <w:noWrap w:val="0"/>
            <w:vAlign w:val="center"/>
          </w:tcPr>
          <w:p w14:paraId="4B9BA8F6">
            <w:pPr>
              <w:adjustRightInd w:val="0"/>
              <w:snapToGrid w:val="0"/>
              <w:spacing w:line="320" w:lineRule="exact"/>
              <w:jc w:val="center"/>
              <w:rPr>
                <w:color w:val="auto"/>
                <w:sz w:val="24"/>
                <w:szCs w:val="24"/>
              </w:rPr>
            </w:pPr>
          </w:p>
        </w:tc>
      </w:tr>
      <w:tr w14:paraId="35973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25" w:type="dxa"/>
            <w:vMerge w:val="continue"/>
            <w:noWrap w:val="0"/>
            <w:vAlign w:val="center"/>
          </w:tcPr>
          <w:p w14:paraId="5B5CC19B">
            <w:pPr>
              <w:adjustRightInd w:val="0"/>
              <w:snapToGrid w:val="0"/>
              <w:spacing w:line="320" w:lineRule="exact"/>
              <w:jc w:val="center"/>
              <w:rPr>
                <w:color w:val="auto"/>
                <w:sz w:val="24"/>
                <w:szCs w:val="24"/>
              </w:rPr>
            </w:pPr>
          </w:p>
        </w:tc>
        <w:tc>
          <w:tcPr>
            <w:tcW w:w="1521" w:type="dxa"/>
            <w:vMerge w:val="continue"/>
            <w:noWrap w:val="0"/>
            <w:vAlign w:val="center"/>
          </w:tcPr>
          <w:p w14:paraId="7A63EF04">
            <w:pPr>
              <w:adjustRightInd w:val="0"/>
              <w:snapToGrid w:val="0"/>
              <w:spacing w:line="320" w:lineRule="exact"/>
              <w:jc w:val="center"/>
              <w:rPr>
                <w:color w:val="auto"/>
                <w:sz w:val="24"/>
                <w:szCs w:val="24"/>
              </w:rPr>
            </w:pPr>
          </w:p>
        </w:tc>
        <w:tc>
          <w:tcPr>
            <w:tcW w:w="1466" w:type="dxa"/>
            <w:noWrap w:val="0"/>
            <w:vAlign w:val="center"/>
          </w:tcPr>
          <w:p w14:paraId="0BDB667F">
            <w:pPr>
              <w:adjustRightInd w:val="0"/>
              <w:snapToGrid w:val="0"/>
              <w:spacing w:line="320" w:lineRule="exact"/>
              <w:jc w:val="center"/>
              <w:rPr>
                <w:color w:val="auto"/>
                <w:sz w:val="24"/>
                <w:szCs w:val="24"/>
              </w:rPr>
            </w:pPr>
            <w:r>
              <w:rPr>
                <w:color w:val="auto"/>
                <w:sz w:val="24"/>
                <w:szCs w:val="24"/>
              </w:rPr>
              <w:t>TP</w:t>
            </w:r>
          </w:p>
        </w:tc>
        <w:tc>
          <w:tcPr>
            <w:tcW w:w="1654" w:type="dxa"/>
            <w:vMerge w:val="continue"/>
            <w:noWrap w:val="0"/>
            <w:vAlign w:val="center"/>
          </w:tcPr>
          <w:p w14:paraId="3C42E026">
            <w:pPr>
              <w:adjustRightInd w:val="0"/>
              <w:snapToGrid w:val="0"/>
              <w:spacing w:line="320" w:lineRule="exact"/>
              <w:jc w:val="center"/>
              <w:rPr>
                <w:color w:val="auto"/>
                <w:sz w:val="24"/>
                <w:szCs w:val="24"/>
              </w:rPr>
            </w:pPr>
          </w:p>
        </w:tc>
        <w:tc>
          <w:tcPr>
            <w:tcW w:w="2734" w:type="dxa"/>
            <w:vMerge w:val="continue"/>
            <w:noWrap w:val="0"/>
            <w:vAlign w:val="center"/>
          </w:tcPr>
          <w:p w14:paraId="2EE81648">
            <w:pPr>
              <w:adjustRightInd w:val="0"/>
              <w:snapToGrid w:val="0"/>
              <w:spacing w:line="320" w:lineRule="exact"/>
              <w:jc w:val="center"/>
              <w:rPr>
                <w:color w:val="auto"/>
                <w:sz w:val="24"/>
                <w:szCs w:val="24"/>
              </w:rPr>
            </w:pPr>
          </w:p>
        </w:tc>
      </w:tr>
      <w:tr w14:paraId="3A36C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vMerge w:val="continue"/>
            <w:noWrap w:val="0"/>
            <w:vAlign w:val="center"/>
          </w:tcPr>
          <w:p w14:paraId="4C155472">
            <w:pPr>
              <w:adjustRightInd w:val="0"/>
              <w:snapToGrid w:val="0"/>
              <w:spacing w:line="320" w:lineRule="exact"/>
              <w:jc w:val="center"/>
              <w:rPr>
                <w:color w:val="auto"/>
                <w:sz w:val="24"/>
                <w:szCs w:val="24"/>
              </w:rPr>
            </w:pPr>
          </w:p>
        </w:tc>
        <w:tc>
          <w:tcPr>
            <w:tcW w:w="1521" w:type="dxa"/>
            <w:vMerge w:val="continue"/>
            <w:noWrap w:val="0"/>
            <w:vAlign w:val="center"/>
          </w:tcPr>
          <w:p w14:paraId="71D3FA6B">
            <w:pPr>
              <w:adjustRightInd w:val="0"/>
              <w:snapToGrid w:val="0"/>
              <w:spacing w:line="320" w:lineRule="exact"/>
              <w:jc w:val="center"/>
              <w:rPr>
                <w:color w:val="auto"/>
                <w:sz w:val="24"/>
                <w:szCs w:val="24"/>
              </w:rPr>
            </w:pPr>
          </w:p>
        </w:tc>
        <w:tc>
          <w:tcPr>
            <w:tcW w:w="1466" w:type="dxa"/>
            <w:noWrap w:val="0"/>
            <w:vAlign w:val="center"/>
          </w:tcPr>
          <w:p w14:paraId="709044C1">
            <w:pPr>
              <w:adjustRightInd w:val="0"/>
              <w:snapToGrid w:val="0"/>
              <w:spacing w:line="320" w:lineRule="exact"/>
              <w:jc w:val="center"/>
              <w:rPr>
                <w:color w:val="auto"/>
                <w:sz w:val="24"/>
                <w:szCs w:val="24"/>
              </w:rPr>
            </w:pPr>
            <w:r>
              <w:rPr>
                <w:color w:val="auto"/>
                <w:sz w:val="24"/>
                <w:szCs w:val="24"/>
              </w:rPr>
              <w:t>TN</w:t>
            </w:r>
          </w:p>
        </w:tc>
        <w:tc>
          <w:tcPr>
            <w:tcW w:w="1654" w:type="dxa"/>
            <w:vMerge w:val="continue"/>
            <w:noWrap w:val="0"/>
            <w:vAlign w:val="center"/>
          </w:tcPr>
          <w:p w14:paraId="519F6376">
            <w:pPr>
              <w:adjustRightInd w:val="0"/>
              <w:snapToGrid w:val="0"/>
              <w:spacing w:line="320" w:lineRule="exact"/>
              <w:jc w:val="center"/>
              <w:rPr>
                <w:color w:val="auto"/>
                <w:sz w:val="24"/>
                <w:szCs w:val="24"/>
              </w:rPr>
            </w:pPr>
          </w:p>
        </w:tc>
        <w:tc>
          <w:tcPr>
            <w:tcW w:w="2734" w:type="dxa"/>
            <w:vMerge w:val="continue"/>
            <w:noWrap w:val="0"/>
            <w:vAlign w:val="center"/>
          </w:tcPr>
          <w:p w14:paraId="7F1DCC25">
            <w:pPr>
              <w:adjustRightInd w:val="0"/>
              <w:snapToGrid w:val="0"/>
              <w:spacing w:line="320" w:lineRule="exact"/>
              <w:jc w:val="center"/>
              <w:rPr>
                <w:color w:val="auto"/>
                <w:sz w:val="24"/>
                <w:szCs w:val="24"/>
              </w:rPr>
            </w:pPr>
          </w:p>
        </w:tc>
      </w:tr>
      <w:tr w14:paraId="279E4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noWrap w:val="0"/>
            <w:vAlign w:val="center"/>
          </w:tcPr>
          <w:p w14:paraId="37C39503">
            <w:pPr>
              <w:adjustRightInd w:val="0"/>
              <w:snapToGrid w:val="0"/>
              <w:spacing w:line="320" w:lineRule="exact"/>
              <w:jc w:val="center"/>
              <w:rPr>
                <w:color w:val="auto"/>
                <w:sz w:val="24"/>
                <w:szCs w:val="24"/>
              </w:rPr>
            </w:pPr>
            <w:r>
              <w:rPr>
                <w:color w:val="auto"/>
                <w:sz w:val="24"/>
                <w:szCs w:val="24"/>
              </w:rPr>
              <w:t>声环境</w:t>
            </w:r>
          </w:p>
        </w:tc>
        <w:tc>
          <w:tcPr>
            <w:tcW w:w="1521" w:type="dxa"/>
            <w:noWrap w:val="0"/>
            <w:vAlign w:val="center"/>
          </w:tcPr>
          <w:p w14:paraId="28F973FD">
            <w:pPr>
              <w:adjustRightInd w:val="0"/>
              <w:snapToGrid w:val="0"/>
              <w:spacing w:line="320" w:lineRule="exact"/>
              <w:jc w:val="center"/>
              <w:rPr>
                <w:color w:val="auto"/>
                <w:sz w:val="24"/>
                <w:szCs w:val="24"/>
              </w:rPr>
            </w:pPr>
            <w:r>
              <w:rPr>
                <w:rFonts w:hint="eastAsia"/>
                <w:color w:val="auto"/>
                <w:sz w:val="24"/>
                <w:szCs w:val="24"/>
              </w:rPr>
              <w:t>生产</w:t>
            </w:r>
            <w:r>
              <w:rPr>
                <w:color w:val="auto"/>
                <w:sz w:val="24"/>
                <w:szCs w:val="24"/>
              </w:rPr>
              <w:t>车间</w:t>
            </w:r>
          </w:p>
        </w:tc>
        <w:tc>
          <w:tcPr>
            <w:tcW w:w="1466" w:type="dxa"/>
            <w:noWrap w:val="0"/>
            <w:vAlign w:val="center"/>
          </w:tcPr>
          <w:p w14:paraId="332D9C9C">
            <w:pPr>
              <w:adjustRightInd w:val="0"/>
              <w:snapToGrid w:val="0"/>
              <w:spacing w:line="320" w:lineRule="exact"/>
              <w:jc w:val="center"/>
              <w:rPr>
                <w:color w:val="auto"/>
                <w:sz w:val="24"/>
                <w:szCs w:val="24"/>
              </w:rPr>
            </w:pPr>
            <w:r>
              <w:rPr>
                <w:color w:val="auto"/>
                <w:sz w:val="24"/>
                <w:szCs w:val="24"/>
              </w:rPr>
              <w:t>噪声</w:t>
            </w:r>
          </w:p>
        </w:tc>
        <w:tc>
          <w:tcPr>
            <w:tcW w:w="1654" w:type="dxa"/>
            <w:noWrap w:val="0"/>
            <w:vAlign w:val="center"/>
          </w:tcPr>
          <w:p w14:paraId="1ABD567E">
            <w:pPr>
              <w:adjustRightInd w:val="0"/>
              <w:snapToGrid w:val="0"/>
              <w:spacing w:line="320" w:lineRule="exact"/>
              <w:jc w:val="center"/>
              <w:rPr>
                <w:color w:val="auto"/>
                <w:sz w:val="24"/>
                <w:szCs w:val="24"/>
              </w:rPr>
            </w:pPr>
            <w:r>
              <w:rPr>
                <w:color w:val="auto"/>
                <w:sz w:val="24"/>
                <w:szCs w:val="24"/>
              </w:rPr>
              <w:t>隔声、减振</w:t>
            </w:r>
          </w:p>
        </w:tc>
        <w:tc>
          <w:tcPr>
            <w:tcW w:w="2734" w:type="dxa"/>
            <w:noWrap w:val="0"/>
            <w:vAlign w:val="center"/>
          </w:tcPr>
          <w:p w14:paraId="5EBA7F88">
            <w:pPr>
              <w:adjustRightInd w:val="0"/>
              <w:snapToGrid w:val="0"/>
              <w:spacing w:line="320" w:lineRule="exact"/>
              <w:jc w:val="center"/>
              <w:rPr>
                <w:color w:val="auto"/>
                <w:sz w:val="24"/>
                <w:szCs w:val="24"/>
              </w:rPr>
            </w:pPr>
            <w:r>
              <w:rPr>
                <w:color w:val="auto"/>
                <w:spacing w:val="-11"/>
                <w:sz w:val="24"/>
                <w:szCs w:val="24"/>
              </w:rPr>
              <w:t>《工业企业厂界环境噪声排放标准(GB12348-2008)3类</w:t>
            </w:r>
          </w:p>
        </w:tc>
      </w:tr>
      <w:tr w14:paraId="70845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noWrap w:val="0"/>
            <w:vAlign w:val="center"/>
          </w:tcPr>
          <w:p w14:paraId="084416F6">
            <w:pPr>
              <w:adjustRightInd w:val="0"/>
              <w:snapToGrid w:val="0"/>
              <w:spacing w:line="320" w:lineRule="exact"/>
              <w:jc w:val="center"/>
              <w:rPr>
                <w:color w:val="auto"/>
                <w:sz w:val="24"/>
                <w:szCs w:val="24"/>
              </w:rPr>
            </w:pPr>
            <w:r>
              <w:rPr>
                <w:color w:val="auto"/>
                <w:sz w:val="24"/>
                <w:szCs w:val="24"/>
              </w:rPr>
              <w:t>电磁辐射</w:t>
            </w:r>
          </w:p>
        </w:tc>
        <w:tc>
          <w:tcPr>
            <w:tcW w:w="7375" w:type="dxa"/>
            <w:gridSpan w:val="4"/>
            <w:noWrap w:val="0"/>
            <w:vAlign w:val="center"/>
          </w:tcPr>
          <w:p w14:paraId="46803C9A">
            <w:pPr>
              <w:adjustRightInd w:val="0"/>
              <w:snapToGrid w:val="0"/>
              <w:spacing w:line="320" w:lineRule="exact"/>
              <w:jc w:val="center"/>
              <w:rPr>
                <w:color w:val="auto"/>
                <w:sz w:val="24"/>
                <w:szCs w:val="24"/>
              </w:rPr>
            </w:pPr>
            <w:r>
              <w:rPr>
                <w:color w:val="auto"/>
                <w:sz w:val="24"/>
                <w:szCs w:val="24"/>
              </w:rPr>
              <w:t>本项目</w:t>
            </w:r>
            <w:r>
              <w:rPr>
                <w:rFonts w:hint="eastAsia"/>
                <w:color w:val="auto"/>
                <w:sz w:val="24"/>
                <w:szCs w:val="24"/>
              </w:rPr>
              <w:t>生产</w:t>
            </w:r>
            <w:r>
              <w:rPr>
                <w:color w:val="auto"/>
                <w:sz w:val="24"/>
                <w:szCs w:val="24"/>
              </w:rPr>
              <w:t>过程中不使用含放射性同位素和伴有电磁辐射的设施，无放射性同位素及电磁辐射产生</w:t>
            </w:r>
          </w:p>
        </w:tc>
      </w:tr>
      <w:tr w14:paraId="1533E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noWrap w:val="0"/>
            <w:vAlign w:val="center"/>
          </w:tcPr>
          <w:p w14:paraId="6B082248">
            <w:pPr>
              <w:adjustRightInd w:val="0"/>
              <w:snapToGrid w:val="0"/>
              <w:spacing w:line="320" w:lineRule="exact"/>
              <w:jc w:val="center"/>
              <w:rPr>
                <w:color w:val="auto"/>
                <w:sz w:val="24"/>
                <w:szCs w:val="24"/>
              </w:rPr>
            </w:pPr>
            <w:r>
              <w:rPr>
                <w:color w:val="auto"/>
                <w:sz w:val="24"/>
                <w:szCs w:val="24"/>
              </w:rPr>
              <w:t>固体废物</w:t>
            </w:r>
          </w:p>
        </w:tc>
        <w:tc>
          <w:tcPr>
            <w:tcW w:w="7375" w:type="dxa"/>
            <w:gridSpan w:val="4"/>
            <w:noWrap w:val="0"/>
            <w:vAlign w:val="center"/>
          </w:tcPr>
          <w:p w14:paraId="129CA9B9">
            <w:pPr>
              <w:pStyle w:val="11"/>
              <w:numPr>
                <w:ilvl w:val="0"/>
                <w:numId w:val="0"/>
              </w:numPr>
              <w:spacing w:line="320" w:lineRule="exact"/>
              <w:jc w:val="center"/>
              <w:rPr>
                <w:color w:val="auto"/>
                <w:sz w:val="24"/>
                <w:szCs w:val="24"/>
              </w:rPr>
            </w:pPr>
            <w:r>
              <w:rPr>
                <w:color w:val="auto"/>
                <w:sz w:val="24"/>
                <w:szCs w:val="24"/>
              </w:rPr>
              <w:t>本项目</w:t>
            </w:r>
            <w:r>
              <w:rPr>
                <w:rFonts w:hint="eastAsia"/>
                <w:color w:val="auto"/>
                <w:sz w:val="24"/>
                <w:szCs w:val="24"/>
              </w:rPr>
              <w:t>建成后</w:t>
            </w:r>
            <w:r>
              <w:rPr>
                <w:rFonts w:hint="eastAsia"/>
                <w:color w:val="auto"/>
                <w:sz w:val="24"/>
                <w:szCs w:val="24"/>
                <w:lang w:val="en-US" w:eastAsia="zh-CN"/>
              </w:rPr>
              <w:t>试剂废包装箱、纯水废瓶</w:t>
            </w:r>
            <w:r>
              <w:rPr>
                <w:color w:val="auto"/>
                <w:sz w:val="24"/>
                <w:szCs w:val="24"/>
              </w:rPr>
              <w:t>经收集后</w:t>
            </w:r>
            <w:r>
              <w:rPr>
                <w:rFonts w:hint="eastAsia"/>
                <w:color w:val="auto"/>
                <w:sz w:val="24"/>
                <w:szCs w:val="24"/>
              </w:rPr>
              <w:t>委外综合利用</w:t>
            </w:r>
            <w:r>
              <w:rPr>
                <w:color w:val="auto"/>
                <w:sz w:val="24"/>
                <w:szCs w:val="24"/>
              </w:rPr>
              <w:t>；</w:t>
            </w:r>
            <w:r>
              <w:rPr>
                <w:rFonts w:hint="eastAsia"/>
                <w:color w:val="auto"/>
                <w:sz w:val="24"/>
                <w:szCs w:val="24"/>
                <w:lang w:val="en-US" w:eastAsia="zh-CN"/>
              </w:rPr>
              <w:t>废试剂瓶、废液、废渣、废活性炭</w:t>
            </w:r>
            <w:r>
              <w:rPr>
                <w:color w:val="auto"/>
                <w:sz w:val="24"/>
                <w:szCs w:val="24"/>
              </w:rPr>
              <w:t>经收集后委托有资质单位处理；生活垃圾经收集后由环卫部门统一清运。</w:t>
            </w:r>
          </w:p>
        </w:tc>
      </w:tr>
      <w:tr w14:paraId="0BD48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noWrap w:val="0"/>
            <w:vAlign w:val="center"/>
          </w:tcPr>
          <w:p w14:paraId="05B7CF29">
            <w:pPr>
              <w:adjustRightInd w:val="0"/>
              <w:snapToGrid w:val="0"/>
              <w:spacing w:line="320" w:lineRule="exact"/>
              <w:jc w:val="center"/>
              <w:rPr>
                <w:color w:val="auto"/>
                <w:sz w:val="24"/>
                <w:szCs w:val="24"/>
              </w:rPr>
            </w:pPr>
            <w:r>
              <w:rPr>
                <w:color w:val="auto"/>
                <w:sz w:val="24"/>
                <w:szCs w:val="24"/>
              </w:rPr>
              <w:t>土壤及地下水污染防治措施</w:t>
            </w:r>
          </w:p>
        </w:tc>
        <w:tc>
          <w:tcPr>
            <w:tcW w:w="7375" w:type="dxa"/>
            <w:gridSpan w:val="4"/>
            <w:noWrap w:val="0"/>
            <w:vAlign w:val="center"/>
          </w:tcPr>
          <w:p w14:paraId="107C25E6">
            <w:pPr>
              <w:pStyle w:val="11"/>
              <w:numPr>
                <w:ilvl w:val="0"/>
                <w:numId w:val="0"/>
              </w:numPr>
              <w:spacing w:line="320" w:lineRule="exact"/>
              <w:jc w:val="center"/>
              <w:rPr>
                <w:color w:val="auto"/>
                <w:sz w:val="24"/>
                <w:szCs w:val="24"/>
              </w:rPr>
            </w:pPr>
            <w:r>
              <w:rPr>
                <w:color w:val="auto"/>
                <w:sz w:val="24"/>
                <w:szCs w:val="24"/>
              </w:rPr>
              <w:t>项目</w:t>
            </w:r>
            <w:r>
              <w:rPr>
                <w:rFonts w:hint="eastAsia"/>
                <w:color w:val="auto"/>
                <w:sz w:val="24"/>
                <w:szCs w:val="24"/>
              </w:rPr>
              <w:t>利用</w:t>
            </w:r>
            <w:r>
              <w:rPr>
                <w:color w:val="auto"/>
                <w:sz w:val="24"/>
                <w:szCs w:val="24"/>
              </w:rPr>
              <w:t>现有空置厂房进行生产，</w:t>
            </w:r>
            <w:r>
              <w:rPr>
                <w:rFonts w:hint="eastAsia"/>
                <w:color w:val="auto"/>
                <w:sz w:val="24"/>
                <w:szCs w:val="24"/>
                <w:lang w:val="en-US" w:eastAsia="zh-CN"/>
              </w:rPr>
              <w:t>生活污</w:t>
            </w:r>
            <w:r>
              <w:rPr>
                <w:color w:val="auto"/>
                <w:sz w:val="24"/>
                <w:szCs w:val="24"/>
              </w:rPr>
              <w:t>水接管市政污水厂处理，危废库房、</w:t>
            </w:r>
            <w:r>
              <w:rPr>
                <w:rFonts w:hint="eastAsia"/>
                <w:color w:val="auto"/>
                <w:sz w:val="24"/>
                <w:szCs w:val="24"/>
                <w:lang w:val="en-US" w:eastAsia="zh-CN"/>
              </w:rPr>
              <w:t>生产车间</w:t>
            </w:r>
            <w:r>
              <w:rPr>
                <w:color w:val="auto"/>
                <w:sz w:val="24"/>
                <w:szCs w:val="24"/>
              </w:rPr>
              <w:t>、</w:t>
            </w:r>
            <w:r>
              <w:rPr>
                <w:rFonts w:hint="eastAsia"/>
                <w:color w:val="auto"/>
                <w:sz w:val="24"/>
                <w:szCs w:val="24"/>
                <w:lang w:val="en-US" w:eastAsia="zh-CN"/>
              </w:rPr>
              <w:t>试剂间</w:t>
            </w:r>
            <w:r>
              <w:rPr>
                <w:color w:val="auto"/>
                <w:sz w:val="24"/>
                <w:szCs w:val="24"/>
              </w:rPr>
              <w:t>均采取防渗措施，不会对土壤及地下水环境产生影响。</w:t>
            </w:r>
          </w:p>
        </w:tc>
      </w:tr>
      <w:tr w14:paraId="3974D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noWrap w:val="0"/>
            <w:vAlign w:val="center"/>
          </w:tcPr>
          <w:p w14:paraId="19B16E62">
            <w:pPr>
              <w:adjustRightInd w:val="0"/>
              <w:snapToGrid w:val="0"/>
              <w:spacing w:line="320" w:lineRule="exact"/>
              <w:jc w:val="center"/>
              <w:rPr>
                <w:color w:val="auto"/>
                <w:kern w:val="0"/>
                <w:sz w:val="24"/>
                <w:szCs w:val="24"/>
              </w:rPr>
            </w:pPr>
            <w:r>
              <w:rPr>
                <w:color w:val="auto"/>
                <w:kern w:val="0"/>
                <w:sz w:val="24"/>
                <w:szCs w:val="24"/>
              </w:rPr>
              <w:t>生态保护</w:t>
            </w:r>
          </w:p>
          <w:p w14:paraId="039A8ACB">
            <w:pPr>
              <w:adjustRightInd w:val="0"/>
              <w:snapToGrid w:val="0"/>
              <w:spacing w:line="320" w:lineRule="exact"/>
              <w:jc w:val="center"/>
              <w:rPr>
                <w:color w:val="auto"/>
                <w:kern w:val="0"/>
                <w:sz w:val="24"/>
                <w:szCs w:val="24"/>
              </w:rPr>
            </w:pPr>
            <w:r>
              <w:rPr>
                <w:color w:val="auto"/>
                <w:kern w:val="0"/>
                <w:sz w:val="24"/>
                <w:szCs w:val="24"/>
              </w:rPr>
              <w:t>措施</w:t>
            </w:r>
          </w:p>
        </w:tc>
        <w:tc>
          <w:tcPr>
            <w:tcW w:w="7375" w:type="dxa"/>
            <w:gridSpan w:val="4"/>
            <w:noWrap w:val="0"/>
            <w:vAlign w:val="center"/>
          </w:tcPr>
          <w:p w14:paraId="153BC42A">
            <w:pPr>
              <w:adjustRightInd w:val="0"/>
              <w:snapToGrid w:val="0"/>
              <w:spacing w:line="320" w:lineRule="exact"/>
              <w:jc w:val="center"/>
              <w:rPr>
                <w:color w:val="auto"/>
                <w:kern w:val="0"/>
                <w:sz w:val="24"/>
                <w:szCs w:val="24"/>
              </w:rPr>
            </w:pPr>
            <w:r>
              <w:rPr>
                <w:color w:val="auto"/>
                <w:kern w:val="0"/>
                <w:sz w:val="24"/>
                <w:szCs w:val="24"/>
              </w:rPr>
              <w:t>本项目</w:t>
            </w:r>
            <w:r>
              <w:rPr>
                <w:rFonts w:hint="eastAsia"/>
                <w:color w:val="auto"/>
                <w:kern w:val="0"/>
                <w:sz w:val="24"/>
                <w:szCs w:val="24"/>
              </w:rPr>
              <w:t>利用</w:t>
            </w:r>
            <w:r>
              <w:rPr>
                <w:color w:val="auto"/>
                <w:kern w:val="0"/>
                <w:sz w:val="24"/>
                <w:szCs w:val="24"/>
              </w:rPr>
              <w:t>现有空置厂房进行生产，对厂界外生态不产生影响</w:t>
            </w:r>
          </w:p>
        </w:tc>
      </w:tr>
      <w:tr w14:paraId="56329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noWrap w:val="0"/>
            <w:vAlign w:val="center"/>
          </w:tcPr>
          <w:p w14:paraId="24D364B5">
            <w:pPr>
              <w:adjustRightInd w:val="0"/>
              <w:snapToGrid w:val="0"/>
              <w:spacing w:line="320" w:lineRule="exact"/>
              <w:jc w:val="center"/>
              <w:rPr>
                <w:color w:val="auto"/>
                <w:spacing w:val="-8"/>
                <w:sz w:val="24"/>
                <w:szCs w:val="24"/>
              </w:rPr>
            </w:pPr>
            <w:r>
              <w:rPr>
                <w:color w:val="auto"/>
                <w:spacing w:val="-8"/>
                <w:sz w:val="24"/>
                <w:szCs w:val="24"/>
              </w:rPr>
              <w:t>环境风险</w:t>
            </w:r>
          </w:p>
          <w:p w14:paraId="7CBAC050">
            <w:pPr>
              <w:adjustRightInd w:val="0"/>
              <w:snapToGrid w:val="0"/>
              <w:spacing w:line="320" w:lineRule="exact"/>
              <w:jc w:val="center"/>
              <w:rPr>
                <w:color w:val="auto"/>
                <w:spacing w:val="-8"/>
                <w:sz w:val="24"/>
                <w:szCs w:val="24"/>
              </w:rPr>
            </w:pPr>
            <w:r>
              <w:rPr>
                <w:color w:val="auto"/>
                <w:spacing w:val="-8"/>
                <w:sz w:val="24"/>
                <w:szCs w:val="24"/>
              </w:rPr>
              <w:t>防范措施</w:t>
            </w:r>
          </w:p>
        </w:tc>
        <w:tc>
          <w:tcPr>
            <w:tcW w:w="7375" w:type="dxa"/>
            <w:gridSpan w:val="4"/>
            <w:noWrap w:val="0"/>
            <w:vAlign w:val="center"/>
          </w:tcPr>
          <w:p w14:paraId="5E2EDFB2">
            <w:pPr>
              <w:adjustRightInd w:val="0"/>
              <w:snapToGrid w:val="0"/>
              <w:spacing w:line="320" w:lineRule="exact"/>
              <w:rPr>
                <w:color w:val="auto"/>
                <w:sz w:val="24"/>
                <w:szCs w:val="24"/>
              </w:rPr>
            </w:pPr>
            <w:r>
              <w:rPr>
                <w:color w:val="auto"/>
                <w:sz w:val="24"/>
                <w:szCs w:val="24"/>
              </w:rPr>
              <w:t>1、建立健全各种有关消防与安全生产的规章制度，建立岗位责任制。仓库、生产车间严禁明火，禁火区设置明显标志牌。</w:t>
            </w:r>
          </w:p>
          <w:p w14:paraId="13B0883A">
            <w:pPr>
              <w:adjustRightInd w:val="0"/>
              <w:snapToGrid w:val="0"/>
              <w:spacing w:line="320" w:lineRule="exact"/>
              <w:rPr>
                <w:color w:val="auto"/>
                <w:sz w:val="24"/>
                <w:szCs w:val="24"/>
              </w:rPr>
            </w:pPr>
            <w:r>
              <w:rPr>
                <w:color w:val="auto"/>
                <w:sz w:val="24"/>
                <w:szCs w:val="24"/>
              </w:rPr>
              <w:t>2、配置足量的灭火器及室内消防箱等消防设施，由专人保管和监护，并保持完好状态。</w:t>
            </w:r>
          </w:p>
          <w:p w14:paraId="7F93F861">
            <w:pPr>
              <w:adjustRightInd w:val="0"/>
              <w:snapToGrid w:val="0"/>
              <w:spacing w:line="320" w:lineRule="exact"/>
              <w:rPr>
                <w:color w:val="auto"/>
                <w:sz w:val="24"/>
                <w:szCs w:val="24"/>
              </w:rPr>
            </w:pPr>
            <w:r>
              <w:rPr>
                <w:color w:val="auto"/>
                <w:sz w:val="24"/>
                <w:szCs w:val="24"/>
              </w:rPr>
              <w:t>3、进行定期的培训和训练。对有火灾危险的场所设置自动报警系统，一旦发生火灾，立即做出应急反应。</w:t>
            </w:r>
          </w:p>
          <w:p w14:paraId="2E2AB7B4">
            <w:pPr>
              <w:adjustRightInd w:val="0"/>
              <w:snapToGrid w:val="0"/>
              <w:spacing w:line="320" w:lineRule="exact"/>
              <w:rPr>
                <w:color w:val="auto"/>
                <w:sz w:val="24"/>
                <w:szCs w:val="24"/>
              </w:rPr>
            </w:pPr>
            <w:r>
              <w:rPr>
                <w:color w:val="auto"/>
                <w:sz w:val="24"/>
                <w:szCs w:val="24"/>
              </w:rPr>
              <w:t>4、危废库房设置监控系统，在库的出入口、内部等关键位置安装视频监控设施，进行实时监控，并与中控室联网。</w:t>
            </w:r>
          </w:p>
        </w:tc>
      </w:tr>
      <w:tr w14:paraId="0A216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25" w:type="dxa"/>
            <w:noWrap w:val="0"/>
            <w:vAlign w:val="center"/>
          </w:tcPr>
          <w:p w14:paraId="02CF605D">
            <w:pPr>
              <w:adjustRightInd w:val="0"/>
              <w:snapToGrid w:val="0"/>
              <w:spacing w:line="320" w:lineRule="exact"/>
              <w:jc w:val="center"/>
              <w:rPr>
                <w:color w:val="auto"/>
                <w:spacing w:val="-8"/>
                <w:sz w:val="24"/>
                <w:szCs w:val="24"/>
              </w:rPr>
            </w:pPr>
            <w:r>
              <w:rPr>
                <w:color w:val="auto"/>
                <w:spacing w:val="-8"/>
                <w:sz w:val="24"/>
                <w:szCs w:val="24"/>
              </w:rPr>
              <w:t>其他环境</w:t>
            </w:r>
          </w:p>
          <w:p w14:paraId="0D55CFBC">
            <w:pPr>
              <w:adjustRightInd w:val="0"/>
              <w:snapToGrid w:val="0"/>
              <w:spacing w:line="320" w:lineRule="exact"/>
              <w:jc w:val="center"/>
              <w:rPr>
                <w:color w:val="auto"/>
                <w:spacing w:val="-8"/>
                <w:sz w:val="24"/>
                <w:szCs w:val="24"/>
              </w:rPr>
            </w:pPr>
            <w:r>
              <w:rPr>
                <w:color w:val="auto"/>
                <w:spacing w:val="-8"/>
                <w:sz w:val="24"/>
                <w:szCs w:val="24"/>
              </w:rPr>
              <w:t>管理要求</w:t>
            </w:r>
          </w:p>
        </w:tc>
        <w:tc>
          <w:tcPr>
            <w:tcW w:w="7375" w:type="dxa"/>
            <w:gridSpan w:val="4"/>
            <w:noWrap w:val="0"/>
            <w:vAlign w:val="center"/>
          </w:tcPr>
          <w:p w14:paraId="725646CD">
            <w:pPr>
              <w:adjustRightInd w:val="0"/>
              <w:snapToGrid w:val="0"/>
              <w:spacing w:line="320" w:lineRule="exact"/>
              <w:jc w:val="both"/>
              <w:rPr>
                <w:color w:val="auto"/>
                <w:sz w:val="24"/>
                <w:szCs w:val="24"/>
              </w:rPr>
            </w:pPr>
            <w:r>
              <w:rPr>
                <w:color w:val="auto"/>
                <w:sz w:val="24"/>
                <w:szCs w:val="24"/>
              </w:rPr>
              <w:t>制定环境管理制度，开展日常的环境监测工作，统计整理有关环境监测资料并上报当地环保部门，检查监督环保设施的运行、维修和管理情况，开展全厂职工的环保知识教育和组织培训。</w:t>
            </w:r>
          </w:p>
        </w:tc>
      </w:tr>
    </w:tbl>
    <w:p w14:paraId="568D64D8">
      <w:pPr>
        <w:pStyle w:val="18"/>
        <w:spacing w:before="0" w:beforeAutospacing="0" w:after="0" w:afterAutospacing="0"/>
        <w:jc w:val="center"/>
        <w:outlineLvl w:val="0"/>
        <w:rPr>
          <w:rFonts w:ascii="Times New Roman" w:hAnsi="Times New Roman"/>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2FF6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8865" w:type="dxa"/>
            <w:noWrap w:val="0"/>
            <w:vAlign w:val="center"/>
          </w:tcPr>
          <w:p w14:paraId="6E6C0049">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color w:val="auto"/>
                <w:spacing w:val="-6"/>
                <w:sz w:val="24"/>
                <w:szCs w:val="24"/>
                <w:lang w:val="zh-CN"/>
              </w:rPr>
            </w:pPr>
            <w:r>
              <w:rPr>
                <w:color w:val="auto"/>
                <w:spacing w:val="-6"/>
                <w:sz w:val="24"/>
                <w:szCs w:val="24"/>
                <w:lang w:val="zh-CN"/>
              </w:rPr>
              <w:t>本项目</w:t>
            </w:r>
            <w:r>
              <w:rPr>
                <w:rFonts w:hint="eastAsia"/>
                <w:color w:val="auto"/>
                <w:spacing w:val="-2"/>
                <w:sz w:val="24"/>
                <w:szCs w:val="24"/>
              </w:rPr>
              <w:t>利用现有厂房</w:t>
            </w:r>
            <w:r>
              <w:rPr>
                <w:rFonts w:hint="eastAsia"/>
                <w:color w:val="auto"/>
                <w:spacing w:val="-6"/>
                <w:sz w:val="24"/>
                <w:szCs w:val="24"/>
              </w:rPr>
              <w:t>进行</w:t>
            </w:r>
            <w:r>
              <w:rPr>
                <w:rFonts w:hint="eastAsia"/>
                <w:color w:val="auto"/>
                <w:spacing w:val="-6"/>
                <w:sz w:val="24"/>
                <w:szCs w:val="24"/>
                <w:lang w:val="en-US" w:eastAsia="zh-CN"/>
              </w:rPr>
              <w:t>实验</w:t>
            </w:r>
            <w:r>
              <w:rPr>
                <w:color w:val="auto"/>
                <w:spacing w:val="-6"/>
                <w:sz w:val="24"/>
                <w:szCs w:val="24"/>
              </w:rPr>
              <w:t>，</w:t>
            </w:r>
            <w:r>
              <w:rPr>
                <w:color w:val="auto"/>
                <w:spacing w:val="-6"/>
                <w:sz w:val="24"/>
                <w:szCs w:val="24"/>
                <w:lang w:val="zh-CN"/>
              </w:rPr>
              <w:t>总投资</w:t>
            </w:r>
            <w:r>
              <w:rPr>
                <w:rFonts w:hint="eastAsia"/>
                <w:color w:val="auto"/>
                <w:spacing w:val="-6"/>
                <w:sz w:val="24"/>
                <w:szCs w:val="24"/>
                <w:lang w:val="zh-CN" w:eastAsia="zh-CN"/>
              </w:rPr>
              <w:t>3000</w:t>
            </w:r>
            <w:r>
              <w:rPr>
                <w:color w:val="auto"/>
                <w:spacing w:val="-6"/>
                <w:sz w:val="24"/>
                <w:szCs w:val="24"/>
                <w:lang w:val="zh-CN"/>
              </w:rPr>
              <w:t>万元，符合《建设项目环境保护管理条例》（2017修订版）的相关要求；基本符合国家及地方有关产业政策；基本符合城市总体规划及用地规划要求，选址较合理；采取各项污染防治措施后污染物实现达标排放，所在地的现有环境功能不下降；建成后排放的各类污染物可以在区域内实现平衡；在做好各项风险防范及应急措施的前提下本项目的环境风险在可接受水平内。</w:t>
            </w:r>
          </w:p>
          <w:p w14:paraId="61C097D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kern w:val="0"/>
                <w:sz w:val="24"/>
                <w:szCs w:val="24"/>
                <w:lang w:val="zh-CN"/>
              </w:rPr>
            </w:pPr>
            <w:r>
              <w:rPr>
                <w:color w:val="auto"/>
                <w:sz w:val="24"/>
                <w:szCs w:val="24"/>
                <w:lang w:val="zh-CN"/>
              </w:rPr>
              <w:t>因此，落实本报告表提出的各项环保措施要求、严格执行环保“三同时”的前提下，从环保角度分析，本项目建设具有环境可行性。</w:t>
            </w:r>
          </w:p>
        </w:tc>
      </w:tr>
      <w:tr w14:paraId="7DFBA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3" w:hRule="atLeast"/>
          <w:jc w:val="center"/>
        </w:trPr>
        <w:tc>
          <w:tcPr>
            <w:tcW w:w="8865" w:type="dxa"/>
            <w:noWrap w:val="0"/>
            <w:vAlign w:val="center"/>
          </w:tcPr>
          <w:p w14:paraId="60CEBD49">
            <w:pPr>
              <w:pStyle w:val="11"/>
              <w:numPr>
                <w:ilvl w:val="0"/>
                <w:numId w:val="0"/>
              </w:numPr>
              <w:spacing w:before="120" w:beforeLines="50" w:after="120" w:afterLines="50" w:line="300" w:lineRule="exact"/>
              <w:rPr>
                <w:b/>
                <w:bCs/>
                <w:color w:val="auto"/>
                <w:sz w:val="24"/>
                <w:szCs w:val="24"/>
                <w:lang w:val="zh-CN"/>
              </w:rPr>
            </w:pPr>
            <w:r>
              <w:rPr>
                <w:b/>
                <w:bCs/>
                <w:color w:val="auto"/>
                <w:sz w:val="24"/>
                <w:szCs w:val="24"/>
                <w:lang w:val="zh-CN"/>
              </w:rPr>
              <w:t>附图：</w:t>
            </w:r>
          </w:p>
          <w:p w14:paraId="6F0D854B">
            <w:pPr>
              <w:pStyle w:val="11"/>
              <w:numPr>
                <w:ilvl w:val="0"/>
                <w:numId w:val="0"/>
              </w:numPr>
              <w:spacing w:line="300" w:lineRule="exact"/>
              <w:ind w:firstLine="480" w:firstLineChars="200"/>
              <w:rPr>
                <w:color w:val="auto"/>
                <w:sz w:val="24"/>
                <w:szCs w:val="24"/>
              </w:rPr>
            </w:pPr>
            <w:r>
              <w:rPr>
                <w:color w:val="auto"/>
                <w:sz w:val="24"/>
                <w:szCs w:val="24"/>
                <w:lang w:val="zh-CN"/>
              </w:rPr>
              <w:t>附图</w:t>
            </w:r>
            <w:r>
              <w:rPr>
                <w:color w:val="auto"/>
                <w:sz w:val="24"/>
                <w:szCs w:val="24"/>
              </w:rPr>
              <w:t>1 项目地理位置图；</w:t>
            </w:r>
          </w:p>
          <w:p w14:paraId="47FA6B2F">
            <w:pPr>
              <w:tabs>
                <w:tab w:val="left" w:pos="2040"/>
              </w:tabs>
              <w:spacing w:line="300" w:lineRule="exact"/>
              <w:ind w:firstLine="480" w:firstLineChars="200"/>
              <w:rPr>
                <w:color w:val="auto"/>
                <w:sz w:val="24"/>
                <w:szCs w:val="24"/>
              </w:rPr>
            </w:pPr>
            <w:r>
              <w:rPr>
                <w:color w:val="auto"/>
                <w:sz w:val="24"/>
                <w:szCs w:val="24"/>
              </w:rPr>
              <w:t xml:space="preserve">附图2 </w:t>
            </w:r>
            <w:r>
              <w:rPr>
                <w:rFonts w:hint="eastAsia"/>
                <w:color w:val="auto"/>
                <w:sz w:val="24"/>
                <w:szCs w:val="24"/>
                <w:lang w:val="en-US" w:eastAsia="zh-CN"/>
              </w:rPr>
              <w:t>建设项目周围环境概况图</w:t>
            </w:r>
            <w:r>
              <w:rPr>
                <w:color w:val="auto"/>
                <w:sz w:val="24"/>
                <w:szCs w:val="24"/>
              </w:rPr>
              <w:t>；</w:t>
            </w:r>
          </w:p>
          <w:p w14:paraId="62432165">
            <w:pPr>
              <w:tabs>
                <w:tab w:val="left" w:pos="2040"/>
              </w:tabs>
              <w:spacing w:line="300" w:lineRule="exact"/>
              <w:ind w:firstLine="480" w:firstLineChars="200"/>
              <w:rPr>
                <w:rFonts w:hint="eastAsia" w:eastAsia="宋体"/>
                <w:color w:val="auto"/>
                <w:sz w:val="24"/>
                <w:szCs w:val="24"/>
                <w:lang w:eastAsia="zh-CN"/>
              </w:rPr>
            </w:pPr>
            <w:r>
              <w:rPr>
                <w:rFonts w:hint="eastAsia"/>
                <w:color w:val="auto"/>
                <w:sz w:val="24"/>
                <w:szCs w:val="24"/>
              </w:rPr>
              <w:t xml:space="preserve">附图3 </w:t>
            </w:r>
            <w:r>
              <w:rPr>
                <w:rFonts w:hint="eastAsia"/>
                <w:color w:val="auto"/>
                <w:sz w:val="24"/>
                <w:szCs w:val="24"/>
                <w:lang w:val="en-US" w:eastAsia="zh-CN"/>
              </w:rPr>
              <w:t>园区</w:t>
            </w:r>
            <w:r>
              <w:rPr>
                <w:rFonts w:hint="eastAsia"/>
                <w:color w:val="auto"/>
                <w:sz w:val="24"/>
                <w:szCs w:val="24"/>
              </w:rPr>
              <w:t>平面布置图</w:t>
            </w:r>
            <w:r>
              <w:rPr>
                <w:rFonts w:hint="eastAsia"/>
                <w:color w:val="auto"/>
                <w:sz w:val="24"/>
                <w:szCs w:val="24"/>
                <w:lang w:eastAsia="zh-CN"/>
              </w:rPr>
              <w:t>；</w:t>
            </w:r>
          </w:p>
          <w:p w14:paraId="1C666A73">
            <w:pPr>
              <w:tabs>
                <w:tab w:val="left" w:pos="2040"/>
              </w:tabs>
              <w:spacing w:line="300" w:lineRule="exact"/>
              <w:ind w:firstLine="480" w:firstLineChars="200"/>
              <w:rPr>
                <w:color w:val="auto"/>
                <w:sz w:val="24"/>
                <w:szCs w:val="24"/>
              </w:rPr>
            </w:pPr>
            <w:r>
              <w:rPr>
                <w:color w:val="auto"/>
                <w:sz w:val="24"/>
                <w:szCs w:val="24"/>
              </w:rPr>
              <w:t xml:space="preserve">附图4 </w:t>
            </w:r>
            <w:r>
              <w:rPr>
                <w:rFonts w:hint="eastAsia"/>
                <w:color w:val="auto"/>
                <w:sz w:val="24"/>
                <w:szCs w:val="24"/>
                <w:lang w:val="en-US" w:eastAsia="zh-CN"/>
              </w:rPr>
              <w:t>厂</w:t>
            </w:r>
            <w:r>
              <w:rPr>
                <w:color w:val="auto"/>
                <w:sz w:val="24"/>
                <w:szCs w:val="24"/>
              </w:rPr>
              <w:t>间平面布置图；</w:t>
            </w:r>
          </w:p>
          <w:p w14:paraId="62511218">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textAlignment w:val="auto"/>
              <w:rPr>
                <w:color w:val="auto"/>
                <w:kern w:val="0"/>
                <w:sz w:val="24"/>
                <w:szCs w:val="24"/>
              </w:rPr>
            </w:pPr>
            <w:r>
              <w:rPr>
                <w:rFonts w:hint="eastAsia"/>
                <w:color w:val="auto"/>
                <w:kern w:val="0"/>
                <w:sz w:val="24"/>
                <w:szCs w:val="24"/>
              </w:rPr>
              <w:t>附图5 常州市生态空间保护区域分布图；</w:t>
            </w:r>
          </w:p>
          <w:p w14:paraId="07C7FA76">
            <w:pPr>
              <w:tabs>
                <w:tab w:val="left" w:pos="2040"/>
              </w:tabs>
              <w:spacing w:line="300" w:lineRule="exact"/>
              <w:ind w:firstLine="480" w:firstLineChars="200"/>
              <w:rPr>
                <w:rFonts w:hint="eastAsia"/>
                <w:color w:val="auto"/>
                <w:sz w:val="24"/>
                <w:szCs w:val="24"/>
              </w:rPr>
            </w:pPr>
            <w:r>
              <w:rPr>
                <w:color w:val="auto"/>
                <w:sz w:val="24"/>
                <w:szCs w:val="24"/>
              </w:rPr>
              <w:t>附图</w:t>
            </w:r>
            <w:r>
              <w:rPr>
                <w:rFonts w:hint="eastAsia"/>
                <w:color w:val="auto"/>
                <w:sz w:val="24"/>
                <w:szCs w:val="24"/>
                <w:lang w:val="en-US" w:eastAsia="zh-CN"/>
              </w:rPr>
              <w:t>6</w:t>
            </w:r>
            <w:r>
              <w:rPr>
                <w:color w:val="auto"/>
                <w:sz w:val="24"/>
                <w:szCs w:val="24"/>
              </w:rPr>
              <w:t xml:space="preserve"> 项目所在区域水系图</w:t>
            </w:r>
            <w:r>
              <w:rPr>
                <w:rFonts w:hint="eastAsia"/>
                <w:color w:val="auto"/>
                <w:sz w:val="24"/>
                <w:szCs w:val="24"/>
              </w:rPr>
              <w:t>；</w:t>
            </w:r>
          </w:p>
          <w:p w14:paraId="02746225">
            <w:pPr>
              <w:tabs>
                <w:tab w:val="left" w:pos="2040"/>
              </w:tabs>
              <w:spacing w:line="300" w:lineRule="exact"/>
              <w:ind w:firstLine="480" w:firstLineChars="200"/>
              <w:rPr>
                <w:color w:val="auto"/>
                <w:sz w:val="24"/>
                <w:szCs w:val="24"/>
              </w:rPr>
            </w:pPr>
            <w:r>
              <w:rPr>
                <w:color w:val="auto"/>
                <w:sz w:val="24"/>
                <w:szCs w:val="24"/>
                <w:lang w:val="zh-CN"/>
              </w:rPr>
              <w:t>附图</w:t>
            </w:r>
            <w:r>
              <w:rPr>
                <w:rFonts w:hint="eastAsia"/>
                <w:color w:val="auto"/>
                <w:sz w:val="24"/>
                <w:szCs w:val="24"/>
                <w:lang w:val="en-US" w:eastAsia="zh-CN"/>
              </w:rPr>
              <w:t>7</w:t>
            </w:r>
            <w:r>
              <w:rPr>
                <w:color w:val="auto"/>
                <w:sz w:val="24"/>
                <w:szCs w:val="24"/>
              </w:rPr>
              <w:t>常州市环境管控单元图</w:t>
            </w:r>
            <w:r>
              <w:rPr>
                <w:color w:val="auto"/>
                <w:sz w:val="24"/>
                <w:szCs w:val="24"/>
                <w:lang w:val="zh-CN"/>
              </w:rPr>
              <w:t xml:space="preserve"> </w:t>
            </w:r>
            <w:r>
              <w:rPr>
                <w:color w:val="auto"/>
                <w:sz w:val="24"/>
                <w:szCs w:val="24"/>
              </w:rPr>
              <w:t>；</w:t>
            </w:r>
          </w:p>
          <w:p w14:paraId="5F949620">
            <w:pPr>
              <w:tabs>
                <w:tab w:val="left" w:pos="2040"/>
              </w:tabs>
              <w:spacing w:line="300" w:lineRule="exact"/>
              <w:ind w:firstLine="480" w:firstLineChars="200"/>
              <w:rPr>
                <w:rFonts w:hint="eastAsia"/>
                <w:color w:val="auto"/>
                <w:sz w:val="24"/>
                <w:szCs w:val="24"/>
                <w:lang w:val="en-US" w:eastAsia="zh-CN"/>
              </w:rPr>
            </w:pPr>
            <w:r>
              <w:rPr>
                <w:color w:val="auto"/>
                <w:sz w:val="24"/>
                <w:szCs w:val="24"/>
              </w:rPr>
              <w:t>附图</w:t>
            </w:r>
            <w:r>
              <w:rPr>
                <w:rFonts w:hint="eastAsia"/>
                <w:color w:val="auto"/>
                <w:sz w:val="24"/>
                <w:szCs w:val="24"/>
              </w:rPr>
              <w:t>8</w:t>
            </w:r>
            <w:r>
              <w:rPr>
                <w:rFonts w:hint="eastAsia"/>
                <w:color w:val="auto"/>
                <w:sz w:val="24"/>
                <w:szCs w:val="24"/>
                <w:lang w:val="en-US" w:eastAsia="zh-CN"/>
              </w:rPr>
              <w:t>金坛金城科技园规划图；</w:t>
            </w:r>
          </w:p>
          <w:p w14:paraId="3525FC7A">
            <w:pPr>
              <w:tabs>
                <w:tab w:val="left" w:pos="2040"/>
              </w:tabs>
              <w:spacing w:line="300" w:lineRule="exact"/>
              <w:ind w:firstLine="480" w:firstLineChars="200"/>
              <w:rPr>
                <w:rFonts w:hint="eastAsia"/>
                <w:color w:val="auto"/>
                <w:sz w:val="24"/>
                <w:szCs w:val="24"/>
                <w:lang w:val="en-US" w:eastAsia="zh-CN"/>
              </w:rPr>
            </w:pPr>
            <w:r>
              <w:rPr>
                <w:rFonts w:hint="eastAsia"/>
                <w:color w:val="auto"/>
                <w:sz w:val="24"/>
                <w:szCs w:val="24"/>
                <w:lang w:val="en-US" w:eastAsia="zh-CN"/>
              </w:rPr>
              <w:t>附图9江苏省管控单元图；</w:t>
            </w:r>
          </w:p>
          <w:p w14:paraId="4B1221C4">
            <w:pPr>
              <w:tabs>
                <w:tab w:val="left" w:pos="2040"/>
              </w:tabs>
              <w:spacing w:line="300" w:lineRule="exact"/>
              <w:ind w:firstLine="480" w:firstLineChars="200"/>
              <w:rPr>
                <w:rFonts w:hint="eastAsia"/>
                <w:color w:val="auto"/>
                <w:sz w:val="24"/>
                <w:szCs w:val="24"/>
                <w:lang w:val="en-US" w:eastAsia="zh-CN"/>
              </w:rPr>
            </w:pPr>
            <w:r>
              <w:rPr>
                <w:rFonts w:hint="eastAsia"/>
                <w:color w:val="auto"/>
                <w:sz w:val="24"/>
                <w:szCs w:val="24"/>
                <w:lang w:val="en-US" w:eastAsia="zh-CN"/>
              </w:rPr>
              <w:t>附图10常州市管控单元图；</w:t>
            </w:r>
          </w:p>
          <w:p w14:paraId="61D3D722">
            <w:pPr>
              <w:tabs>
                <w:tab w:val="left" w:pos="2040"/>
              </w:tabs>
              <w:spacing w:line="300" w:lineRule="exact"/>
              <w:ind w:firstLine="480" w:firstLineChars="200"/>
              <w:rPr>
                <w:rFonts w:hint="eastAsia" w:eastAsia="宋体"/>
                <w:color w:val="auto"/>
                <w:sz w:val="24"/>
                <w:szCs w:val="24"/>
                <w:lang w:eastAsia="zh-CN"/>
              </w:rPr>
            </w:pPr>
            <w:r>
              <w:rPr>
                <w:rFonts w:hint="eastAsia"/>
                <w:color w:val="auto"/>
                <w:sz w:val="24"/>
                <w:szCs w:val="24"/>
                <w:lang w:val="en-US" w:eastAsia="zh-CN"/>
              </w:rPr>
              <w:t>附图11城镇开发边界图</w:t>
            </w:r>
            <w:r>
              <w:rPr>
                <w:rFonts w:hint="eastAsia"/>
                <w:color w:val="auto"/>
                <w:sz w:val="24"/>
                <w:szCs w:val="24"/>
                <w:lang w:eastAsia="zh-CN"/>
              </w:rPr>
              <w:t>。</w:t>
            </w:r>
          </w:p>
          <w:p w14:paraId="54CE5B3C">
            <w:pPr>
              <w:tabs>
                <w:tab w:val="left" w:pos="2040"/>
              </w:tabs>
              <w:spacing w:line="300" w:lineRule="exact"/>
              <w:ind w:firstLine="480" w:firstLineChars="200"/>
              <w:rPr>
                <w:color w:val="auto"/>
                <w:sz w:val="24"/>
                <w:szCs w:val="24"/>
              </w:rPr>
            </w:pPr>
          </w:p>
          <w:p w14:paraId="6217F6C0">
            <w:pPr>
              <w:pStyle w:val="11"/>
              <w:numPr>
                <w:ilvl w:val="0"/>
                <w:numId w:val="0"/>
              </w:numPr>
              <w:spacing w:before="120" w:beforeLines="50" w:after="120" w:afterLines="50" w:line="300" w:lineRule="exact"/>
              <w:rPr>
                <w:b/>
                <w:bCs/>
                <w:color w:val="auto"/>
                <w:sz w:val="24"/>
                <w:szCs w:val="24"/>
                <w:lang w:val="zh-CN"/>
              </w:rPr>
            </w:pPr>
            <w:r>
              <w:rPr>
                <w:b/>
                <w:bCs/>
                <w:color w:val="auto"/>
                <w:sz w:val="24"/>
                <w:szCs w:val="24"/>
                <w:lang w:val="zh-CN"/>
              </w:rPr>
              <w:t>附件：</w:t>
            </w:r>
          </w:p>
          <w:p w14:paraId="7F0BDDB7">
            <w:pPr>
              <w:tabs>
                <w:tab w:val="left" w:pos="2040"/>
              </w:tabs>
              <w:spacing w:line="300" w:lineRule="exact"/>
              <w:ind w:firstLine="480" w:firstLineChars="200"/>
              <w:rPr>
                <w:color w:val="auto"/>
                <w:sz w:val="24"/>
                <w:szCs w:val="24"/>
                <w:lang w:val="zh-CN"/>
              </w:rPr>
            </w:pPr>
            <w:r>
              <w:rPr>
                <w:color w:val="auto"/>
                <w:sz w:val="24"/>
                <w:szCs w:val="24"/>
                <w:lang w:val="zh-CN"/>
              </w:rPr>
              <w:t>附件1</w:t>
            </w:r>
            <w:r>
              <w:rPr>
                <w:rFonts w:hint="eastAsia"/>
                <w:color w:val="auto"/>
                <w:sz w:val="24"/>
                <w:szCs w:val="24"/>
                <w:lang w:val="en-US" w:eastAsia="zh-CN"/>
              </w:rPr>
              <w:t xml:space="preserve"> </w:t>
            </w:r>
            <w:r>
              <w:rPr>
                <w:color w:val="auto"/>
                <w:sz w:val="24"/>
                <w:szCs w:val="24"/>
                <w:lang w:val="zh-CN"/>
              </w:rPr>
              <w:t xml:space="preserve"> 环评委托书；</w:t>
            </w:r>
          </w:p>
          <w:p w14:paraId="064DF4C9">
            <w:pPr>
              <w:tabs>
                <w:tab w:val="left" w:pos="2040"/>
              </w:tabs>
              <w:spacing w:line="300" w:lineRule="exact"/>
              <w:ind w:firstLine="480" w:firstLineChars="200"/>
              <w:rPr>
                <w:color w:val="auto"/>
                <w:sz w:val="24"/>
                <w:szCs w:val="24"/>
                <w:lang w:val="zh-CN"/>
              </w:rPr>
            </w:pPr>
            <w:r>
              <w:rPr>
                <w:color w:val="auto"/>
                <w:sz w:val="24"/>
                <w:szCs w:val="24"/>
                <w:lang w:val="zh-CN"/>
              </w:rPr>
              <w:t>附件2</w:t>
            </w:r>
            <w:r>
              <w:rPr>
                <w:rFonts w:hint="eastAsia"/>
                <w:color w:val="auto"/>
                <w:sz w:val="24"/>
                <w:szCs w:val="24"/>
                <w:lang w:val="en-US" w:eastAsia="zh-CN"/>
              </w:rPr>
              <w:t xml:space="preserve"> </w:t>
            </w:r>
            <w:r>
              <w:rPr>
                <w:color w:val="auto"/>
                <w:sz w:val="24"/>
                <w:szCs w:val="24"/>
                <w:lang w:val="zh-CN"/>
              </w:rPr>
              <w:t xml:space="preserve"> </w:t>
            </w:r>
            <w:r>
              <w:rPr>
                <w:rFonts w:hint="eastAsia"/>
                <w:color w:val="auto"/>
                <w:sz w:val="24"/>
                <w:szCs w:val="24"/>
                <w:lang w:val="en-US" w:eastAsia="zh-CN"/>
              </w:rPr>
              <w:t>江苏省投资项目备案证</w:t>
            </w:r>
            <w:r>
              <w:rPr>
                <w:color w:val="auto"/>
                <w:sz w:val="24"/>
                <w:szCs w:val="24"/>
                <w:lang w:val="zh-CN"/>
              </w:rPr>
              <w:t>；</w:t>
            </w:r>
          </w:p>
          <w:p w14:paraId="7C09260B">
            <w:pPr>
              <w:tabs>
                <w:tab w:val="left" w:pos="2040"/>
              </w:tabs>
              <w:spacing w:line="300" w:lineRule="exact"/>
              <w:ind w:firstLine="480" w:firstLineChars="200"/>
              <w:rPr>
                <w:color w:val="auto"/>
                <w:sz w:val="24"/>
                <w:szCs w:val="24"/>
                <w:lang w:val="zh-CN"/>
              </w:rPr>
            </w:pPr>
            <w:r>
              <w:rPr>
                <w:color w:val="auto"/>
                <w:sz w:val="24"/>
                <w:szCs w:val="24"/>
                <w:lang w:val="zh-CN"/>
              </w:rPr>
              <w:t xml:space="preserve">附件3 </w:t>
            </w:r>
            <w:r>
              <w:rPr>
                <w:rFonts w:hint="eastAsia"/>
                <w:color w:val="auto"/>
                <w:sz w:val="24"/>
                <w:szCs w:val="24"/>
                <w:lang w:val="en-US" w:eastAsia="zh-CN"/>
              </w:rPr>
              <w:t xml:space="preserve"> </w:t>
            </w:r>
            <w:r>
              <w:rPr>
                <w:color w:val="auto"/>
                <w:sz w:val="24"/>
                <w:szCs w:val="24"/>
                <w:lang w:val="zh-CN"/>
              </w:rPr>
              <w:t>营业执照；</w:t>
            </w:r>
          </w:p>
          <w:p w14:paraId="411896A5">
            <w:pPr>
              <w:tabs>
                <w:tab w:val="left" w:pos="2040"/>
              </w:tabs>
              <w:spacing w:line="300" w:lineRule="exact"/>
              <w:ind w:firstLine="480" w:firstLineChars="200"/>
              <w:rPr>
                <w:color w:val="auto"/>
                <w:sz w:val="24"/>
                <w:szCs w:val="24"/>
                <w:lang w:val="zh-CN"/>
              </w:rPr>
            </w:pPr>
            <w:r>
              <w:rPr>
                <w:color w:val="auto"/>
                <w:sz w:val="24"/>
                <w:szCs w:val="24"/>
                <w:lang w:val="zh-CN"/>
              </w:rPr>
              <w:t>附件4</w:t>
            </w:r>
            <w:r>
              <w:rPr>
                <w:color w:val="auto"/>
                <w:sz w:val="24"/>
                <w:szCs w:val="24"/>
              </w:rPr>
              <w:t xml:space="preserve"> </w:t>
            </w:r>
            <w:r>
              <w:rPr>
                <w:rFonts w:hint="eastAsia"/>
                <w:color w:val="auto"/>
                <w:sz w:val="24"/>
                <w:szCs w:val="24"/>
                <w:lang w:val="en-US" w:eastAsia="zh-CN"/>
              </w:rPr>
              <w:t xml:space="preserve"> 租赁合同</w:t>
            </w:r>
            <w:r>
              <w:rPr>
                <w:color w:val="auto"/>
                <w:sz w:val="24"/>
                <w:szCs w:val="24"/>
                <w:lang w:val="zh-CN"/>
              </w:rPr>
              <w:t>；</w:t>
            </w:r>
          </w:p>
          <w:p w14:paraId="4CB350EF">
            <w:pPr>
              <w:tabs>
                <w:tab w:val="left" w:pos="2040"/>
              </w:tabs>
              <w:spacing w:line="300" w:lineRule="exact"/>
              <w:ind w:firstLine="480" w:firstLineChars="200"/>
              <w:rPr>
                <w:color w:val="auto"/>
                <w:sz w:val="24"/>
                <w:szCs w:val="24"/>
                <w:lang w:val="zh-CN"/>
              </w:rPr>
            </w:pPr>
            <w:r>
              <w:rPr>
                <w:color w:val="auto"/>
                <w:sz w:val="24"/>
                <w:szCs w:val="24"/>
                <w:lang w:val="zh-CN"/>
              </w:rPr>
              <w:t>附件</w:t>
            </w:r>
            <w:r>
              <w:rPr>
                <w:color w:val="auto"/>
                <w:sz w:val="24"/>
                <w:szCs w:val="24"/>
              </w:rPr>
              <w:t>5</w:t>
            </w:r>
            <w:r>
              <w:rPr>
                <w:rFonts w:hint="eastAsia"/>
                <w:color w:val="auto"/>
                <w:sz w:val="24"/>
                <w:szCs w:val="24"/>
                <w:lang w:val="en-US" w:eastAsia="zh-CN"/>
              </w:rPr>
              <w:t xml:space="preserve"> </w:t>
            </w:r>
            <w:r>
              <w:rPr>
                <w:color w:val="auto"/>
                <w:sz w:val="24"/>
                <w:szCs w:val="24"/>
              </w:rPr>
              <w:t xml:space="preserve"> </w:t>
            </w:r>
            <w:r>
              <w:rPr>
                <w:rFonts w:hint="eastAsia"/>
                <w:color w:val="auto"/>
                <w:sz w:val="24"/>
                <w:szCs w:val="24"/>
                <w:lang w:val="en-US" w:eastAsia="zh-CN"/>
              </w:rPr>
              <w:t>法人身份证</w:t>
            </w:r>
            <w:r>
              <w:rPr>
                <w:color w:val="auto"/>
                <w:sz w:val="24"/>
                <w:szCs w:val="24"/>
                <w:lang w:val="zh-CN"/>
              </w:rPr>
              <w:t>；</w:t>
            </w:r>
          </w:p>
          <w:p w14:paraId="4EF6030E">
            <w:pPr>
              <w:tabs>
                <w:tab w:val="left" w:pos="2040"/>
              </w:tabs>
              <w:spacing w:line="30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附件</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 xml:space="preserve"> 危险废物</w:t>
            </w:r>
            <w:r>
              <w:rPr>
                <w:rFonts w:hint="eastAsia" w:cs="Times New Roman"/>
                <w:color w:val="auto"/>
                <w:sz w:val="24"/>
                <w:szCs w:val="24"/>
                <w:highlight w:val="none"/>
                <w:lang w:val="en-US" w:eastAsia="zh-CN"/>
              </w:rPr>
              <w:t>处置承诺书</w:t>
            </w:r>
            <w:r>
              <w:rPr>
                <w:rFonts w:hint="eastAsia" w:ascii="Times New Roman" w:hAnsi="Times New Roman" w:eastAsia="宋体" w:cs="Times New Roman"/>
                <w:color w:val="auto"/>
                <w:sz w:val="24"/>
                <w:szCs w:val="24"/>
                <w:highlight w:val="none"/>
              </w:rPr>
              <w:t>；</w:t>
            </w:r>
          </w:p>
          <w:p w14:paraId="1760BB63">
            <w:pPr>
              <w:tabs>
                <w:tab w:val="left" w:pos="2040"/>
              </w:tabs>
              <w:spacing w:line="3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附件</w:t>
            </w: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消泡剂MSDS</w:t>
            </w:r>
          </w:p>
          <w:p w14:paraId="42E24BD9">
            <w:pPr>
              <w:tabs>
                <w:tab w:val="left" w:pos="2040"/>
              </w:tabs>
              <w:spacing w:line="300" w:lineRule="exact"/>
              <w:ind w:firstLine="480" w:firstLineChars="200"/>
              <w:rPr>
                <w:color w:val="auto"/>
                <w:sz w:val="24"/>
                <w:szCs w:val="24"/>
                <w:lang w:val="zh-CN"/>
              </w:rPr>
            </w:pPr>
            <w:r>
              <w:rPr>
                <w:color w:val="auto"/>
                <w:sz w:val="24"/>
                <w:szCs w:val="24"/>
                <w:lang w:val="zh-CN"/>
              </w:rPr>
              <w:t>附件</w:t>
            </w:r>
            <w:r>
              <w:rPr>
                <w:rFonts w:hint="eastAsia"/>
                <w:color w:val="auto"/>
                <w:sz w:val="24"/>
                <w:szCs w:val="24"/>
                <w:lang w:val="en-US" w:eastAsia="zh-CN"/>
              </w:rPr>
              <w:t>8</w:t>
            </w:r>
            <w:r>
              <w:rPr>
                <w:color w:val="auto"/>
                <w:sz w:val="24"/>
                <w:szCs w:val="24"/>
              </w:rPr>
              <w:t xml:space="preserve"> </w:t>
            </w:r>
            <w:r>
              <w:rPr>
                <w:rFonts w:hint="eastAsia"/>
                <w:color w:val="auto"/>
                <w:sz w:val="24"/>
                <w:szCs w:val="24"/>
                <w:lang w:val="en-US" w:eastAsia="zh-CN"/>
              </w:rPr>
              <w:t xml:space="preserve"> </w:t>
            </w:r>
            <w:r>
              <w:rPr>
                <w:color w:val="auto"/>
                <w:sz w:val="24"/>
                <w:szCs w:val="24"/>
                <w:lang w:val="zh-CN"/>
              </w:rPr>
              <w:t>环境质量现状监测</w:t>
            </w:r>
            <w:r>
              <w:rPr>
                <w:rFonts w:hint="eastAsia"/>
                <w:color w:val="auto"/>
                <w:sz w:val="24"/>
                <w:szCs w:val="24"/>
                <w:lang w:val="en-US" w:eastAsia="zh-CN"/>
              </w:rPr>
              <w:t>引用</w:t>
            </w:r>
            <w:r>
              <w:rPr>
                <w:color w:val="auto"/>
                <w:sz w:val="24"/>
                <w:szCs w:val="24"/>
                <w:lang w:val="zh-CN"/>
              </w:rPr>
              <w:t>报告</w:t>
            </w:r>
            <w:r>
              <w:rPr>
                <w:rFonts w:hint="eastAsia"/>
                <w:color w:val="auto"/>
                <w:sz w:val="24"/>
                <w:szCs w:val="24"/>
                <w:lang w:val="en-US" w:eastAsia="zh-CN"/>
              </w:rPr>
              <w:t>及引用说明</w:t>
            </w:r>
            <w:r>
              <w:rPr>
                <w:color w:val="auto"/>
                <w:sz w:val="24"/>
                <w:szCs w:val="24"/>
                <w:lang w:val="zh-CN"/>
              </w:rPr>
              <w:t>；</w:t>
            </w:r>
          </w:p>
          <w:p w14:paraId="634941F1">
            <w:pPr>
              <w:tabs>
                <w:tab w:val="left" w:pos="2040"/>
              </w:tabs>
              <w:spacing w:line="300" w:lineRule="exact"/>
              <w:ind w:firstLine="480" w:firstLineChars="200"/>
              <w:rPr>
                <w:color w:val="auto"/>
                <w:sz w:val="24"/>
                <w:szCs w:val="24"/>
                <w:highlight w:val="none"/>
                <w:lang w:val="zh-CN"/>
              </w:rPr>
            </w:pPr>
            <w:r>
              <w:rPr>
                <w:color w:val="auto"/>
                <w:sz w:val="24"/>
                <w:szCs w:val="24"/>
                <w:highlight w:val="none"/>
                <w:lang w:val="zh-CN"/>
              </w:rPr>
              <w:t>附件</w:t>
            </w:r>
            <w:r>
              <w:rPr>
                <w:rFonts w:hint="eastAsia"/>
                <w:color w:val="auto"/>
                <w:sz w:val="24"/>
                <w:szCs w:val="24"/>
                <w:highlight w:val="none"/>
                <w:lang w:val="en-US" w:eastAsia="zh-CN"/>
              </w:rPr>
              <w:t>9</w:t>
            </w:r>
            <w:r>
              <w:rPr>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lang w:val="zh-CN"/>
              </w:rPr>
              <w:t>建设项目环境影响申报审批现场勘察表</w:t>
            </w:r>
            <w:r>
              <w:rPr>
                <w:color w:val="auto"/>
                <w:sz w:val="24"/>
                <w:szCs w:val="24"/>
                <w:highlight w:val="none"/>
                <w:lang w:val="zh-CN"/>
              </w:rPr>
              <w:t>；</w:t>
            </w:r>
          </w:p>
          <w:p w14:paraId="199556F0">
            <w:pPr>
              <w:spacing w:line="300" w:lineRule="exact"/>
              <w:ind w:firstLine="480" w:firstLineChars="200"/>
              <w:rPr>
                <w:color w:val="auto"/>
                <w:sz w:val="24"/>
                <w:szCs w:val="24"/>
              </w:rPr>
            </w:pPr>
            <w:r>
              <w:rPr>
                <w:color w:val="auto"/>
                <w:sz w:val="24"/>
                <w:szCs w:val="24"/>
              </w:rPr>
              <w:t>附件1</w:t>
            </w:r>
            <w:r>
              <w:rPr>
                <w:rFonts w:hint="eastAsia"/>
                <w:color w:val="auto"/>
                <w:sz w:val="24"/>
                <w:szCs w:val="24"/>
                <w:lang w:val="en-US" w:eastAsia="zh-CN"/>
              </w:rPr>
              <w:t>0</w:t>
            </w:r>
            <w:r>
              <w:rPr>
                <w:color w:val="auto"/>
                <w:sz w:val="24"/>
                <w:szCs w:val="24"/>
              </w:rPr>
              <w:t xml:space="preserve"> </w:t>
            </w:r>
            <w:r>
              <w:rPr>
                <w:rFonts w:hint="eastAsia"/>
                <w:color w:val="auto"/>
                <w:sz w:val="24"/>
                <w:szCs w:val="24"/>
                <w:lang w:val="en-US" w:eastAsia="zh-CN"/>
              </w:rPr>
              <w:t>市生态环境局关于金坛金城科技产业园发展规划(2023-2035年)环境影响报告书的审查意见</w:t>
            </w:r>
            <w:r>
              <w:rPr>
                <w:color w:val="auto"/>
                <w:sz w:val="24"/>
                <w:szCs w:val="24"/>
              </w:rPr>
              <w:t>；</w:t>
            </w:r>
          </w:p>
          <w:p w14:paraId="483DACA9">
            <w:pPr>
              <w:spacing w:line="300" w:lineRule="exact"/>
              <w:ind w:firstLine="480" w:firstLineChars="200"/>
            </w:pPr>
            <w:r>
              <w:rPr>
                <w:color w:val="auto"/>
                <w:sz w:val="24"/>
                <w:szCs w:val="24"/>
                <w:lang w:val="zh-CN"/>
              </w:rPr>
              <w:t>附件1</w:t>
            </w:r>
            <w:r>
              <w:rPr>
                <w:rFonts w:hint="eastAsia"/>
                <w:color w:val="auto"/>
                <w:sz w:val="24"/>
                <w:szCs w:val="24"/>
                <w:lang w:val="en-US" w:eastAsia="zh-CN"/>
              </w:rPr>
              <w:t>1</w:t>
            </w:r>
            <w:r>
              <w:rPr>
                <w:color w:val="auto"/>
                <w:sz w:val="24"/>
                <w:szCs w:val="24"/>
              </w:rPr>
              <w:t xml:space="preserve"> </w:t>
            </w:r>
            <w:r>
              <w:rPr>
                <w:color w:val="auto"/>
                <w:sz w:val="24"/>
                <w:szCs w:val="24"/>
                <w:lang w:val="zh-CN"/>
              </w:rPr>
              <w:t>建设单位承诺书</w:t>
            </w:r>
            <w:r>
              <w:rPr>
                <w:rFonts w:hint="eastAsia"/>
                <w:color w:val="auto"/>
                <w:sz w:val="24"/>
                <w:szCs w:val="24"/>
                <w:lang w:val="zh-CN"/>
              </w:rPr>
              <w:t>；</w:t>
            </w:r>
          </w:p>
          <w:p w14:paraId="07005AC5">
            <w:pPr>
              <w:tabs>
                <w:tab w:val="left" w:pos="2040"/>
              </w:tabs>
              <w:spacing w:line="300" w:lineRule="exact"/>
              <w:ind w:firstLine="480" w:firstLineChars="200"/>
              <w:rPr>
                <w:color w:val="auto"/>
                <w:sz w:val="24"/>
                <w:szCs w:val="24"/>
                <w:lang w:val="zh-CN"/>
              </w:rPr>
            </w:pPr>
            <w:r>
              <w:rPr>
                <w:color w:val="auto"/>
                <w:sz w:val="24"/>
                <w:szCs w:val="24"/>
                <w:lang w:val="zh-CN"/>
              </w:rPr>
              <w:t>附件</w:t>
            </w:r>
            <w:r>
              <w:rPr>
                <w:rFonts w:hint="eastAsia"/>
                <w:color w:val="auto"/>
                <w:sz w:val="24"/>
                <w:szCs w:val="24"/>
                <w:lang w:val="en-US" w:eastAsia="zh-CN"/>
              </w:rPr>
              <w:t>12技术服务合同</w:t>
            </w:r>
            <w:r>
              <w:rPr>
                <w:color w:val="auto"/>
                <w:sz w:val="24"/>
                <w:szCs w:val="24"/>
                <w:lang w:val="zh-CN"/>
              </w:rPr>
              <w:t>；</w:t>
            </w:r>
          </w:p>
          <w:p w14:paraId="77D224F2">
            <w:pPr>
              <w:tabs>
                <w:tab w:val="left" w:pos="2040"/>
              </w:tabs>
              <w:spacing w:line="300" w:lineRule="exact"/>
              <w:ind w:firstLine="480" w:firstLineChars="200"/>
              <w:rPr>
                <w:color w:val="auto"/>
                <w:sz w:val="24"/>
                <w:szCs w:val="24"/>
                <w:lang w:val="zh-CN"/>
              </w:rPr>
            </w:pPr>
            <w:r>
              <w:rPr>
                <w:color w:val="auto"/>
                <w:sz w:val="24"/>
                <w:szCs w:val="24"/>
                <w:lang w:val="zh-CN"/>
              </w:rPr>
              <w:t>附件</w:t>
            </w:r>
            <w:r>
              <w:rPr>
                <w:rFonts w:hint="eastAsia"/>
                <w:color w:val="auto"/>
                <w:sz w:val="24"/>
                <w:szCs w:val="24"/>
                <w:lang w:val="en-US" w:eastAsia="zh-CN"/>
              </w:rPr>
              <w:t>13</w:t>
            </w:r>
            <w:r>
              <w:rPr>
                <w:color w:val="auto"/>
                <w:sz w:val="24"/>
                <w:szCs w:val="24"/>
                <w:lang w:val="zh-CN"/>
              </w:rPr>
              <w:t>工程师现场照片；</w:t>
            </w:r>
          </w:p>
          <w:p w14:paraId="094A30CE">
            <w:pPr>
              <w:tabs>
                <w:tab w:val="left" w:pos="2040"/>
              </w:tabs>
              <w:spacing w:line="300" w:lineRule="exact"/>
              <w:ind w:firstLine="480" w:firstLineChars="200"/>
              <w:rPr>
                <w:rFonts w:hint="eastAsia"/>
                <w:color w:val="auto"/>
                <w:sz w:val="24"/>
                <w:szCs w:val="24"/>
                <w:lang w:val="zh-CN"/>
              </w:rPr>
            </w:pPr>
            <w:r>
              <w:rPr>
                <w:rFonts w:hint="eastAsia"/>
                <w:color w:val="auto"/>
                <w:sz w:val="24"/>
                <w:szCs w:val="24"/>
                <w:lang w:val="en-US" w:eastAsia="zh-CN"/>
              </w:rPr>
              <w:t xml:space="preserve">附件14 </w:t>
            </w:r>
            <w:r>
              <w:rPr>
                <w:color w:val="auto"/>
                <w:sz w:val="24"/>
                <w:szCs w:val="24"/>
                <w:lang w:val="zh-CN"/>
              </w:rPr>
              <w:t>项目公示截图</w:t>
            </w:r>
            <w:r>
              <w:rPr>
                <w:rFonts w:hint="eastAsia"/>
                <w:color w:val="auto"/>
                <w:sz w:val="24"/>
                <w:szCs w:val="24"/>
                <w:lang w:val="zh-CN"/>
              </w:rPr>
              <w:t>；</w:t>
            </w:r>
          </w:p>
          <w:p w14:paraId="4ED5187C">
            <w:pPr>
              <w:tabs>
                <w:tab w:val="left" w:pos="2040"/>
              </w:tabs>
              <w:spacing w:line="300" w:lineRule="exact"/>
              <w:ind w:firstLine="480" w:firstLineChars="200"/>
              <w:rPr>
                <w:color w:val="auto"/>
                <w:sz w:val="24"/>
                <w:szCs w:val="24"/>
                <w:lang w:val="zh-CN"/>
              </w:rPr>
            </w:pPr>
            <w:r>
              <w:rPr>
                <w:rFonts w:hint="eastAsia"/>
                <w:color w:val="auto"/>
                <w:sz w:val="24"/>
                <w:szCs w:val="24"/>
                <w:lang w:val="en-US" w:eastAsia="zh-CN"/>
              </w:rPr>
              <w:t>附件15 生活污水预接管协议。</w:t>
            </w:r>
          </w:p>
        </w:tc>
      </w:tr>
    </w:tbl>
    <w:p w14:paraId="1E006D87">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C4F3475">
      <w:pPr>
        <w:pStyle w:val="18"/>
        <w:adjustRightInd w:val="0"/>
        <w:snapToGrid w:val="0"/>
        <w:spacing w:before="0" w:beforeAutospacing="0" w:after="0" w:afterAutospacing="0" w:line="360" w:lineRule="auto"/>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6D2E6F1B">
      <w:pPr>
        <w:pStyle w:val="18"/>
        <w:adjustRightInd w:val="0"/>
        <w:snapToGrid w:val="0"/>
        <w:spacing w:before="0" w:beforeAutospacing="0" w:after="0" w:afterAutospacing="0"/>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2"/>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690"/>
        <w:gridCol w:w="691"/>
        <w:gridCol w:w="1784"/>
        <w:gridCol w:w="1346"/>
        <w:gridCol w:w="1860"/>
        <w:gridCol w:w="1620"/>
        <w:gridCol w:w="1590"/>
        <w:gridCol w:w="1995"/>
        <w:gridCol w:w="1149"/>
      </w:tblGrid>
      <w:tr w14:paraId="17747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l2br w:val="single" w:color="auto" w:sz="4" w:space="0"/>
            </w:tcBorders>
            <w:noWrap w:val="0"/>
            <w:tcMar>
              <w:left w:w="28" w:type="dxa"/>
              <w:right w:w="28" w:type="dxa"/>
            </w:tcMar>
            <w:vAlign w:val="center"/>
          </w:tcPr>
          <w:p w14:paraId="4257116F">
            <w:pPr>
              <w:pStyle w:val="49"/>
              <w:spacing w:beforeLines="0" w:afterLines="0" w:line="320" w:lineRule="exact"/>
              <w:jc w:val="right"/>
              <w:rPr>
                <w:rFonts w:ascii="Times New Roman"/>
                <w:b/>
                <w:bCs/>
                <w:snapToGrid w:val="0"/>
                <w:color w:val="auto"/>
                <w:spacing w:val="-6"/>
                <w:kern w:val="21"/>
                <w:sz w:val="21"/>
                <w:szCs w:val="21"/>
                <w:lang w:val="en-US" w:eastAsia="zh-CN"/>
              </w:rPr>
            </w:pPr>
            <w:r>
              <w:rPr>
                <w:rFonts w:ascii="Times New Roman"/>
                <w:b/>
                <w:bCs/>
                <w:snapToGrid w:val="0"/>
                <w:color w:val="auto"/>
                <w:spacing w:val="-6"/>
                <w:kern w:val="21"/>
                <w:sz w:val="21"/>
                <w:szCs w:val="21"/>
                <w:lang w:val="en-US" w:eastAsia="zh-CN"/>
              </w:rPr>
              <w:t>项目</w:t>
            </w:r>
          </w:p>
          <w:p w14:paraId="6C0F7674">
            <w:pPr>
              <w:pStyle w:val="49"/>
              <w:spacing w:beforeLines="0" w:afterLines="0" w:line="320" w:lineRule="exact"/>
              <w:jc w:val="left"/>
              <w:rPr>
                <w:rFonts w:ascii="Times New Roman"/>
                <w:b/>
                <w:bCs/>
                <w:snapToGrid w:val="0"/>
                <w:color w:val="auto"/>
                <w:spacing w:val="-6"/>
                <w:kern w:val="21"/>
                <w:sz w:val="21"/>
                <w:szCs w:val="21"/>
                <w:lang w:val="en-US" w:eastAsia="zh-CN"/>
              </w:rPr>
            </w:pPr>
            <w:r>
              <w:rPr>
                <w:rFonts w:ascii="Times New Roman"/>
                <w:b/>
                <w:bCs/>
                <w:snapToGrid w:val="0"/>
                <w:color w:val="auto"/>
                <w:spacing w:val="-6"/>
                <w:kern w:val="21"/>
                <w:sz w:val="21"/>
                <w:szCs w:val="21"/>
                <w:lang w:val="en-US" w:eastAsia="zh-CN"/>
              </w:rPr>
              <w:t>分类</w:t>
            </w:r>
          </w:p>
        </w:tc>
        <w:tc>
          <w:tcPr>
            <w:tcW w:w="1381" w:type="dxa"/>
            <w:gridSpan w:val="2"/>
            <w:noWrap w:val="0"/>
            <w:tcMar>
              <w:left w:w="28" w:type="dxa"/>
              <w:right w:w="28" w:type="dxa"/>
            </w:tcMar>
            <w:vAlign w:val="center"/>
          </w:tcPr>
          <w:p w14:paraId="6A027E01">
            <w:pPr>
              <w:pStyle w:val="49"/>
              <w:spacing w:beforeLines="0" w:afterLines="0" w:line="320" w:lineRule="exact"/>
              <w:rPr>
                <w:rFonts w:ascii="Times New Roman"/>
                <w:b/>
                <w:bCs/>
                <w:snapToGrid w:val="0"/>
                <w:color w:val="auto"/>
                <w:spacing w:val="-6"/>
                <w:kern w:val="21"/>
                <w:sz w:val="21"/>
                <w:szCs w:val="21"/>
                <w:lang w:val="en-US" w:eastAsia="zh-CN"/>
              </w:rPr>
            </w:pPr>
            <w:r>
              <w:rPr>
                <w:rFonts w:ascii="Times New Roman"/>
                <w:b/>
                <w:bCs/>
                <w:snapToGrid w:val="0"/>
                <w:color w:val="auto"/>
                <w:spacing w:val="-6"/>
                <w:kern w:val="21"/>
                <w:sz w:val="21"/>
                <w:szCs w:val="21"/>
                <w:lang w:val="en-US" w:eastAsia="zh-CN"/>
              </w:rPr>
              <w:t>污染物名称</w:t>
            </w:r>
          </w:p>
        </w:tc>
        <w:tc>
          <w:tcPr>
            <w:tcW w:w="1784" w:type="dxa"/>
            <w:noWrap w:val="0"/>
            <w:tcMar>
              <w:left w:w="28" w:type="dxa"/>
              <w:right w:w="28" w:type="dxa"/>
            </w:tcMar>
            <w:vAlign w:val="center"/>
          </w:tcPr>
          <w:p w14:paraId="7194FF89">
            <w:pPr>
              <w:pStyle w:val="49"/>
              <w:spacing w:beforeLines="0" w:afterLines="0" w:line="320" w:lineRule="exact"/>
              <w:rPr>
                <w:rFonts w:ascii="Times New Roman"/>
                <w:b/>
                <w:bCs/>
                <w:snapToGrid w:val="0"/>
                <w:color w:val="auto"/>
                <w:spacing w:val="-6"/>
                <w:kern w:val="21"/>
                <w:sz w:val="21"/>
                <w:szCs w:val="21"/>
                <w:lang w:val="en-US" w:eastAsia="zh-CN"/>
              </w:rPr>
            </w:pPr>
            <w:r>
              <w:rPr>
                <w:rFonts w:ascii="Times New Roman"/>
                <w:b/>
                <w:bCs/>
                <w:snapToGrid w:val="0"/>
                <w:color w:val="auto"/>
                <w:spacing w:val="-6"/>
                <w:kern w:val="21"/>
                <w:sz w:val="21"/>
                <w:szCs w:val="21"/>
                <w:lang w:val="en-US" w:eastAsia="zh-CN"/>
              </w:rPr>
              <w:t>现有工程排放量（固体废物产生量）</w:t>
            </w:r>
            <w:r>
              <w:rPr>
                <w:rFonts w:ascii="Times New Roman"/>
                <w:b/>
                <w:bCs/>
                <w:snapToGrid w:val="0"/>
                <w:color w:val="auto"/>
                <w:spacing w:val="-6"/>
                <w:kern w:val="21"/>
                <w:sz w:val="21"/>
                <w:szCs w:val="21"/>
                <w:lang w:val="en-US" w:eastAsia="zh-CN"/>
              </w:rPr>
              <w:fldChar w:fldCharType="begin"/>
            </w:r>
            <w:r>
              <w:rPr>
                <w:rFonts w:ascii="Times New Roman"/>
                <w:b/>
                <w:bCs/>
                <w:snapToGrid w:val="0"/>
                <w:color w:val="auto"/>
                <w:spacing w:val="-6"/>
                <w:kern w:val="21"/>
                <w:sz w:val="21"/>
                <w:szCs w:val="21"/>
                <w:lang w:val="en-US" w:eastAsia="zh-CN"/>
              </w:rPr>
              <w:instrText xml:space="preserve"> = 1 \* GB3 \* MERGEFORMAT </w:instrText>
            </w:r>
            <w:r>
              <w:rPr>
                <w:rFonts w:ascii="Times New Roman"/>
                <w:b/>
                <w:bCs/>
                <w:snapToGrid w:val="0"/>
                <w:color w:val="auto"/>
                <w:spacing w:val="-6"/>
                <w:kern w:val="21"/>
                <w:sz w:val="21"/>
                <w:szCs w:val="21"/>
                <w:lang w:val="en-US" w:eastAsia="zh-CN"/>
              </w:rPr>
              <w:fldChar w:fldCharType="separate"/>
            </w:r>
            <w:r>
              <w:rPr>
                <w:rFonts w:ascii="Times New Roman"/>
                <w:b/>
                <w:bCs/>
                <w:color w:val="auto"/>
                <w:kern w:val="2"/>
                <w:sz w:val="21"/>
                <w:szCs w:val="21"/>
                <w:lang w:val="en-US" w:eastAsia="zh-CN"/>
              </w:rPr>
              <w:t>①</w:t>
            </w:r>
            <w:r>
              <w:rPr>
                <w:rFonts w:ascii="Times New Roman"/>
                <w:b/>
                <w:bCs/>
                <w:snapToGrid w:val="0"/>
                <w:color w:val="auto"/>
                <w:spacing w:val="-6"/>
                <w:kern w:val="21"/>
                <w:sz w:val="21"/>
                <w:szCs w:val="21"/>
                <w:lang w:val="en-US" w:eastAsia="zh-CN"/>
              </w:rPr>
              <w:fldChar w:fldCharType="end"/>
            </w:r>
          </w:p>
        </w:tc>
        <w:tc>
          <w:tcPr>
            <w:tcW w:w="1346" w:type="dxa"/>
            <w:noWrap w:val="0"/>
            <w:tcMar>
              <w:left w:w="28" w:type="dxa"/>
              <w:right w:w="28" w:type="dxa"/>
            </w:tcMar>
            <w:vAlign w:val="center"/>
          </w:tcPr>
          <w:p w14:paraId="61769194">
            <w:pPr>
              <w:pStyle w:val="49"/>
              <w:spacing w:beforeLines="0" w:afterLines="0" w:line="320" w:lineRule="exact"/>
              <w:rPr>
                <w:rFonts w:ascii="Times New Roman"/>
                <w:b/>
                <w:bCs/>
                <w:snapToGrid w:val="0"/>
                <w:color w:val="auto"/>
                <w:spacing w:val="-6"/>
                <w:kern w:val="21"/>
                <w:sz w:val="21"/>
                <w:szCs w:val="21"/>
                <w:lang w:val="en-US" w:eastAsia="zh-CN"/>
              </w:rPr>
            </w:pPr>
            <w:r>
              <w:rPr>
                <w:rFonts w:ascii="Times New Roman"/>
                <w:b/>
                <w:bCs/>
                <w:snapToGrid w:val="0"/>
                <w:color w:val="auto"/>
                <w:spacing w:val="-6"/>
                <w:kern w:val="21"/>
                <w:sz w:val="21"/>
                <w:szCs w:val="21"/>
                <w:lang w:val="en-US" w:eastAsia="zh-CN"/>
              </w:rPr>
              <w:t>现有工程许可排放量</w:t>
            </w:r>
            <w:r>
              <w:rPr>
                <w:rFonts w:ascii="Times New Roman"/>
                <w:b/>
                <w:bCs/>
                <w:snapToGrid w:val="0"/>
                <w:color w:val="auto"/>
                <w:spacing w:val="-6"/>
                <w:kern w:val="21"/>
                <w:sz w:val="21"/>
                <w:szCs w:val="21"/>
                <w:lang w:val="en-US" w:eastAsia="zh-CN"/>
              </w:rPr>
              <w:fldChar w:fldCharType="begin"/>
            </w:r>
            <w:r>
              <w:rPr>
                <w:rFonts w:ascii="Times New Roman"/>
                <w:b/>
                <w:bCs/>
                <w:snapToGrid w:val="0"/>
                <w:color w:val="auto"/>
                <w:spacing w:val="-6"/>
                <w:kern w:val="21"/>
                <w:sz w:val="21"/>
                <w:szCs w:val="21"/>
                <w:lang w:val="en-US" w:eastAsia="zh-CN"/>
              </w:rPr>
              <w:instrText xml:space="preserve"> = 2 \* GB3 \* MERGEFORMAT </w:instrText>
            </w:r>
            <w:r>
              <w:rPr>
                <w:rFonts w:ascii="Times New Roman"/>
                <w:b/>
                <w:bCs/>
                <w:snapToGrid w:val="0"/>
                <w:color w:val="auto"/>
                <w:spacing w:val="-6"/>
                <w:kern w:val="21"/>
                <w:sz w:val="21"/>
                <w:szCs w:val="21"/>
                <w:lang w:val="en-US" w:eastAsia="zh-CN"/>
              </w:rPr>
              <w:fldChar w:fldCharType="separate"/>
            </w:r>
            <w:r>
              <w:rPr>
                <w:rFonts w:ascii="Times New Roman"/>
                <w:b/>
                <w:bCs/>
                <w:snapToGrid w:val="0"/>
                <w:color w:val="auto"/>
                <w:spacing w:val="-6"/>
                <w:kern w:val="21"/>
                <w:sz w:val="21"/>
                <w:szCs w:val="21"/>
                <w:lang w:val="en-US" w:eastAsia="zh-CN"/>
              </w:rPr>
              <w:t>②</w:t>
            </w:r>
            <w:r>
              <w:rPr>
                <w:rFonts w:ascii="Times New Roman"/>
                <w:b/>
                <w:bCs/>
                <w:snapToGrid w:val="0"/>
                <w:color w:val="auto"/>
                <w:spacing w:val="-6"/>
                <w:kern w:val="21"/>
                <w:sz w:val="21"/>
                <w:szCs w:val="21"/>
                <w:lang w:val="en-US" w:eastAsia="zh-CN"/>
              </w:rPr>
              <w:fldChar w:fldCharType="end"/>
            </w:r>
          </w:p>
        </w:tc>
        <w:tc>
          <w:tcPr>
            <w:tcW w:w="1860" w:type="dxa"/>
            <w:noWrap w:val="0"/>
            <w:tcMar>
              <w:left w:w="28" w:type="dxa"/>
              <w:right w:w="28" w:type="dxa"/>
            </w:tcMar>
            <w:vAlign w:val="center"/>
          </w:tcPr>
          <w:p w14:paraId="7D5B78CA">
            <w:pPr>
              <w:pStyle w:val="49"/>
              <w:spacing w:beforeLines="0" w:afterLines="0" w:line="320" w:lineRule="exact"/>
              <w:rPr>
                <w:rFonts w:ascii="Times New Roman"/>
                <w:b/>
                <w:bCs/>
                <w:snapToGrid w:val="0"/>
                <w:color w:val="auto"/>
                <w:spacing w:val="-6"/>
                <w:kern w:val="21"/>
                <w:sz w:val="21"/>
                <w:szCs w:val="21"/>
                <w:lang w:val="en-US" w:eastAsia="zh-CN"/>
              </w:rPr>
            </w:pPr>
            <w:r>
              <w:rPr>
                <w:rFonts w:ascii="Times New Roman"/>
                <w:b/>
                <w:bCs/>
                <w:snapToGrid w:val="0"/>
                <w:color w:val="auto"/>
                <w:spacing w:val="-6"/>
                <w:kern w:val="21"/>
                <w:sz w:val="21"/>
                <w:szCs w:val="21"/>
                <w:lang w:val="en-US" w:eastAsia="zh-CN"/>
              </w:rPr>
              <w:t>在建工程排放量（固体废物产生量）</w:t>
            </w:r>
            <w:r>
              <w:rPr>
                <w:rFonts w:ascii="Times New Roman"/>
                <w:b/>
                <w:bCs/>
                <w:snapToGrid w:val="0"/>
                <w:color w:val="auto"/>
                <w:spacing w:val="-6"/>
                <w:kern w:val="21"/>
                <w:sz w:val="21"/>
                <w:szCs w:val="21"/>
                <w:lang w:val="en-US" w:eastAsia="zh-CN"/>
              </w:rPr>
              <w:fldChar w:fldCharType="begin"/>
            </w:r>
            <w:r>
              <w:rPr>
                <w:rFonts w:ascii="Times New Roman"/>
                <w:b/>
                <w:bCs/>
                <w:snapToGrid w:val="0"/>
                <w:color w:val="auto"/>
                <w:spacing w:val="-6"/>
                <w:kern w:val="21"/>
                <w:sz w:val="21"/>
                <w:szCs w:val="21"/>
                <w:lang w:val="en-US" w:eastAsia="zh-CN"/>
              </w:rPr>
              <w:instrText xml:space="preserve"> = 3 \* GB3 \* MERGEFORMAT </w:instrText>
            </w:r>
            <w:r>
              <w:rPr>
                <w:rFonts w:ascii="Times New Roman"/>
                <w:b/>
                <w:bCs/>
                <w:snapToGrid w:val="0"/>
                <w:color w:val="auto"/>
                <w:spacing w:val="-6"/>
                <w:kern w:val="21"/>
                <w:sz w:val="21"/>
                <w:szCs w:val="21"/>
                <w:lang w:val="en-US" w:eastAsia="zh-CN"/>
              </w:rPr>
              <w:fldChar w:fldCharType="separate"/>
            </w:r>
            <w:r>
              <w:rPr>
                <w:rFonts w:ascii="Times New Roman"/>
                <w:b/>
                <w:bCs/>
                <w:color w:val="auto"/>
                <w:kern w:val="2"/>
                <w:sz w:val="21"/>
                <w:szCs w:val="21"/>
                <w:lang w:val="en-US" w:eastAsia="zh-CN"/>
              </w:rPr>
              <w:t>③</w:t>
            </w:r>
            <w:r>
              <w:rPr>
                <w:rFonts w:ascii="Times New Roman"/>
                <w:b/>
                <w:bCs/>
                <w:snapToGrid w:val="0"/>
                <w:color w:val="auto"/>
                <w:spacing w:val="-6"/>
                <w:kern w:val="21"/>
                <w:sz w:val="21"/>
                <w:szCs w:val="21"/>
                <w:lang w:val="en-US" w:eastAsia="zh-CN"/>
              </w:rPr>
              <w:fldChar w:fldCharType="end"/>
            </w:r>
          </w:p>
        </w:tc>
        <w:tc>
          <w:tcPr>
            <w:tcW w:w="1620" w:type="dxa"/>
            <w:noWrap w:val="0"/>
            <w:tcMar>
              <w:left w:w="28" w:type="dxa"/>
              <w:right w:w="28" w:type="dxa"/>
            </w:tcMar>
            <w:vAlign w:val="center"/>
          </w:tcPr>
          <w:p w14:paraId="0F41A936">
            <w:pPr>
              <w:pStyle w:val="49"/>
              <w:spacing w:beforeLines="0" w:afterLines="0" w:line="320" w:lineRule="exact"/>
              <w:rPr>
                <w:rFonts w:ascii="Times New Roman"/>
                <w:b/>
                <w:bCs/>
                <w:snapToGrid w:val="0"/>
                <w:color w:val="auto"/>
                <w:spacing w:val="-6"/>
                <w:kern w:val="21"/>
                <w:sz w:val="21"/>
                <w:szCs w:val="21"/>
                <w:lang w:val="en-US" w:eastAsia="zh-CN"/>
              </w:rPr>
            </w:pPr>
            <w:r>
              <w:rPr>
                <w:rFonts w:ascii="Times New Roman"/>
                <w:b/>
                <w:bCs/>
                <w:snapToGrid w:val="0"/>
                <w:color w:val="auto"/>
                <w:spacing w:val="-6"/>
                <w:kern w:val="21"/>
                <w:sz w:val="21"/>
                <w:szCs w:val="21"/>
                <w:lang w:val="en-US" w:eastAsia="zh-CN"/>
              </w:rPr>
              <w:t>本项目排放量（固体废物产生量）</w:t>
            </w:r>
            <w:r>
              <w:rPr>
                <w:rFonts w:ascii="Times New Roman"/>
                <w:b/>
                <w:bCs/>
                <w:snapToGrid w:val="0"/>
                <w:color w:val="auto"/>
                <w:spacing w:val="-6"/>
                <w:kern w:val="21"/>
                <w:sz w:val="21"/>
                <w:szCs w:val="21"/>
                <w:lang w:val="en-US" w:eastAsia="zh-CN"/>
              </w:rPr>
              <w:fldChar w:fldCharType="begin"/>
            </w:r>
            <w:r>
              <w:rPr>
                <w:rFonts w:ascii="Times New Roman"/>
                <w:b/>
                <w:bCs/>
                <w:snapToGrid w:val="0"/>
                <w:color w:val="auto"/>
                <w:spacing w:val="-6"/>
                <w:kern w:val="21"/>
                <w:sz w:val="21"/>
                <w:szCs w:val="21"/>
                <w:lang w:val="en-US" w:eastAsia="zh-CN"/>
              </w:rPr>
              <w:instrText xml:space="preserve"> = 4 \* GB3 \* MERGEFORMAT </w:instrText>
            </w:r>
            <w:r>
              <w:rPr>
                <w:rFonts w:ascii="Times New Roman"/>
                <w:b/>
                <w:bCs/>
                <w:snapToGrid w:val="0"/>
                <w:color w:val="auto"/>
                <w:spacing w:val="-6"/>
                <w:kern w:val="21"/>
                <w:sz w:val="21"/>
                <w:szCs w:val="21"/>
                <w:lang w:val="en-US" w:eastAsia="zh-CN"/>
              </w:rPr>
              <w:fldChar w:fldCharType="separate"/>
            </w:r>
            <w:r>
              <w:rPr>
                <w:rFonts w:ascii="Times New Roman"/>
                <w:b/>
                <w:bCs/>
                <w:color w:val="auto"/>
                <w:kern w:val="2"/>
                <w:sz w:val="21"/>
                <w:szCs w:val="21"/>
                <w:lang w:val="en-US" w:eastAsia="zh-CN"/>
              </w:rPr>
              <w:t>④</w:t>
            </w:r>
            <w:r>
              <w:rPr>
                <w:rFonts w:ascii="Times New Roman"/>
                <w:b/>
                <w:bCs/>
                <w:snapToGrid w:val="0"/>
                <w:color w:val="auto"/>
                <w:spacing w:val="-6"/>
                <w:kern w:val="21"/>
                <w:sz w:val="21"/>
                <w:szCs w:val="21"/>
                <w:lang w:val="en-US" w:eastAsia="zh-CN"/>
              </w:rPr>
              <w:fldChar w:fldCharType="end"/>
            </w:r>
          </w:p>
        </w:tc>
        <w:tc>
          <w:tcPr>
            <w:tcW w:w="1590" w:type="dxa"/>
            <w:noWrap w:val="0"/>
            <w:tcMar>
              <w:left w:w="28" w:type="dxa"/>
              <w:right w:w="28" w:type="dxa"/>
            </w:tcMar>
            <w:vAlign w:val="center"/>
          </w:tcPr>
          <w:p w14:paraId="28211EA6">
            <w:pPr>
              <w:pStyle w:val="49"/>
              <w:spacing w:beforeLines="0" w:afterLines="0" w:line="320" w:lineRule="exact"/>
              <w:rPr>
                <w:rFonts w:ascii="Times New Roman"/>
                <w:b/>
                <w:bCs/>
                <w:snapToGrid w:val="0"/>
                <w:color w:val="auto"/>
                <w:spacing w:val="-16"/>
                <w:kern w:val="21"/>
                <w:sz w:val="21"/>
                <w:szCs w:val="21"/>
                <w:lang w:val="en-US" w:eastAsia="zh-CN"/>
              </w:rPr>
            </w:pPr>
            <w:r>
              <w:rPr>
                <w:rFonts w:ascii="Times New Roman"/>
                <w:b/>
                <w:bCs/>
                <w:snapToGrid w:val="0"/>
                <w:color w:val="auto"/>
                <w:spacing w:val="-16"/>
                <w:kern w:val="21"/>
                <w:sz w:val="21"/>
                <w:szCs w:val="21"/>
                <w:lang w:val="en-US" w:eastAsia="zh-CN"/>
              </w:rPr>
              <w:t>以新带老削减量</w:t>
            </w:r>
          </w:p>
          <w:p w14:paraId="70349706">
            <w:pPr>
              <w:pStyle w:val="49"/>
              <w:spacing w:beforeLines="0" w:afterLines="0" w:line="320" w:lineRule="exact"/>
              <w:rPr>
                <w:rFonts w:ascii="Times New Roman"/>
                <w:b/>
                <w:bCs/>
                <w:snapToGrid w:val="0"/>
                <w:color w:val="auto"/>
                <w:spacing w:val="-16"/>
                <w:kern w:val="21"/>
                <w:sz w:val="21"/>
                <w:szCs w:val="21"/>
                <w:lang w:val="en-US" w:eastAsia="zh-CN"/>
              </w:rPr>
            </w:pPr>
            <w:r>
              <w:rPr>
                <w:rFonts w:ascii="Times New Roman"/>
                <w:b/>
                <w:bCs/>
                <w:snapToGrid w:val="0"/>
                <w:color w:val="auto"/>
                <w:spacing w:val="-16"/>
                <w:kern w:val="21"/>
                <w:sz w:val="21"/>
                <w:szCs w:val="21"/>
                <w:lang w:val="en-US" w:eastAsia="zh-CN"/>
              </w:rPr>
              <w:t>（新建项目不填）</w:t>
            </w:r>
            <w:r>
              <w:rPr>
                <w:rFonts w:ascii="Times New Roman"/>
                <w:b/>
                <w:bCs/>
                <w:snapToGrid w:val="0"/>
                <w:color w:val="auto"/>
                <w:spacing w:val="-16"/>
                <w:kern w:val="21"/>
                <w:sz w:val="21"/>
                <w:szCs w:val="21"/>
                <w:lang w:val="en-US" w:eastAsia="zh-CN"/>
              </w:rPr>
              <w:fldChar w:fldCharType="begin"/>
            </w:r>
            <w:r>
              <w:rPr>
                <w:rFonts w:ascii="Times New Roman"/>
                <w:b/>
                <w:bCs/>
                <w:snapToGrid w:val="0"/>
                <w:color w:val="auto"/>
                <w:spacing w:val="-16"/>
                <w:kern w:val="21"/>
                <w:sz w:val="21"/>
                <w:szCs w:val="21"/>
                <w:lang w:val="en-US" w:eastAsia="zh-CN"/>
              </w:rPr>
              <w:instrText xml:space="preserve"> = 5 \* GB3 \* MERGEFORMAT </w:instrText>
            </w:r>
            <w:r>
              <w:rPr>
                <w:rFonts w:ascii="Times New Roman"/>
                <w:b/>
                <w:bCs/>
                <w:snapToGrid w:val="0"/>
                <w:color w:val="auto"/>
                <w:spacing w:val="-16"/>
                <w:kern w:val="21"/>
                <w:sz w:val="21"/>
                <w:szCs w:val="21"/>
                <w:lang w:val="en-US" w:eastAsia="zh-CN"/>
              </w:rPr>
              <w:fldChar w:fldCharType="separate"/>
            </w:r>
            <w:r>
              <w:rPr>
                <w:rFonts w:ascii="Times New Roman"/>
                <w:b/>
                <w:bCs/>
                <w:color w:val="auto"/>
                <w:kern w:val="2"/>
                <w:sz w:val="21"/>
                <w:szCs w:val="21"/>
                <w:lang w:val="en-US" w:eastAsia="zh-CN"/>
              </w:rPr>
              <w:t>⑤</w:t>
            </w:r>
            <w:r>
              <w:rPr>
                <w:rFonts w:ascii="Times New Roman"/>
                <w:b/>
                <w:bCs/>
                <w:snapToGrid w:val="0"/>
                <w:color w:val="auto"/>
                <w:spacing w:val="-16"/>
                <w:kern w:val="21"/>
                <w:sz w:val="21"/>
                <w:szCs w:val="21"/>
                <w:lang w:val="en-US" w:eastAsia="zh-CN"/>
              </w:rPr>
              <w:fldChar w:fldCharType="end"/>
            </w:r>
          </w:p>
        </w:tc>
        <w:tc>
          <w:tcPr>
            <w:tcW w:w="1995" w:type="dxa"/>
            <w:noWrap w:val="0"/>
            <w:tcMar>
              <w:left w:w="28" w:type="dxa"/>
              <w:right w:w="28" w:type="dxa"/>
            </w:tcMar>
            <w:vAlign w:val="center"/>
          </w:tcPr>
          <w:p w14:paraId="20AD3FE7">
            <w:pPr>
              <w:pStyle w:val="49"/>
              <w:spacing w:beforeLines="0" w:afterLines="0" w:line="320" w:lineRule="exact"/>
              <w:rPr>
                <w:rFonts w:ascii="Times New Roman"/>
                <w:b/>
                <w:bCs/>
                <w:snapToGrid w:val="0"/>
                <w:color w:val="auto"/>
                <w:spacing w:val="-16"/>
                <w:kern w:val="21"/>
                <w:sz w:val="21"/>
                <w:szCs w:val="21"/>
                <w:lang w:val="en-US" w:eastAsia="zh-CN"/>
              </w:rPr>
            </w:pPr>
            <w:r>
              <w:rPr>
                <w:rFonts w:ascii="Times New Roman"/>
                <w:b/>
                <w:bCs/>
                <w:snapToGrid w:val="0"/>
                <w:color w:val="auto"/>
                <w:spacing w:val="-16"/>
                <w:kern w:val="21"/>
                <w:sz w:val="21"/>
                <w:szCs w:val="21"/>
                <w:lang w:val="en-US" w:eastAsia="zh-CN"/>
              </w:rPr>
              <w:t>本项目建成后全厂排放量（固体废物产生量）</w:t>
            </w:r>
            <w:r>
              <w:rPr>
                <w:rFonts w:ascii="Times New Roman"/>
                <w:b/>
                <w:bCs/>
                <w:snapToGrid w:val="0"/>
                <w:color w:val="auto"/>
                <w:spacing w:val="-16"/>
                <w:kern w:val="21"/>
                <w:sz w:val="21"/>
                <w:szCs w:val="21"/>
                <w:lang w:val="en-US" w:eastAsia="zh-CN"/>
              </w:rPr>
              <w:fldChar w:fldCharType="begin"/>
            </w:r>
            <w:r>
              <w:rPr>
                <w:rFonts w:ascii="Times New Roman"/>
                <w:b/>
                <w:bCs/>
                <w:snapToGrid w:val="0"/>
                <w:color w:val="auto"/>
                <w:spacing w:val="-16"/>
                <w:kern w:val="21"/>
                <w:sz w:val="21"/>
                <w:szCs w:val="21"/>
                <w:lang w:val="en-US" w:eastAsia="zh-CN"/>
              </w:rPr>
              <w:instrText xml:space="preserve"> = 6 \* GB3 \* MERGEFORMAT </w:instrText>
            </w:r>
            <w:r>
              <w:rPr>
                <w:rFonts w:ascii="Times New Roman"/>
                <w:b/>
                <w:bCs/>
                <w:snapToGrid w:val="0"/>
                <w:color w:val="auto"/>
                <w:spacing w:val="-16"/>
                <w:kern w:val="21"/>
                <w:sz w:val="21"/>
                <w:szCs w:val="21"/>
                <w:lang w:val="en-US" w:eastAsia="zh-CN"/>
              </w:rPr>
              <w:fldChar w:fldCharType="separate"/>
            </w:r>
            <w:r>
              <w:rPr>
                <w:rFonts w:ascii="Times New Roman"/>
                <w:b/>
                <w:bCs/>
                <w:color w:val="auto"/>
                <w:kern w:val="2"/>
                <w:sz w:val="21"/>
                <w:szCs w:val="21"/>
                <w:lang w:val="en-US" w:eastAsia="zh-CN"/>
              </w:rPr>
              <w:t>⑥</w:t>
            </w:r>
            <w:r>
              <w:rPr>
                <w:rFonts w:ascii="Times New Roman"/>
                <w:b/>
                <w:bCs/>
                <w:snapToGrid w:val="0"/>
                <w:color w:val="auto"/>
                <w:spacing w:val="-16"/>
                <w:kern w:val="21"/>
                <w:sz w:val="21"/>
                <w:szCs w:val="21"/>
                <w:lang w:val="en-US" w:eastAsia="zh-CN"/>
              </w:rPr>
              <w:fldChar w:fldCharType="end"/>
            </w:r>
          </w:p>
        </w:tc>
        <w:tc>
          <w:tcPr>
            <w:tcW w:w="1149" w:type="dxa"/>
            <w:noWrap w:val="0"/>
            <w:tcMar>
              <w:left w:w="28" w:type="dxa"/>
              <w:right w:w="28" w:type="dxa"/>
            </w:tcMar>
            <w:vAlign w:val="center"/>
          </w:tcPr>
          <w:p w14:paraId="605599EA">
            <w:pPr>
              <w:pStyle w:val="49"/>
              <w:spacing w:beforeLines="0" w:afterLines="0" w:line="320" w:lineRule="exact"/>
              <w:rPr>
                <w:rFonts w:ascii="Times New Roman"/>
                <w:b/>
                <w:bCs/>
                <w:snapToGrid w:val="0"/>
                <w:color w:val="auto"/>
                <w:spacing w:val="-6"/>
                <w:kern w:val="21"/>
                <w:sz w:val="21"/>
                <w:szCs w:val="21"/>
                <w:lang w:val="en-US" w:eastAsia="zh-CN"/>
              </w:rPr>
            </w:pPr>
            <w:r>
              <w:rPr>
                <w:rFonts w:ascii="Times New Roman"/>
                <w:b/>
                <w:bCs/>
                <w:snapToGrid w:val="0"/>
                <w:color w:val="auto"/>
                <w:spacing w:val="-6"/>
                <w:kern w:val="21"/>
                <w:sz w:val="21"/>
                <w:szCs w:val="21"/>
                <w:lang w:val="en-US" w:eastAsia="zh-CN"/>
              </w:rPr>
              <w:t>变化量</w:t>
            </w:r>
            <w:r>
              <w:rPr>
                <w:rFonts w:ascii="Times New Roman"/>
                <w:b/>
                <w:bCs/>
                <w:snapToGrid w:val="0"/>
                <w:color w:val="auto"/>
                <w:spacing w:val="-6"/>
                <w:kern w:val="21"/>
                <w:sz w:val="21"/>
                <w:szCs w:val="21"/>
                <w:lang w:val="en-US" w:eastAsia="zh-CN"/>
              </w:rPr>
              <w:fldChar w:fldCharType="begin"/>
            </w:r>
            <w:r>
              <w:rPr>
                <w:rFonts w:ascii="Times New Roman"/>
                <w:b/>
                <w:bCs/>
                <w:snapToGrid w:val="0"/>
                <w:color w:val="auto"/>
                <w:spacing w:val="-6"/>
                <w:kern w:val="21"/>
                <w:sz w:val="21"/>
                <w:szCs w:val="21"/>
                <w:lang w:val="en-US" w:eastAsia="zh-CN"/>
              </w:rPr>
              <w:instrText xml:space="preserve"> = 7 \* GB3 \* MERGEFORMAT </w:instrText>
            </w:r>
            <w:r>
              <w:rPr>
                <w:rFonts w:ascii="Times New Roman"/>
                <w:b/>
                <w:bCs/>
                <w:snapToGrid w:val="0"/>
                <w:color w:val="auto"/>
                <w:spacing w:val="-6"/>
                <w:kern w:val="21"/>
                <w:sz w:val="21"/>
                <w:szCs w:val="21"/>
                <w:lang w:val="en-US" w:eastAsia="zh-CN"/>
              </w:rPr>
              <w:fldChar w:fldCharType="separate"/>
            </w:r>
            <w:r>
              <w:rPr>
                <w:rFonts w:ascii="Times New Roman"/>
                <w:b/>
                <w:bCs/>
                <w:color w:val="auto"/>
                <w:kern w:val="2"/>
                <w:sz w:val="21"/>
                <w:szCs w:val="21"/>
                <w:lang w:val="en-US" w:eastAsia="zh-CN"/>
              </w:rPr>
              <w:t>⑦</w:t>
            </w:r>
            <w:r>
              <w:rPr>
                <w:rFonts w:ascii="Times New Roman"/>
                <w:b/>
                <w:bCs/>
                <w:snapToGrid w:val="0"/>
                <w:color w:val="auto"/>
                <w:spacing w:val="-6"/>
                <w:kern w:val="21"/>
                <w:sz w:val="21"/>
                <w:szCs w:val="21"/>
                <w:lang w:val="en-US" w:eastAsia="zh-CN"/>
              </w:rPr>
              <w:fldChar w:fldCharType="end"/>
            </w:r>
          </w:p>
        </w:tc>
      </w:tr>
      <w:tr w14:paraId="6535C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noWrap w:val="0"/>
            <w:vAlign w:val="center"/>
          </w:tcPr>
          <w:p w14:paraId="4BEB99A8">
            <w:pPr>
              <w:pStyle w:val="49"/>
              <w:spacing w:beforeLines="0" w:afterLines="0" w:line="320" w:lineRule="exact"/>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废气</w:t>
            </w:r>
          </w:p>
        </w:tc>
        <w:tc>
          <w:tcPr>
            <w:tcW w:w="690" w:type="dxa"/>
            <w:vMerge w:val="restart"/>
            <w:noWrap w:val="0"/>
            <w:vAlign w:val="center"/>
          </w:tcPr>
          <w:p w14:paraId="1FE88574">
            <w:pPr>
              <w:keepNext w:val="0"/>
              <w:keepLines w:val="0"/>
              <w:pageBreakBefore w:val="0"/>
              <w:widowControl/>
              <w:kinsoku/>
              <w:wordWrap/>
              <w:overflowPunct/>
              <w:topLinePunct w:val="0"/>
              <w:autoSpaceDE/>
              <w:autoSpaceDN/>
              <w:bidi w:val="0"/>
              <w:adjustRightInd/>
              <w:snapToGrid/>
              <w:spacing w:line="310" w:lineRule="exact"/>
              <w:jc w:val="center"/>
              <w:rPr>
                <w:rFonts w:hint="default" w:eastAsia="宋体"/>
                <w:color w:val="auto"/>
                <w:spacing w:val="0"/>
                <w:kern w:val="0"/>
                <w:sz w:val="21"/>
                <w:szCs w:val="21"/>
                <w:lang w:val="en-US" w:eastAsia="zh-CN" w:bidi="ar-SA"/>
              </w:rPr>
            </w:pPr>
            <w:r>
              <w:rPr>
                <w:rFonts w:hint="eastAsia"/>
                <w:color w:val="auto"/>
                <w:spacing w:val="0"/>
                <w:kern w:val="0"/>
                <w:sz w:val="21"/>
                <w:szCs w:val="21"/>
                <w:lang w:val="en-US" w:eastAsia="zh-CN" w:bidi="ar-SA"/>
              </w:rPr>
              <w:t>无组织</w:t>
            </w:r>
          </w:p>
        </w:tc>
        <w:tc>
          <w:tcPr>
            <w:tcW w:w="691" w:type="dxa"/>
            <w:noWrap w:val="0"/>
            <w:vAlign w:val="center"/>
          </w:tcPr>
          <w:p w14:paraId="0AEECD8E">
            <w:pPr>
              <w:keepNext w:val="0"/>
              <w:keepLines w:val="0"/>
              <w:pageBreakBefore w:val="0"/>
              <w:widowControl/>
              <w:kinsoku/>
              <w:wordWrap/>
              <w:overflowPunct/>
              <w:topLinePunct w:val="0"/>
              <w:autoSpaceDE/>
              <w:autoSpaceDN/>
              <w:bidi w:val="0"/>
              <w:adjustRightInd/>
              <w:snapToGrid/>
              <w:spacing w:line="310" w:lineRule="exact"/>
              <w:jc w:val="center"/>
              <w:rPr>
                <w:rFonts w:hint="eastAsia"/>
                <w:color w:val="auto"/>
                <w:spacing w:val="0"/>
                <w:kern w:val="0"/>
                <w:sz w:val="21"/>
                <w:szCs w:val="21"/>
                <w:lang w:val="en-US" w:eastAsia="zh-CN" w:bidi="ar-SA"/>
              </w:rPr>
            </w:pPr>
            <w:r>
              <w:rPr>
                <w:rFonts w:hint="eastAsia"/>
                <w:color w:val="auto"/>
                <w:spacing w:val="0"/>
                <w:kern w:val="0"/>
                <w:sz w:val="21"/>
                <w:szCs w:val="21"/>
                <w:lang w:val="en-US" w:eastAsia="zh-CN" w:bidi="ar-SA"/>
              </w:rPr>
              <w:t>非甲烷总烃</w:t>
            </w:r>
          </w:p>
        </w:tc>
        <w:tc>
          <w:tcPr>
            <w:tcW w:w="1784" w:type="dxa"/>
            <w:noWrap w:val="0"/>
            <w:vAlign w:val="center"/>
          </w:tcPr>
          <w:p w14:paraId="777C2CF9">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54755902">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860" w:type="dxa"/>
            <w:noWrap w:val="0"/>
            <w:vAlign w:val="center"/>
          </w:tcPr>
          <w:p w14:paraId="1D644733">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w:t>
            </w:r>
          </w:p>
        </w:tc>
        <w:tc>
          <w:tcPr>
            <w:tcW w:w="1620" w:type="dxa"/>
            <w:noWrap w:val="0"/>
            <w:vAlign w:val="center"/>
          </w:tcPr>
          <w:p w14:paraId="2B1B764C">
            <w:pPr>
              <w:keepNext w:val="0"/>
              <w:keepLines w:val="0"/>
              <w:pageBreakBefore w:val="0"/>
              <w:kinsoku/>
              <w:wordWrap/>
              <w:overflowPunct/>
              <w:topLinePunct w:val="0"/>
              <w:autoSpaceDE/>
              <w:autoSpaceDN/>
              <w:bidi w:val="0"/>
              <w:adjustRightInd/>
              <w:snapToGrid/>
              <w:spacing w:line="310" w:lineRule="exact"/>
              <w:jc w:val="center"/>
              <w:rPr>
                <w:rFonts w:hint="default"/>
                <w:color w:val="auto"/>
                <w:spacing w:val="0"/>
                <w:kern w:val="2"/>
                <w:sz w:val="21"/>
                <w:szCs w:val="21"/>
                <w:lang w:val="en-US" w:eastAsia="zh-CN" w:bidi="ar-SA"/>
              </w:rPr>
            </w:pPr>
            <w:r>
              <w:rPr>
                <w:rFonts w:hint="eastAsia"/>
                <w:color w:val="auto"/>
                <w:spacing w:val="0"/>
                <w:kern w:val="2"/>
                <w:sz w:val="21"/>
                <w:szCs w:val="21"/>
                <w:lang w:val="en-US" w:eastAsia="zh-CN" w:bidi="ar-SA"/>
              </w:rPr>
              <w:t>0.008</w:t>
            </w:r>
          </w:p>
        </w:tc>
        <w:tc>
          <w:tcPr>
            <w:tcW w:w="1590" w:type="dxa"/>
            <w:noWrap w:val="0"/>
            <w:vAlign w:val="center"/>
          </w:tcPr>
          <w:p w14:paraId="3343DB3F">
            <w:pPr>
              <w:spacing w:beforeLines="0" w:afterLines="0" w:line="320" w:lineRule="exact"/>
              <w:jc w:val="center"/>
              <w:rPr>
                <w:rFonts w:hint="eastAsia"/>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995" w:type="dxa"/>
            <w:noWrap w:val="0"/>
            <w:vAlign w:val="center"/>
          </w:tcPr>
          <w:p w14:paraId="38D8B091">
            <w:pPr>
              <w:keepNext w:val="0"/>
              <w:keepLines w:val="0"/>
              <w:pageBreakBefore w:val="0"/>
              <w:kinsoku/>
              <w:wordWrap/>
              <w:overflowPunct/>
              <w:topLinePunct w:val="0"/>
              <w:autoSpaceDE/>
              <w:autoSpaceDN/>
              <w:bidi w:val="0"/>
              <w:adjustRightInd/>
              <w:snapToGrid/>
              <w:spacing w:line="310" w:lineRule="exact"/>
              <w:jc w:val="center"/>
              <w:rPr>
                <w:rFonts w:hint="default"/>
                <w:color w:val="auto"/>
                <w:spacing w:val="0"/>
                <w:kern w:val="2"/>
                <w:sz w:val="21"/>
                <w:szCs w:val="21"/>
                <w:lang w:val="en-US" w:eastAsia="zh-CN" w:bidi="ar-SA"/>
              </w:rPr>
            </w:pPr>
            <w:r>
              <w:rPr>
                <w:rFonts w:hint="eastAsia"/>
                <w:color w:val="auto"/>
                <w:spacing w:val="0"/>
                <w:kern w:val="2"/>
                <w:sz w:val="21"/>
                <w:szCs w:val="21"/>
                <w:lang w:val="en-US" w:eastAsia="zh-CN" w:bidi="ar-SA"/>
              </w:rPr>
              <w:t>0.008</w:t>
            </w:r>
          </w:p>
        </w:tc>
        <w:tc>
          <w:tcPr>
            <w:tcW w:w="1149" w:type="dxa"/>
            <w:noWrap w:val="0"/>
            <w:vAlign w:val="center"/>
          </w:tcPr>
          <w:p w14:paraId="7FA9806C">
            <w:pPr>
              <w:keepNext w:val="0"/>
              <w:keepLines w:val="0"/>
              <w:pageBreakBefore w:val="0"/>
              <w:kinsoku/>
              <w:wordWrap/>
              <w:overflowPunct/>
              <w:topLinePunct w:val="0"/>
              <w:autoSpaceDE/>
              <w:autoSpaceDN/>
              <w:bidi w:val="0"/>
              <w:adjustRightInd/>
              <w:snapToGrid/>
              <w:spacing w:line="310" w:lineRule="exact"/>
              <w:jc w:val="center"/>
              <w:rPr>
                <w:rFonts w:hint="default"/>
                <w:color w:val="auto"/>
                <w:spacing w:val="0"/>
                <w:kern w:val="2"/>
                <w:sz w:val="21"/>
                <w:szCs w:val="21"/>
                <w:lang w:val="en-US" w:eastAsia="zh-CN" w:bidi="ar-SA"/>
              </w:rPr>
            </w:pPr>
            <w:r>
              <w:rPr>
                <w:rFonts w:hint="eastAsia"/>
                <w:color w:val="auto"/>
                <w:spacing w:val="0"/>
                <w:kern w:val="2"/>
                <w:sz w:val="21"/>
                <w:szCs w:val="21"/>
                <w:lang w:val="en-US" w:eastAsia="zh-CN" w:bidi="ar-SA"/>
              </w:rPr>
              <w:t>+0.008</w:t>
            </w:r>
          </w:p>
        </w:tc>
      </w:tr>
      <w:tr w14:paraId="2584E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0B48726D">
            <w:pPr>
              <w:pStyle w:val="49"/>
              <w:spacing w:beforeLines="0" w:afterLines="0" w:line="320" w:lineRule="exact"/>
              <w:rPr>
                <w:rFonts w:ascii="Times New Roman"/>
                <w:snapToGrid w:val="0"/>
                <w:color w:val="auto"/>
                <w:kern w:val="21"/>
                <w:sz w:val="21"/>
                <w:szCs w:val="21"/>
                <w:lang w:val="en-US" w:eastAsia="zh-CN"/>
              </w:rPr>
            </w:pPr>
          </w:p>
        </w:tc>
        <w:tc>
          <w:tcPr>
            <w:tcW w:w="690" w:type="dxa"/>
            <w:vMerge w:val="continue"/>
            <w:noWrap w:val="0"/>
            <w:vAlign w:val="center"/>
          </w:tcPr>
          <w:p w14:paraId="5F8ABA92">
            <w:pPr>
              <w:keepNext w:val="0"/>
              <w:keepLines w:val="0"/>
              <w:pageBreakBefore w:val="0"/>
              <w:widowControl/>
              <w:kinsoku/>
              <w:wordWrap/>
              <w:overflowPunct/>
              <w:topLinePunct w:val="0"/>
              <w:autoSpaceDE/>
              <w:autoSpaceDN/>
              <w:bidi w:val="0"/>
              <w:adjustRightInd/>
              <w:snapToGrid/>
              <w:spacing w:line="310" w:lineRule="exact"/>
              <w:jc w:val="center"/>
              <w:rPr>
                <w:rFonts w:hint="default" w:eastAsia="宋体"/>
                <w:color w:val="auto"/>
                <w:spacing w:val="0"/>
                <w:kern w:val="0"/>
                <w:sz w:val="21"/>
                <w:szCs w:val="21"/>
                <w:lang w:val="en-US" w:eastAsia="zh-CN" w:bidi="ar-SA"/>
              </w:rPr>
            </w:pPr>
          </w:p>
        </w:tc>
        <w:tc>
          <w:tcPr>
            <w:tcW w:w="691" w:type="dxa"/>
            <w:noWrap w:val="0"/>
            <w:vAlign w:val="center"/>
          </w:tcPr>
          <w:p w14:paraId="30C7EF06">
            <w:pPr>
              <w:keepNext w:val="0"/>
              <w:keepLines w:val="0"/>
              <w:pageBreakBefore w:val="0"/>
              <w:widowControl/>
              <w:kinsoku/>
              <w:wordWrap/>
              <w:overflowPunct/>
              <w:topLinePunct w:val="0"/>
              <w:autoSpaceDE/>
              <w:autoSpaceDN/>
              <w:bidi w:val="0"/>
              <w:adjustRightInd/>
              <w:snapToGrid/>
              <w:spacing w:line="310" w:lineRule="exact"/>
              <w:jc w:val="center"/>
              <w:rPr>
                <w:rFonts w:hint="eastAsia"/>
                <w:color w:val="auto"/>
                <w:spacing w:val="0"/>
                <w:kern w:val="0"/>
                <w:sz w:val="21"/>
                <w:szCs w:val="21"/>
                <w:lang w:val="en-US" w:eastAsia="zh-CN" w:bidi="ar-SA"/>
              </w:rPr>
            </w:pPr>
            <w:r>
              <w:rPr>
                <w:rFonts w:hint="eastAsia"/>
                <w:color w:val="auto"/>
                <w:spacing w:val="0"/>
                <w:kern w:val="0"/>
                <w:sz w:val="21"/>
                <w:szCs w:val="21"/>
                <w:lang w:val="en-US" w:eastAsia="zh-CN" w:bidi="ar-SA"/>
              </w:rPr>
              <w:t>氨</w:t>
            </w:r>
          </w:p>
        </w:tc>
        <w:tc>
          <w:tcPr>
            <w:tcW w:w="1784" w:type="dxa"/>
            <w:noWrap w:val="0"/>
            <w:vAlign w:val="center"/>
          </w:tcPr>
          <w:p w14:paraId="01759FF6">
            <w:pPr>
              <w:pStyle w:val="49"/>
              <w:spacing w:beforeLines="0" w:afterLines="0" w:line="320" w:lineRule="exact"/>
              <w:rPr>
                <w:rFonts w:hint="default" w:eastAsia="宋体"/>
                <w:color w:val="auto"/>
                <w:spacing w:val="0"/>
                <w:kern w:val="2"/>
                <w:sz w:val="21"/>
                <w:szCs w:val="21"/>
                <w:lang w:val="en-US" w:eastAsia="zh-CN" w:bidi="ar-SA"/>
              </w:rPr>
            </w:pPr>
            <w:r>
              <w:rPr>
                <w:rFonts w:ascii="Times New Roman"/>
                <w:snapToGrid w:val="0"/>
                <w:color w:val="auto"/>
                <w:kern w:val="21"/>
                <w:sz w:val="21"/>
                <w:szCs w:val="21"/>
                <w:lang w:val="en-US" w:eastAsia="zh-CN"/>
              </w:rPr>
              <w:t>0</w:t>
            </w:r>
          </w:p>
        </w:tc>
        <w:tc>
          <w:tcPr>
            <w:tcW w:w="1346" w:type="dxa"/>
            <w:noWrap w:val="0"/>
            <w:vAlign w:val="center"/>
          </w:tcPr>
          <w:p w14:paraId="214394A1">
            <w:pPr>
              <w:pStyle w:val="49"/>
              <w:spacing w:beforeLines="0" w:afterLines="0" w:line="320" w:lineRule="exact"/>
              <w:rPr>
                <w:rFonts w:hint="default" w:eastAsia="宋体"/>
                <w:color w:val="auto"/>
                <w:spacing w:val="0"/>
                <w:kern w:val="2"/>
                <w:sz w:val="21"/>
                <w:szCs w:val="21"/>
                <w:lang w:val="en-US" w:eastAsia="zh-CN" w:bidi="ar-SA"/>
              </w:rPr>
            </w:pPr>
            <w:r>
              <w:rPr>
                <w:rFonts w:ascii="Times New Roman"/>
                <w:snapToGrid w:val="0"/>
                <w:color w:val="auto"/>
                <w:kern w:val="21"/>
                <w:sz w:val="21"/>
                <w:szCs w:val="21"/>
                <w:lang w:val="en-US" w:eastAsia="zh-CN"/>
              </w:rPr>
              <w:t>0</w:t>
            </w:r>
          </w:p>
        </w:tc>
        <w:tc>
          <w:tcPr>
            <w:tcW w:w="1860" w:type="dxa"/>
            <w:noWrap w:val="0"/>
            <w:vAlign w:val="center"/>
          </w:tcPr>
          <w:p w14:paraId="37D297FE">
            <w:pPr>
              <w:keepNext w:val="0"/>
              <w:keepLines w:val="0"/>
              <w:pageBreakBefore w:val="0"/>
              <w:kinsoku/>
              <w:wordWrap/>
              <w:overflowPunct/>
              <w:topLinePunct w:val="0"/>
              <w:autoSpaceDE/>
              <w:autoSpaceDN/>
              <w:bidi w:val="0"/>
              <w:adjustRightInd/>
              <w:snapToGrid/>
              <w:spacing w:line="310" w:lineRule="exact"/>
              <w:jc w:val="center"/>
              <w:rPr>
                <w:rFonts w:ascii="Times New Roman"/>
                <w:snapToGrid w:val="0"/>
                <w:color w:val="auto"/>
                <w:kern w:val="21"/>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620" w:type="dxa"/>
            <w:noWrap w:val="0"/>
            <w:vAlign w:val="center"/>
          </w:tcPr>
          <w:p w14:paraId="38A91111">
            <w:pPr>
              <w:keepNext w:val="0"/>
              <w:keepLines w:val="0"/>
              <w:pageBreakBefore w:val="0"/>
              <w:kinsoku/>
              <w:wordWrap/>
              <w:overflowPunct/>
              <w:topLinePunct w:val="0"/>
              <w:autoSpaceDE/>
              <w:autoSpaceDN/>
              <w:bidi w:val="0"/>
              <w:adjustRightInd/>
              <w:snapToGrid/>
              <w:spacing w:line="310" w:lineRule="exact"/>
              <w:jc w:val="center"/>
              <w:rPr>
                <w:rFonts w:hint="default" w:eastAsia="宋体"/>
                <w:color w:val="auto"/>
                <w:spacing w:val="0"/>
                <w:kern w:val="2"/>
                <w:sz w:val="21"/>
                <w:szCs w:val="21"/>
                <w:lang w:val="en-US" w:eastAsia="zh-CN" w:bidi="ar-SA"/>
              </w:rPr>
            </w:pPr>
            <w:r>
              <w:rPr>
                <w:rFonts w:hint="eastAsia"/>
                <w:color w:val="auto"/>
                <w:spacing w:val="0"/>
                <w:kern w:val="2"/>
                <w:sz w:val="21"/>
                <w:szCs w:val="21"/>
                <w:lang w:val="en-US" w:eastAsia="zh-CN" w:bidi="ar-SA"/>
              </w:rPr>
              <w:t>0.0001</w:t>
            </w:r>
          </w:p>
        </w:tc>
        <w:tc>
          <w:tcPr>
            <w:tcW w:w="1590" w:type="dxa"/>
            <w:noWrap w:val="0"/>
            <w:vAlign w:val="center"/>
          </w:tcPr>
          <w:p w14:paraId="13719CCD">
            <w:pPr>
              <w:spacing w:beforeLines="0" w:afterLines="0" w:line="320" w:lineRule="exact"/>
              <w:jc w:val="center"/>
              <w:rPr>
                <w:rFonts w:hint="default" w:ascii="Times New Roman"/>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995" w:type="dxa"/>
            <w:noWrap w:val="0"/>
            <w:vAlign w:val="center"/>
          </w:tcPr>
          <w:p w14:paraId="2A82E7DB">
            <w:pPr>
              <w:keepNext w:val="0"/>
              <w:keepLines w:val="0"/>
              <w:pageBreakBefore w:val="0"/>
              <w:kinsoku/>
              <w:wordWrap/>
              <w:overflowPunct/>
              <w:topLinePunct w:val="0"/>
              <w:autoSpaceDE/>
              <w:autoSpaceDN/>
              <w:bidi w:val="0"/>
              <w:adjustRightInd/>
              <w:snapToGrid/>
              <w:spacing w:line="310" w:lineRule="exact"/>
              <w:jc w:val="center"/>
              <w:rPr>
                <w:rFonts w:hint="default" w:eastAsia="宋体"/>
                <w:color w:val="auto"/>
                <w:spacing w:val="0"/>
                <w:kern w:val="2"/>
                <w:sz w:val="21"/>
                <w:szCs w:val="21"/>
                <w:lang w:val="en-US" w:eastAsia="zh-CN" w:bidi="ar-SA"/>
              </w:rPr>
            </w:pPr>
            <w:r>
              <w:rPr>
                <w:rFonts w:hint="eastAsia"/>
                <w:color w:val="auto"/>
                <w:spacing w:val="0"/>
                <w:kern w:val="2"/>
                <w:sz w:val="21"/>
                <w:szCs w:val="21"/>
                <w:lang w:val="en-US" w:eastAsia="zh-CN" w:bidi="ar-SA"/>
              </w:rPr>
              <w:t>0.0001</w:t>
            </w:r>
          </w:p>
        </w:tc>
        <w:tc>
          <w:tcPr>
            <w:tcW w:w="1149" w:type="dxa"/>
            <w:noWrap w:val="0"/>
            <w:vAlign w:val="center"/>
          </w:tcPr>
          <w:p w14:paraId="2FF6C694">
            <w:pPr>
              <w:keepNext w:val="0"/>
              <w:keepLines w:val="0"/>
              <w:pageBreakBefore w:val="0"/>
              <w:kinsoku/>
              <w:wordWrap/>
              <w:overflowPunct/>
              <w:topLinePunct w:val="0"/>
              <w:autoSpaceDE/>
              <w:autoSpaceDN/>
              <w:bidi w:val="0"/>
              <w:adjustRightInd/>
              <w:snapToGrid/>
              <w:spacing w:line="310" w:lineRule="exact"/>
              <w:jc w:val="center"/>
              <w:rPr>
                <w:rFonts w:hint="default" w:eastAsia="宋体"/>
                <w:color w:val="auto"/>
                <w:spacing w:val="0"/>
                <w:kern w:val="2"/>
                <w:sz w:val="21"/>
                <w:szCs w:val="21"/>
                <w:lang w:val="en-US" w:eastAsia="zh-CN" w:bidi="ar-SA"/>
              </w:rPr>
            </w:pPr>
            <w:r>
              <w:rPr>
                <w:rFonts w:hint="eastAsia"/>
                <w:color w:val="auto"/>
                <w:spacing w:val="0"/>
                <w:kern w:val="2"/>
                <w:sz w:val="21"/>
                <w:szCs w:val="21"/>
                <w:lang w:val="en-US" w:eastAsia="zh-CN" w:bidi="ar-SA"/>
              </w:rPr>
              <w:t>+0.0001</w:t>
            </w:r>
          </w:p>
        </w:tc>
      </w:tr>
      <w:tr w14:paraId="7638E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noWrap w:val="0"/>
            <w:vAlign w:val="center"/>
          </w:tcPr>
          <w:p w14:paraId="5440EEA1">
            <w:pPr>
              <w:pStyle w:val="49"/>
              <w:spacing w:beforeLines="0" w:afterLines="0" w:line="320" w:lineRule="exact"/>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废水</w:t>
            </w:r>
          </w:p>
        </w:tc>
        <w:tc>
          <w:tcPr>
            <w:tcW w:w="1381" w:type="dxa"/>
            <w:gridSpan w:val="2"/>
            <w:noWrap w:val="0"/>
            <w:vAlign w:val="center"/>
          </w:tcPr>
          <w:p w14:paraId="49EA8B79">
            <w:pPr>
              <w:widowControl/>
              <w:spacing w:line="280" w:lineRule="exact"/>
              <w:jc w:val="center"/>
              <w:rPr>
                <w:rFonts w:hint="eastAsia"/>
                <w:color w:val="auto"/>
                <w:kern w:val="2"/>
                <w:sz w:val="21"/>
                <w:szCs w:val="21"/>
                <w:lang w:val="en-US" w:eastAsia="zh-CN" w:bidi="ar-SA"/>
              </w:rPr>
            </w:pPr>
            <w:r>
              <w:rPr>
                <w:rFonts w:hint="eastAsia" w:ascii="Times New Roman" w:hAnsi="Times New Roman" w:eastAsia="宋体" w:cs="Times New Roman"/>
                <w:color w:val="auto"/>
                <w:spacing w:val="0"/>
                <w:sz w:val="21"/>
                <w:szCs w:val="21"/>
                <w:lang w:val="en-US" w:eastAsia="zh-CN"/>
              </w:rPr>
              <w:t>废水量</w:t>
            </w:r>
          </w:p>
        </w:tc>
        <w:tc>
          <w:tcPr>
            <w:tcW w:w="1784" w:type="dxa"/>
            <w:noWrap w:val="0"/>
            <w:vAlign w:val="center"/>
          </w:tcPr>
          <w:p w14:paraId="2CD366F9">
            <w:pPr>
              <w:pStyle w:val="49"/>
              <w:spacing w:beforeLines="0" w:afterLines="0" w:line="320" w:lineRule="exact"/>
              <w:rPr>
                <w:rFonts w:hint="eastAsia" w:ascii="Times New Roman" w:hAnsi="Times New Roman" w:eastAsia="宋体" w:cs="Times New Roman"/>
                <w:color w:val="auto"/>
                <w:spacing w:val="0"/>
                <w:sz w:val="21"/>
                <w:szCs w:val="21"/>
                <w:lang w:val="en-US" w:eastAsia="zh-CN"/>
              </w:rPr>
            </w:pPr>
            <w:r>
              <w:rPr>
                <w:rFonts w:ascii="Times New Roman"/>
                <w:snapToGrid w:val="0"/>
                <w:color w:val="auto"/>
                <w:kern w:val="21"/>
                <w:sz w:val="21"/>
                <w:szCs w:val="21"/>
                <w:lang w:val="en-US" w:eastAsia="zh-CN"/>
              </w:rPr>
              <w:t>0</w:t>
            </w:r>
          </w:p>
        </w:tc>
        <w:tc>
          <w:tcPr>
            <w:tcW w:w="1346" w:type="dxa"/>
            <w:noWrap w:val="0"/>
            <w:vAlign w:val="center"/>
          </w:tcPr>
          <w:p w14:paraId="77640CCB">
            <w:pPr>
              <w:pStyle w:val="49"/>
              <w:spacing w:beforeLines="0" w:afterLines="0" w:line="320" w:lineRule="exact"/>
              <w:rPr>
                <w:rFonts w:hint="eastAsia"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 w:val="21"/>
                <w:szCs w:val="21"/>
                <w:lang w:val="en-US" w:eastAsia="zh-CN"/>
              </w:rPr>
              <w:t>0</w:t>
            </w:r>
          </w:p>
        </w:tc>
        <w:tc>
          <w:tcPr>
            <w:tcW w:w="1860" w:type="dxa"/>
            <w:noWrap w:val="0"/>
            <w:vAlign w:val="center"/>
          </w:tcPr>
          <w:p w14:paraId="5107EC42">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620" w:type="dxa"/>
            <w:noWrap w:val="0"/>
            <w:vAlign w:val="center"/>
          </w:tcPr>
          <w:p w14:paraId="290B2860">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240</w:t>
            </w:r>
          </w:p>
        </w:tc>
        <w:tc>
          <w:tcPr>
            <w:tcW w:w="1590" w:type="dxa"/>
            <w:noWrap w:val="0"/>
            <w:vAlign w:val="center"/>
          </w:tcPr>
          <w:p w14:paraId="01E4FB7D">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995" w:type="dxa"/>
            <w:noWrap w:val="0"/>
            <w:vAlign w:val="center"/>
          </w:tcPr>
          <w:p w14:paraId="65E25976">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240</w:t>
            </w:r>
          </w:p>
        </w:tc>
        <w:tc>
          <w:tcPr>
            <w:tcW w:w="1149" w:type="dxa"/>
            <w:noWrap w:val="0"/>
            <w:vAlign w:val="center"/>
          </w:tcPr>
          <w:p w14:paraId="5D4FEDA0">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240</w:t>
            </w:r>
          </w:p>
        </w:tc>
      </w:tr>
      <w:tr w14:paraId="05D24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775F25EA">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7D3AEB55">
            <w:pPr>
              <w:spacing w:line="280" w:lineRule="exact"/>
              <w:jc w:val="center"/>
              <w:rPr>
                <w:rFonts w:hint="eastAsia"/>
                <w:color w:val="auto"/>
                <w:kern w:val="2"/>
                <w:sz w:val="21"/>
                <w:szCs w:val="21"/>
                <w:lang w:val="en-US" w:eastAsia="zh-CN" w:bidi="ar-SA"/>
              </w:rPr>
            </w:pPr>
            <w:r>
              <w:rPr>
                <w:rFonts w:hint="eastAsia"/>
                <w:color w:val="auto"/>
                <w:sz w:val="21"/>
                <w:szCs w:val="21"/>
              </w:rPr>
              <w:t>COD</w:t>
            </w:r>
          </w:p>
        </w:tc>
        <w:tc>
          <w:tcPr>
            <w:tcW w:w="1784" w:type="dxa"/>
            <w:noWrap w:val="0"/>
            <w:vAlign w:val="center"/>
          </w:tcPr>
          <w:p w14:paraId="12A9A0D2">
            <w:pPr>
              <w:pStyle w:val="49"/>
              <w:spacing w:beforeLines="0" w:afterLines="0" w:line="320" w:lineRule="exact"/>
              <w:rPr>
                <w:rFonts w:hint="default" w:ascii="Times New Roman" w:hAnsi="Times New Roman" w:eastAsia="宋体" w:cs="Times New Roman"/>
                <w:color w:val="auto"/>
                <w:spacing w:val="0"/>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24EFD1FB">
            <w:pPr>
              <w:pStyle w:val="49"/>
              <w:spacing w:beforeLines="0" w:afterLines="0" w:line="320" w:lineRule="exact"/>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0</w:t>
            </w:r>
          </w:p>
        </w:tc>
        <w:tc>
          <w:tcPr>
            <w:tcW w:w="1860" w:type="dxa"/>
            <w:noWrap w:val="0"/>
            <w:vAlign w:val="center"/>
          </w:tcPr>
          <w:p w14:paraId="4D6EDB50">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620" w:type="dxa"/>
            <w:noWrap w:val="0"/>
            <w:vAlign w:val="bottom"/>
          </w:tcPr>
          <w:p w14:paraId="41DC0014">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0.096</w:t>
            </w:r>
          </w:p>
        </w:tc>
        <w:tc>
          <w:tcPr>
            <w:tcW w:w="1590" w:type="dxa"/>
            <w:noWrap w:val="0"/>
            <w:vAlign w:val="center"/>
          </w:tcPr>
          <w:p w14:paraId="03096196">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995" w:type="dxa"/>
            <w:noWrap w:val="0"/>
            <w:vAlign w:val="bottom"/>
          </w:tcPr>
          <w:p w14:paraId="452AF4A2">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0.096</w:t>
            </w:r>
          </w:p>
        </w:tc>
        <w:tc>
          <w:tcPr>
            <w:tcW w:w="1149" w:type="dxa"/>
            <w:noWrap w:val="0"/>
            <w:vAlign w:val="bottom"/>
          </w:tcPr>
          <w:p w14:paraId="5912658A">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+0.09</w:t>
            </w:r>
          </w:p>
        </w:tc>
      </w:tr>
      <w:tr w14:paraId="45899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2FEA0617">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6AAA752C">
            <w:pPr>
              <w:spacing w:line="280" w:lineRule="exact"/>
              <w:jc w:val="center"/>
              <w:rPr>
                <w:rFonts w:hint="eastAsia"/>
                <w:color w:val="auto"/>
                <w:kern w:val="2"/>
                <w:sz w:val="21"/>
                <w:szCs w:val="21"/>
                <w:lang w:val="en-US" w:eastAsia="zh-CN" w:bidi="ar-SA"/>
              </w:rPr>
            </w:pPr>
            <w:r>
              <w:rPr>
                <w:rFonts w:hint="eastAsia"/>
                <w:color w:val="auto"/>
                <w:sz w:val="21"/>
                <w:szCs w:val="21"/>
              </w:rPr>
              <w:t>SS</w:t>
            </w:r>
          </w:p>
        </w:tc>
        <w:tc>
          <w:tcPr>
            <w:tcW w:w="1784" w:type="dxa"/>
            <w:noWrap w:val="0"/>
            <w:vAlign w:val="center"/>
          </w:tcPr>
          <w:p w14:paraId="1A83371F">
            <w:pPr>
              <w:pStyle w:val="49"/>
              <w:spacing w:beforeLines="0" w:afterLines="0" w:line="320" w:lineRule="exact"/>
              <w:rPr>
                <w:rFonts w:hint="default" w:ascii="Times New Roman" w:hAnsi="Times New Roman" w:eastAsia="宋体" w:cs="Times New Roman"/>
                <w:color w:val="auto"/>
                <w:spacing w:val="0"/>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38079825">
            <w:pPr>
              <w:pStyle w:val="49"/>
              <w:spacing w:beforeLines="0" w:afterLines="0" w:line="320" w:lineRule="exact"/>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0</w:t>
            </w:r>
          </w:p>
        </w:tc>
        <w:tc>
          <w:tcPr>
            <w:tcW w:w="1860" w:type="dxa"/>
            <w:noWrap w:val="0"/>
            <w:vAlign w:val="center"/>
          </w:tcPr>
          <w:p w14:paraId="0B637125">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620" w:type="dxa"/>
            <w:noWrap w:val="0"/>
            <w:vAlign w:val="bottom"/>
          </w:tcPr>
          <w:p w14:paraId="5658609D">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 xml:space="preserve">0.06 </w:t>
            </w:r>
          </w:p>
        </w:tc>
        <w:tc>
          <w:tcPr>
            <w:tcW w:w="1590" w:type="dxa"/>
            <w:noWrap w:val="0"/>
            <w:vAlign w:val="center"/>
          </w:tcPr>
          <w:p w14:paraId="002C7ED4">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995" w:type="dxa"/>
            <w:noWrap w:val="0"/>
            <w:vAlign w:val="bottom"/>
          </w:tcPr>
          <w:p w14:paraId="1E879BB5">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0.06</w:t>
            </w:r>
          </w:p>
        </w:tc>
        <w:tc>
          <w:tcPr>
            <w:tcW w:w="1149" w:type="dxa"/>
            <w:noWrap w:val="0"/>
            <w:vAlign w:val="bottom"/>
          </w:tcPr>
          <w:p w14:paraId="55EB493B">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+0.06</w:t>
            </w:r>
          </w:p>
        </w:tc>
      </w:tr>
      <w:tr w14:paraId="529A7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44E3EF56">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139262B6">
            <w:pPr>
              <w:widowControl/>
              <w:adjustRightInd w:val="0"/>
              <w:snapToGrid w:val="0"/>
              <w:spacing w:line="280" w:lineRule="exact"/>
              <w:jc w:val="center"/>
              <w:rPr>
                <w:rFonts w:hint="eastAsia"/>
                <w:color w:val="auto"/>
                <w:kern w:val="0"/>
                <w:sz w:val="21"/>
                <w:szCs w:val="21"/>
                <w:lang w:val="en-US" w:eastAsia="zh-CN" w:bidi="ar-SA"/>
              </w:rPr>
            </w:pPr>
            <w:r>
              <w:rPr>
                <w:color w:val="auto"/>
                <w:sz w:val="21"/>
                <w:szCs w:val="21"/>
              </w:rPr>
              <w:t>NH</w:t>
            </w:r>
            <w:r>
              <w:rPr>
                <w:color w:val="auto"/>
                <w:sz w:val="21"/>
                <w:szCs w:val="21"/>
                <w:vertAlign w:val="subscript"/>
              </w:rPr>
              <w:t>3</w:t>
            </w:r>
            <w:r>
              <w:rPr>
                <w:color w:val="auto"/>
                <w:sz w:val="21"/>
                <w:szCs w:val="21"/>
              </w:rPr>
              <w:t>-N</w:t>
            </w:r>
          </w:p>
        </w:tc>
        <w:tc>
          <w:tcPr>
            <w:tcW w:w="1784" w:type="dxa"/>
            <w:noWrap w:val="0"/>
            <w:vAlign w:val="center"/>
          </w:tcPr>
          <w:p w14:paraId="2C636881">
            <w:pPr>
              <w:pStyle w:val="49"/>
              <w:spacing w:beforeLines="0" w:afterLines="0" w:line="320" w:lineRule="exact"/>
              <w:rPr>
                <w:rFonts w:hint="default" w:ascii="Times New Roman" w:hAnsi="Times New Roman" w:eastAsia="宋体" w:cs="Times New Roman"/>
                <w:color w:val="auto"/>
                <w:spacing w:val="0"/>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52B20FD6">
            <w:pPr>
              <w:pStyle w:val="49"/>
              <w:spacing w:beforeLines="0" w:afterLines="0" w:line="320" w:lineRule="exact"/>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0</w:t>
            </w:r>
          </w:p>
        </w:tc>
        <w:tc>
          <w:tcPr>
            <w:tcW w:w="1860" w:type="dxa"/>
            <w:noWrap w:val="0"/>
            <w:vAlign w:val="center"/>
          </w:tcPr>
          <w:p w14:paraId="6315337C">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620" w:type="dxa"/>
            <w:noWrap w:val="0"/>
            <w:vAlign w:val="bottom"/>
          </w:tcPr>
          <w:p w14:paraId="35C22A4D">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 xml:space="preserve">0.006 </w:t>
            </w:r>
          </w:p>
        </w:tc>
        <w:tc>
          <w:tcPr>
            <w:tcW w:w="1590" w:type="dxa"/>
            <w:noWrap w:val="0"/>
            <w:vAlign w:val="center"/>
          </w:tcPr>
          <w:p w14:paraId="6A0B59D0">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995" w:type="dxa"/>
            <w:noWrap w:val="0"/>
            <w:vAlign w:val="bottom"/>
          </w:tcPr>
          <w:p w14:paraId="7EECCA03">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0.006</w:t>
            </w:r>
          </w:p>
        </w:tc>
        <w:tc>
          <w:tcPr>
            <w:tcW w:w="1149" w:type="dxa"/>
            <w:noWrap w:val="0"/>
            <w:vAlign w:val="bottom"/>
          </w:tcPr>
          <w:p w14:paraId="572706FC">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+0.006</w:t>
            </w:r>
          </w:p>
        </w:tc>
      </w:tr>
      <w:tr w14:paraId="767A5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29830759">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43704157">
            <w:pPr>
              <w:widowControl/>
              <w:adjustRightInd w:val="0"/>
              <w:snapToGrid w:val="0"/>
              <w:spacing w:line="280" w:lineRule="exact"/>
              <w:jc w:val="center"/>
              <w:rPr>
                <w:rFonts w:hint="eastAsia"/>
                <w:color w:val="auto"/>
                <w:kern w:val="2"/>
                <w:sz w:val="21"/>
                <w:szCs w:val="21"/>
                <w:lang w:val="en-US" w:eastAsia="zh-CN" w:bidi="ar-SA"/>
              </w:rPr>
            </w:pPr>
            <w:r>
              <w:rPr>
                <w:color w:val="auto"/>
                <w:sz w:val="21"/>
                <w:szCs w:val="21"/>
              </w:rPr>
              <w:t>TN</w:t>
            </w:r>
          </w:p>
        </w:tc>
        <w:tc>
          <w:tcPr>
            <w:tcW w:w="1784" w:type="dxa"/>
            <w:noWrap w:val="0"/>
            <w:vAlign w:val="center"/>
          </w:tcPr>
          <w:p w14:paraId="21B50AFB">
            <w:pPr>
              <w:pStyle w:val="49"/>
              <w:spacing w:beforeLines="0" w:afterLines="0" w:line="320" w:lineRule="exact"/>
              <w:rPr>
                <w:rFonts w:hint="default" w:ascii="Times New Roman" w:hAnsi="Times New Roman" w:eastAsia="宋体" w:cs="Times New Roman"/>
                <w:color w:val="auto"/>
                <w:spacing w:val="0"/>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4A0C9708">
            <w:pPr>
              <w:pStyle w:val="49"/>
              <w:spacing w:beforeLines="0" w:afterLines="0" w:line="320" w:lineRule="exact"/>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0</w:t>
            </w:r>
          </w:p>
        </w:tc>
        <w:tc>
          <w:tcPr>
            <w:tcW w:w="1860" w:type="dxa"/>
            <w:noWrap w:val="0"/>
            <w:vAlign w:val="center"/>
          </w:tcPr>
          <w:p w14:paraId="14461F9A">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w:t>
            </w:r>
            <w:r>
              <w:rPr>
                <w:rFonts w:hint="eastAsia" w:ascii="Times New Roman" w:hAnsi="Times New Roman" w:eastAsia="宋体" w:cs="Times New Roman"/>
                <w:color w:val="auto"/>
                <w:spacing w:val="0"/>
                <w:sz w:val="21"/>
                <w:szCs w:val="21"/>
                <w:lang w:val="en-US" w:eastAsia="zh-CN"/>
              </w:rPr>
              <w:t>0</w:t>
            </w:r>
          </w:p>
        </w:tc>
        <w:tc>
          <w:tcPr>
            <w:tcW w:w="1620" w:type="dxa"/>
            <w:noWrap w:val="0"/>
            <w:vAlign w:val="center"/>
          </w:tcPr>
          <w:p w14:paraId="226FF329">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0.0096</w:t>
            </w:r>
          </w:p>
        </w:tc>
        <w:tc>
          <w:tcPr>
            <w:tcW w:w="1590" w:type="dxa"/>
            <w:noWrap w:val="0"/>
            <w:vAlign w:val="center"/>
          </w:tcPr>
          <w:p w14:paraId="36F61486">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995" w:type="dxa"/>
            <w:noWrap w:val="0"/>
            <w:vAlign w:val="center"/>
          </w:tcPr>
          <w:p w14:paraId="2FDED4C7">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0.0096</w:t>
            </w:r>
          </w:p>
        </w:tc>
        <w:tc>
          <w:tcPr>
            <w:tcW w:w="1149" w:type="dxa"/>
            <w:noWrap w:val="0"/>
            <w:vAlign w:val="center"/>
          </w:tcPr>
          <w:p w14:paraId="3E26BBEF">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+0.0096</w:t>
            </w:r>
          </w:p>
        </w:tc>
      </w:tr>
      <w:tr w14:paraId="3E402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0D0B28B5">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627DD89C">
            <w:pPr>
              <w:widowControl/>
              <w:adjustRightInd w:val="0"/>
              <w:snapToGrid w:val="0"/>
              <w:spacing w:line="280" w:lineRule="exact"/>
              <w:jc w:val="center"/>
              <w:rPr>
                <w:rFonts w:hint="eastAsia"/>
                <w:color w:val="auto"/>
                <w:kern w:val="2"/>
                <w:sz w:val="21"/>
                <w:szCs w:val="21"/>
                <w:lang w:val="en-US" w:eastAsia="zh-CN" w:bidi="ar-SA"/>
              </w:rPr>
            </w:pPr>
            <w:r>
              <w:rPr>
                <w:color w:val="auto"/>
                <w:sz w:val="21"/>
                <w:szCs w:val="21"/>
              </w:rPr>
              <w:t>TP</w:t>
            </w:r>
          </w:p>
        </w:tc>
        <w:tc>
          <w:tcPr>
            <w:tcW w:w="1784" w:type="dxa"/>
            <w:noWrap w:val="0"/>
            <w:vAlign w:val="center"/>
          </w:tcPr>
          <w:p w14:paraId="790966A7">
            <w:pPr>
              <w:pStyle w:val="49"/>
              <w:spacing w:beforeLines="0" w:afterLines="0" w:line="320" w:lineRule="exact"/>
              <w:rPr>
                <w:rFonts w:hint="default" w:ascii="Times New Roman" w:hAnsi="Times New Roman" w:eastAsia="宋体" w:cs="Times New Roman"/>
                <w:color w:val="auto"/>
                <w:spacing w:val="0"/>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0DCFAC5C">
            <w:pPr>
              <w:pStyle w:val="49"/>
              <w:spacing w:beforeLines="0" w:afterLines="0" w:line="320" w:lineRule="exact"/>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0</w:t>
            </w:r>
          </w:p>
        </w:tc>
        <w:tc>
          <w:tcPr>
            <w:tcW w:w="1860" w:type="dxa"/>
            <w:noWrap w:val="0"/>
            <w:vAlign w:val="center"/>
          </w:tcPr>
          <w:p w14:paraId="633EC9B1">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620" w:type="dxa"/>
            <w:noWrap w:val="0"/>
            <w:vAlign w:val="center"/>
          </w:tcPr>
          <w:p w14:paraId="766A8C06">
            <w:pPr>
              <w:keepNext w:val="0"/>
              <w:keepLines w:val="0"/>
              <w:pageBreakBefore w:val="0"/>
              <w:kinsoku/>
              <w:wordWrap/>
              <w:overflowPunct/>
              <w:topLinePunct w:val="0"/>
              <w:autoSpaceDE/>
              <w:autoSpaceDN/>
              <w:bidi w:val="0"/>
              <w:adjustRightInd/>
              <w:snapToGrid/>
              <w:spacing w:line="31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0.00072</w:t>
            </w:r>
          </w:p>
        </w:tc>
        <w:tc>
          <w:tcPr>
            <w:tcW w:w="1590" w:type="dxa"/>
            <w:noWrap w:val="0"/>
            <w:vAlign w:val="center"/>
          </w:tcPr>
          <w:p w14:paraId="341E2649">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995" w:type="dxa"/>
            <w:noWrap w:val="0"/>
            <w:vAlign w:val="center"/>
          </w:tcPr>
          <w:p w14:paraId="2E0C2496">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0.00072</w:t>
            </w:r>
          </w:p>
        </w:tc>
        <w:tc>
          <w:tcPr>
            <w:tcW w:w="1149" w:type="dxa"/>
            <w:noWrap w:val="0"/>
            <w:vAlign w:val="center"/>
          </w:tcPr>
          <w:p w14:paraId="033F2B44">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+0.00072</w:t>
            </w:r>
          </w:p>
        </w:tc>
      </w:tr>
      <w:tr w14:paraId="17CC9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noWrap w:val="0"/>
            <w:vAlign w:val="center"/>
          </w:tcPr>
          <w:p w14:paraId="7CE3AA74">
            <w:pPr>
              <w:pStyle w:val="49"/>
              <w:spacing w:beforeLines="0" w:afterLines="0" w:line="320" w:lineRule="exact"/>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一般工业固体废物</w:t>
            </w:r>
          </w:p>
        </w:tc>
        <w:tc>
          <w:tcPr>
            <w:tcW w:w="1381" w:type="dxa"/>
            <w:gridSpan w:val="2"/>
            <w:noWrap w:val="0"/>
            <w:vAlign w:val="center"/>
          </w:tcPr>
          <w:p w14:paraId="1F7117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试剂废包装纸箱</w:t>
            </w:r>
          </w:p>
        </w:tc>
        <w:tc>
          <w:tcPr>
            <w:tcW w:w="1784" w:type="dxa"/>
            <w:noWrap w:val="0"/>
            <w:vAlign w:val="center"/>
          </w:tcPr>
          <w:p w14:paraId="3D0198BB">
            <w:pPr>
              <w:pStyle w:val="49"/>
              <w:spacing w:beforeLines="0" w:afterLines="0" w:line="320" w:lineRule="exact"/>
              <w:rPr>
                <w:rFonts w:ascii="Times New Roman" w:hAnsi="Times New Roman" w:eastAsia="宋体" w:cs="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346" w:type="dxa"/>
            <w:noWrap w:val="0"/>
            <w:vAlign w:val="center"/>
          </w:tcPr>
          <w:p w14:paraId="40AC4845">
            <w:pPr>
              <w:pStyle w:val="49"/>
              <w:spacing w:beforeLines="0" w:afterLines="0" w:line="320" w:lineRule="exact"/>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860" w:type="dxa"/>
            <w:noWrap w:val="0"/>
            <w:vAlign w:val="center"/>
          </w:tcPr>
          <w:p w14:paraId="256525B3">
            <w:pPr>
              <w:pStyle w:val="49"/>
              <w:spacing w:beforeLines="0" w:afterLines="0" w:line="320" w:lineRule="exact"/>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620" w:type="dxa"/>
            <w:noWrap w:val="0"/>
            <w:vAlign w:val="center"/>
          </w:tcPr>
          <w:p w14:paraId="53294E7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0.05</w:t>
            </w:r>
          </w:p>
        </w:tc>
        <w:tc>
          <w:tcPr>
            <w:tcW w:w="1590" w:type="dxa"/>
            <w:noWrap w:val="0"/>
            <w:vAlign w:val="center"/>
          </w:tcPr>
          <w:p w14:paraId="5375DD7C">
            <w:pPr>
              <w:keepNext w:val="0"/>
              <w:keepLines w:val="0"/>
              <w:pageBreakBefore w:val="0"/>
              <w:kinsoku/>
              <w:wordWrap/>
              <w:overflowPunct/>
              <w:topLinePunct w:val="0"/>
              <w:autoSpaceDE/>
              <w:autoSpaceDN/>
              <w:bidi w:val="0"/>
              <w:adjustRightInd/>
              <w:snapToGrid/>
              <w:spacing w:line="310" w:lineRule="exact"/>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w:t>
            </w:r>
          </w:p>
        </w:tc>
        <w:tc>
          <w:tcPr>
            <w:tcW w:w="1995" w:type="dxa"/>
            <w:noWrap w:val="0"/>
            <w:vAlign w:val="center"/>
          </w:tcPr>
          <w:p w14:paraId="615EF0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0"/>
                <w:sz w:val="21"/>
                <w:szCs w:val="21"/>
                <w:lang w:val="en-US" w:eastAsia="zh-CN"/>
              </w:rPr>
            </w:pPr>
            <w:r>
              <w:rPr>
                <w:rFonts w:hint="eastAsia" w:cs="Times New Roman"/>
                <w:color w:val="auto"/>
                <w:spacing w:val="-11"/>
                <w:kern w:val="2"/>
                <w:sz w:val="21"/>
                <w:szCs w:val="21"/>
                <w:lang w:val="en-US" w:eastAsia="zh-CN" w:bidi="ar-SA"/>
              </w:rPr>
              <w:t>0.05</w:t>
            </w:r>
          </w:p>
        </w:tc>
        <w:tc>
          <w:tcPr>
            <w:tcW w:w="1149" w:type="dxa"/>
            <w:noWrap w:val="0"/>
            <w:vAlign w:val="center"/>
          </w:tcPr>
          <w:p w14:paraId="685086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0"/>
                <w:sz w:val="21"/>
                <w:szCs w:val="21"/>
                <w:lang w:val="en-US" w:eastAsia="zh-CN"/>
              </w:rPr>
            </w:pPr>
            <w:r>
              <w:rPr>
                <w:rFonts w:hint="eastAsia" w:cs="Times New Roman"/>
                <w:color w:val="auto"/>
                <w:spacing w:val="-11"/>
                <w:kern w:val="2"/>
                <w:sz w:val="21"/>
                <w:szCs w:val="21"/>
                <w:lang w:val="en-US" w:eastAsia="zh-CN" w:bidi="ar-SA"/>
              </w:rPr>
              <w:t>+0.05</w:t>
            </w:r>
          </w:p>
        </w:tc>
      </w:tr>
      <w:tr w14:paraId="2CB63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6DC153EA">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396F9CB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纯水废瓶</w:t>
            </w:r>
          </w:p>
        </w:tc>
        <w:tc>
          <w:tcPr>
            <w:tcW w:w="1784" w:type="dxa"/>
            <w:noWrap w:val="0"/>
            <w:vAlign w:val="center"/>
          </w:tcPr>
          <w:p w14:paraId="6FA7BE4B">
            <w:pPr>
              <w:pStyle w:val="49"/>
              <w:spacing w:beforeLines="0" w:afterLines="0" w:line="320" w:lineRule="exact"/>
              <w:rPr>
                <w:rFonts w:ascii="Times New Roman" w:hAnsi="Times New Roman" w:eastAsia="宋体" w:cs="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28DEB3F2">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860" w:type="dxa"/>
            <w:noWrap w:val="0"/>
            <w:vAlign w:val="center"/>
          </w:tcPr>
          <w:p w14:paraId="0643BD21">
            <w:pPr>
              <w:pStyle w:val="49"/>
              <w:spacing w:beforeLines="0" w:afterLines="0" w:line="320" w:lineRule="exact"/>
              <w:rPr>
                <w:rFonts w:hint="default" w:ascii="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0</w:t>
            </w:r>
          </w:p>
        </w:tc>
        <w:tc>
          <w:tcPr>
            <w:tcW w:w="1620" w:type="dxa"/>
            <w:noWrap w:val="0"/>
            <w:vAlign w:val="center"/>
          </w:tcPr>
          <w:p w14:paraId="43955E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r>
              <w:rPr>
                <w:rFonts w:hint="eastAsia" w:cs="Times New Roman"/>
                <w:color w:val="auto"/>
                <w:spacing w:val="-11"/>
                <w:sz w:val="21"/>
                <w:szCs w:val="21"/>
                <w:lang w:val="en-US" w:eastAsia="zh-CN"/>
              </w:rPr>
              <w:t>.02</w:t>
            </w:r>
          </w:p>
        </w:tc>
        <w:tc>
          <w:tcPr>
            <w:tcW w:w="1590" w:type="dxa"/>
            <w:noWrap w:val="0"/>
            <w:vAlign w:val="center"/>
          </w:tcPr>
          <w:p w14:paraId="0E9D9F7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1995" w:type="dxa"/>
            <w:noWrap w:val="0"/>
            <w:vAlign w:val="center"/>
          </w:tcPr>
          <w:p w14:paraId="35FA5EB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sz w:val="21"/>
                <w:szCs w:val="21"/>
                <w:lang w:val="en-US" w:eastAsia="zh-CN"/>
              </w:rPr>
            </w:pPr>
            <w:r>
              <w:rPr>
                <w:rFonts w:hint="eastAsia" w:ascii="Times New Roman" w:hAnsi="Times New Roman" w:eastAsia="宋体" w:cs="Times New Roman"/>
                <w:color w:val="auto"/>
                <w:spacing w:val="-11"/>
                <w:sz w:val="21"/>
                <w:szCs w:val="21"/>
                <w:lang w:val="en-US" w:eastAsia="zh-CN"/>
              </w:rPr>
              <w:t>0</w:t>
            </w:r>
            <w:r>
              <w:rPr>
                <w:rFonts w:hint="eastAsia" w:cs="Times New Roman"/>
                <w:color w:val="auto"/>
                <w:spacing w:val="-11"/>
                <w:sz w:val="21"/>
                <w:szCs w:val="21"/>
                <w:lang w:val="en-US" w:eastAsia="zh-CN"/>
              </w:rPr>
              <w:t>.02</w:t>
            </w:r>
          </w:p>
        </w:tc>
        <w:tc>
          <w:tcPr>
            <w:tcW w:w="1149" w:type="dxa"/>
            <w:noWrap w:val="0"/>
            <w:vAlign w:val="center"/>
          </w:tcPr>
          <w:p w14:paraId="2ED18F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r>
              <w:rPr>
                <w:rFonts w:hint="eastAsia" w:cs="Times New Roman"/>
                <w:color w:val="auto"/>
                <w:spacing w:val="-11"/>
                <w:sz w:val="21"/>
                <w:szCs w:val="21"/>
                <w:lang w:val="en-US" w:eastAsia="zh-CN"/>
              </w:rPr>
              <w:t>.02</w:t>
            </w:r>
          </w:p>
        </w:tc>
      </w:tr>
      <w:tr w14:paraId="2F096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noWrap w:val="0"/>
            <w:vAlign w:val="center"/>
          </w:tcPr>
          <w:p w14:paraId="57615B3C">
            <w:pPr>
              <w:pStyle w:val="49"/>
              <w:spacing w:beforeLines="0" w:afterLines="0" w:line="320" w:lineRule="exact"/>
              <w:rPr>
                <w:rFonts w:ascii="Times New Roman"/>
                <w:snapToGrid w:val="0"/>
                <w:color w:val="auto"/>
                <w:kern w:val="21"/>
                <w:sz w:val="21"/>
                <w:szCs w:val="21"/>
                <w:lang w:val="en-US" w:eastAsia="zh-CN"/>
              </w:rPr>
            </w:pPr>
            <w:r>
              <w:rPr>
                <w:rFonts w:ascii="Times New Roman"/>
                <w:snapToGrid w:val="0"/>
                <w:color w:val="auto"/>
                <w:kern w:val="21"/>
                <w:sz w:val="21"/>
                <w:szCs w:val="21"/>
                <w:lang w:val="en-US" w:eastAsia="zh-CN"/>
              </w:rPr>
              <w:t>危险废物</w:t>
            </w:r>
          </w:p>
        </w:tc>
        <w:tc>
          <w:tcPr>
            <w:tcW w:w="1381" w:type="dxa"/>
            <w:gridSpan w:val="2"/>
            <w:noWrap w:val="0"/>
            <w:vAlign w:val="center"/>
          </w:tcPr>
          <w:p w14:paraId="0B2B30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废渣</w:t>
            </w:r>
          </w:p>
        </w:tc>
        <w:tc>
          <w:tcPr>
            <w:tcW w:w="1784" w:type="dxa"/>
            <w:noWrap w:val="0"/>
            <w:vAlign w:val="center"/>
          </w:tcPr>
          <w:p w14:paraId="7485D557">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558E2763">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860" w:type="dxa"/>
            <w:noWrap w:val="0"/>
            <w:vAlign w:val="center"/>
          </w:tcPr>
          <w:p w14:paraId="47456143">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620" w:type="dxa"/>
            <w:noWrap w:val="0"/>
            <w:vAlign w:val="center"/>
          </w:tcPr>
          <w:p w14:paraId="4853883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0.1</w:t>
            </w:r>
          </w:p>
        </w:tc>
        <w:tc>
          <w:tcPr>
            <w:tcW w:w="1590" w:type="dxa"/>
            <w:noWrap w:val="0"/>
            <w:vAlign w:val="center"/>
          </w:tcPr>
          <w:p w14:paraId="263A2C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sz w:val="21"/>
                <w:szCs w:val="21"/>
                <w:lang w:val="en-US" w:eastAsia="zh-CN"/>
              </w:rPr>
            </w:pPr>
            <w:r>
              <w:rPr>
                <w:rFonts w:hint="eastAsia"/>
                <w:color w:val="auto"/>
                <w:lang w:val="en-US" w:eastAsia="zh-CN"/>
              </w:rPr>
              <w:t>0</w:t>
            </w:r>
          </w:p>
        </w:tc>
        <w:tc>
          <w:tcPr>
            <w:tcW w:w="1995" w:type="dxa"/>
            <w:noWrap w:val="0"/>
            <w:vAlign w:val="center"/>
          </w:tcPr>
          <w:p w14:paraId="155ECE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0.1</w:t>
            </w:r>
          </w:p>
        </w:tc>
        <w:tc>
          <w:tcPr>
            <w:tcW w:w="1149" w:type="dxa"/>
            <w:noWrap w:val="0"/>
            <w:vAlign w:val="center"/>
          </w:tcPr>
          <w:p w14:paraId="79B940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+0.1</w:t>
            </w:r>
          </w:p>
        </w:tc>
      </w:tr>
      <w:tr w14:paraId="63CF1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52EF7EE0">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2DE17300">
            <w:pPr>
              <w:spacing w:line="350" w:lineRule="exact"/>
              <w:jc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废试剂瓶</w:t>
            </w:r>
          </w:p>
        </w:tc>
        <w:tc>
          <w:tcPr>
            <w:tcW w:w="1784" w:type="dxa"/>
            <w:noWrap w:val="0"/>
            <w:vAlign w:val="center"/>
          </w:tcPr>
          <w:p w14:paraId="2B39B6D8">
            <w:pPr>
              <w:pStyle w:val="49"/>
              <w:spacing w:beforeLines="0" w:afterLines="0" w:line="320" w:lineRule="exact"/>
              <w:rPr>
                <w:rFonts w:ascii="Times New Roman" w:hAnsi="Times New Roman" w:eastAsia="宋体" w:cs="Times New Roman"/>
                <w:snapToGrid w:val="0"/>
                <w:color w:val="auto"/>
                <w:kern w:val="21"/>
                <w:sz w:val="21"/>
                <w:szCs w:val="21"/>
                <w:lang w:val="en-US" w:eastAsia="zh-CN"/>
              </w:rPr>
            </w:pPr>
            <w:r>
              <w:rPr>
                <w:rFonts w:ascii="Times New Roman"/>
                <w:snapToGrid w:val="0"/>
                <w:color w:val="auto"/>
                <w:kern w:val="21"/>
                <w:sz w:val="21"/>
                <w:szCs w:val="21"/>
                <w:lang w:val="en-US" w:eastAsia="zh-CN"/>
              </w:rPr>
              <w:t>0</w:t>
            </w:r>
          </w:p>
        </w:tc>
        <w:tc>
          <w:tcPr>
            <w:tcW w:w="1346" w:type="dxa"/>
            <w:noWrap w:val="0"/>
            <w:vAlign w:val="center"/>
          </w:tcPr>
          <w:p w14:paraId="1B85805F">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860" w:type="dxa"/>
            <w:noWrap w:val="0"/>
            <w:vAlign w:val="center"/>
          </w:tcPr>
          <w:p w14:paraId="22A7BB8B">
            <w:pPr>
              <w:pStyle w:val="49"/>
              <w:spacing w:beforeLines="0" w:afterLines="0" w:line="320" w:lineRule="exact"/>
              <w:rPr>
                <w:rFonts w:hint="default" w:ascii="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0</w:t>
            </w:r>
          </w:p>
        </w:tc>
        <w:tc>
          <w:tcPr>
            <w:tcW w:w="1620" w:type="dxa"/>
            <w:noWrap w:val="0"/>
            <w:vAlign w:val="center"/>
          </w:tcPr>
          <w:p w14:paraId="42635F69">
            <w:pPr>
              <w:spacing w:line="350" w:lineRule="exact"/>
              <w:jc w:val="center"/>
              <w:rPr>
                <w:rFonts w:hint="default" w:ascii="Times New Roman" w:hAnsi="Times New Roman" w:eastAsia="宋体"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0.05</w:t>
            </w:r>
          </w:p>
        </w:tc>
        <w:tc>
          <w:tcPr>
            <w:tcW w:w="1590" w:type="dxa"/>
            <w:noWrap w:val="0"/>
            <w:vAlign w:val="center"/>
          </w:tcPr>
          <w:p w14:paraId="6638A8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1995" w:type="dxa"/>
            <w:noWrap w:val="0"/>
            <w:vAlign w:val="center"/>
          </w:tcPr>
          <w:p w14:paraId="75F84ADC">
            <w:pPr>
              <w:spacing w:line="350" w:lineRule="exact"/>
              <w:jc w:val="center"/>
              <w:rPr>
                <w:rFonts w:hint="eastAsia" w:ascii="Times New Roman" w:hAnsi="Times New Roman" w:eastAsia="宋体" w:cs="Times New Roman"/>
                <w:color w:val="auto"/>
                <w:spacing w:val="-11"/>
                <w:sz w:val="21"/>
                <w:szCs w:val="21"/>
                <w:lang w:val="en-US" w:eastAsia="zh-CN"/>
              </w:rPr>
            </w:pPr>
            <w:r>
              <w:rPr>
                <w:rFonts w:hint="eastAsia" w:cs="Times New Roman"/>
                <w:color w:val="auto"/>
                <w:spacing w:val="-11"/>
                <w:kern w:val="2"/>
                <w:sz w:val="21"/>
                <w:szCs w:val="21"/>
                <w:lang w:val="en-US" w:eastAsia="zh-CN" w:bidi="ar-SA"/>
              </w:rPr>
              <w:t>0.05</w:t>
            </w:r>
          </w:p>
        </w:tc>
        <w:tc>
          <w:tcPr>
            <w:tcW w:w="1149" w:type="dxa"/>
            <w:noWrap w:val="0"/>
            <w:vAlign w:val="center"/>
          </w:tcPr>
          <w:p w14:paraId="5017468F">
            <w:pPr>
              <w:spacing w:line="350" w:lineRule="exact"/>
              <w:jc w:val="center"/>
              <w:rPr>
                <w:rFonts w:hint="eastAsia" w:eastAsia="宋体"/>
                <w:color w:val="auto"/>
                <w:kern w:val="0"/>
                <w:sz w:val="21"/>
                <w:szCs w:val="21"/>
                <w:lang w:val="en-US" w:eastAsia="zh-CN"/>
              </w:rPr>
            </w:pPr>
            <w:r>
              <w:rPr>
                <w:rFonts w:hint="eastAsia" w:cs="Times New Roman"/>
                <w:color w:val="auto"/>
                <w:spacing w:val="-11"/>
                <w:kern w:val="2"/>
                <w:sz w:val="21"/>
                <w:szCs w:val="21"/>
                <w:lang w:val="en-US" w:eastAsia="zh-CN" w:bidi="ar-SA"/>
              </w:rPr>
              <w:t>+0.05</w:t>
            </w:r>
          </w:p>
        </w:tc>
      </w:tr>
      <w:tr w14:paraId="6803A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51A3781E">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66C223E8">
            <w:pPr>
              <w:spacing w:line="350" w:lineRule="exact"/>
              <w:jc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废液</w:t>
            </w:r>
          </w:p>
        </w:tc>
        <w:tc>
          <w:tcPr>
            <w:tcW w:w="1784" w:type="dxa"/>
            <w:noWrap w:val="0"/>
            <w:vAlign w:val="center"/>
          </w:tcPr>
          <w:p w14:paraId="6E49E500">
            <w:pPr>
              <w:pStyle w:val="49"/>
              <w:spacing w:beforeLines="0" w:afterLines="0" w:line="320" w:lineRule="exact"/>
              <w:rPr>
                <w:rFonts w:ascii="Times New Roman" w:hAnsi="Times New Roman" w:eastAsia="宋体" w:cs="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7350C857">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860" w:type="dxa"/>
            <w:noWrap w:val="0"/>
            <w:vAlign w:val="center"/>
          </w:tcPr>
          <w:p w14:paraId="5EA05B30">
            <w:pPr>
              <w:pStyle w:val="49"/>
              <w:spacing w:beforeLines="0" w:afterLines="0" w:line="320" w:lineRule="exact"/>
              <w:rPr>
                <w:rFonts w:hint="default" w:ascii="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0</w:t>
            </w:r>
          </w:p>
        </w:tc>
        <w:tc>
          <w:tcPr>
            <w:tcW w:w="1620" w:type="dxa"/>
            <w:noWrap w:val="0"/>
            <w:vAlign w:val="center"/>
          </w:tcPr>
          <w:p w14:paraId="4CAB4A64">
            <w:pPr>
              <w:spacing w:line="350" w:lineRule="exact"/>
              <w:jc w:val="center"/>
              <w:rPr>
                <w:rFonts w:hint="default" w:ascii="Times New Roman" w:hAnsi="Times New Roman" w:eastAsia="宋体"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7.588</w:t>
            </w:r>
          </w:p>
        </w:tc>
        <w:tc>
          <w:tcPr>
            <w:tcW w:w="1590" w:type="dxa"/>
            <w:noWrap w:val="0"/>
            <w:vAlign w:val="center"/>
          </w:tcPr>
          <w:p w14:paraId="70CE873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sz w:val="21"/>
                <w:szCs w:val="21"/>
                <w:lang w:val="en-US" w:eastAsia="zh-CN"/>
              </w:rPr>
              <w:t>0</w:t>
            </w:r>
          </w:p>
        </w:tc>
        <w:tc>
          <w:tcPr>
            <w:tcW w:w="1995" w:type="dxa"/>
            <w:noWrap w:val="0"/>
            <w:vAlign w:val="center"/>
          </w:tcPr>
          <w:p w14:paraId="3291EA83">
            <w:pPr>
              <w:spacing w:line="350" w:lineRule="exact"/>
              <w:jc w:val="center"/>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kern w:val="2"/>
                <w:sz w:val="21"/>
                <w:szCs w:val="21"/>
                <w:lang w:val="en-US" w:eastAsia="zh-CN" w:bidi="ar-SA"/>
              </w:rPr>
              <w:t>7.588</w:t>
            </w:r>
          </w:p>
        </w:tc>
        <w:tc>
          <w:tcPr>
            <w:tcW w:w="1149" w:type="dxa"/>
            <w:noWrap w:val="0"/>
            <w:vAlign w:val="center"/>
          </w:tcPr>
          <w:p w14:paraId="214300AD">
            <w:pPr>
              <w:spacing w:line="350" w:lineRule="exact"/>
              <w:jc w:val="center"/>
              <w:rPr>
                <w:rFonts w:hint="default" w:eastAsia="宋体"/>
                <w:color w:val="auto"/>
                <w:kern w:val="0"/>
                <w:sz w:val="21"/>
                <w:szCs w:val="21"/>
                <w:lang w:val="en-US" w:eastAsia="zh-CN"/>
              </w:rPr>
            </w:pPr>
            <w:r>
              <w:rPr>
                <w:rFonts w:hint="eastAsia" w:cs="Times New Roman"/>
                <w:color w:val="auto"/>
                <w:spacing w:val="-11"/>
                <w:kern w:val="2"/>
                <w:sz w:val="21"/>
                <w:szCs w:val="21"/>
                <w:lang w:val="en-US" w:eastAsia="zh-CN" w:bidi="ar-SA"/>
              </w:rPr>
              <w:t>+7.588</w:t>
            </w:r>
          </w:p>
        </w:tc>
      </w:tr>
      <w:tr w14:paraId="4F27A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noWrap w:val="0"/>
            <w:vAlign w:val="center"/>
          </w:tcPr>
          <w:p w14:paraId="22F80DA7">
            <w:pPr>
              <w:pStyle w:val="49"/>
              <w:spacing w:beforeLines="0" w:afterLines="0" w:line="320" w:lineRule="exact"/>
              <w:rPr>
                <w:rFonts w:ascii="Times New Roman"/>
                <w:snapToGrid w:val="0"/>
                <w:color w:val="auto"/>
                <w:kern w:val="21"/>
                <w:sz w:val="21"/>
                <w:szCs w:val="21"/>
                <w:lang w:val="en-US" w:eastAsia="zh-CN"/>
              </w:rPr>
            </w:pPr>
          </w:p>
        </w:tc>
        <w:tc>
          <w:tcPr>
            <w:tcW w:w="1381" w:type="dxa"/>
            <w:gridSpan w:val="2"/>
            <w:noWrap w:val="0"/>
            <w:vAlign w:val="center"/>
          </w:tcPr>
          <w:p w14:paraId="3B2B4D17">
            <w:pPr>
              <w:spacing w:line="350" w:lineRule="exact"/>
              <w:jc w:val="center"/>
              <w:rPr>
                <w:rFonts w:hint="default"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废活性炭</w:t>
            </w:r>
          </w:p>
        </w:tc>
        <w:tc>
          <w:tcPr>
            <w:tcW w:w="1784" w:type="dxa"/>
            <w:noWrap w:val="0"/>
            <w:vAlign w:val="center"/>
          </w:tcPr>
          <w:p w14:paraId="77977F18">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346" w:type="dxa"/>
            <w:noWrap w:val="0"/>
            <w:vAlign w:val="center"/>
          </w:tcPr>
          <w:p w14:paraId="13980045">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860" w:type="dxa"/>
            <w:noWrap w:val="0"/>
            <w:vAlign w:val="center"/>
          </w:tcPr>
          <w:p w14:paraId="3C8EC939">
            <w:pPr>
              <w:pStyle w:val="49"/>
              <w:spacing w:beforeLines="0" w:afterLines="0" w:line="320" w:lineRule="exact"/>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620" w:type="dxa"/>
            <w:noWrap w:val="0"/>
            <w:vAlign w:val="center"/>
          </w:tcPr>
          <w:p w14:paraId="130CA1F8">
            <w:pPr>
              <w:spacing w:line="350" w:lineRule="exact"/>
              <w:jc w:val="center"/>
              <w:rPr>
                <w:rFonts w:hint="default"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0.231</w:t>
            </w:r>
          </w:p>
        </w:tc>
        <w:tc>
          <w:tcPr>
            <w:tcW w:w="1590" w:type="dxa"/>
            <w:noWrap w:val="0"/>
            <w:vAlign w:val="center"/>
          </w:tcPr>
          <w:p w14:paraId="0D5382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w:t>
            </w:r>
          </w:p>
        </w:tc>
        <w:tc>
          <w:tcPr>
            <w:tcW w:w="1995" w:type="dxa"/>
            <w:noWrap w:val="0"/>
            <w:vAlign w:val="center"/>
          </w:tcPr>
          <w:p w14:paraId="4FE1E94F">
            <w:pPr>
              <w:spacing w:line="350" w:lineRule="exact"/>
              <w:jc w:val="center"/>
              <w:rPr>
                <w:rFonts w:hint="default"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0.231</w:t>
            </w:r>
          </w:p>
        </w:tc>
        <w:tc>
          <w:tcPr>
            <w:tcW w:w="1149" w:type="dxa"/>
            <w:noWrap w:val="0"/>
            <w:vAlign w:val="center"/>
          </w:tcPr>
          <w:p w14:paraId="5CB3B7D3">
            <w:pPr>
              <w:spacing w:line="350" w:lineRule="exact"/>
              <w:jc w:val="center"/>
              <w:rPr>
                <w:rFonts w:hint="default" w:cs="Times New Roman"/>
                <w:color w:val="auto"/>
                <w:spacing w:val="-11"/>
                <w:kern w:val="2"/>
                <w:sz w:val="21"/>
                <w:szCs w:val="21"/>
                <w:lang w:val="en-US" w:eastAsia="zh-CN" w:bidi="ar-SA"/>
              </w:rPr>
            </w:pPr>
            <w:r>
              <w:rPr>
                <w:rFonts w:hint="eastAsia" w:cs="Times New Roman"/>
                <w:color w:val="auto"/>
                <w:spacing w:val="-11"/>
                <w:kern w:val="2"/>
                <w:sz w:val="21"/>
                <w:szCs w:val="21"/>
                <w:lang w:val="en-US" w:eastAsia="zh-CN" w:bidi="ar-SA"/>
              </w:rPr>
              <w:t>+0.231</w:t>
            </w:r>
          </w:p>
        </w:tc>
      </w:tr>
    </w:tbl>
    <w:p w14:paraId="3E3A447B">
      <w:pPr>
        <w:pStyle w:val="49"/>
        <w:spacing w:beforeLines="0" w:afterLines="0" w:line="240" w:lineRule="auto"/>
        <w:jc w:val="left"/>
        <w:rPr>
          <w:rFonts w:hint="default" w:hAnsi="宋体" w:eastAsia="宋体"/>
          <w:color w:val="auto"/>
          <w:szCs w:val="21"/>
          <w:lang w:val="en-US" w:eastAsia="zh-CN"/>
        </w:rPr>
      </w:pPr>
      <w:r>
        <w:rPr>
          <w:rFonts w:hAnsi="宋体"/>
          <w:color w:val="auto"/>
          <w:szCs w:val="21"/>
        </w:rPr>
        <w:t>注：</w:t>
      </w:r>
      <w:r>
        <w:rPr>
          <w:rFonts w:hAnsi="宋体"/>
          <w:color w:val="auto"/>
          <w:szCs w:val="21"/>
        </w:rPr>
        <w:fldChar w:fldCharType="begin"/>
      </w:r>
      <w:r>
        <w:rPr>
          <w:rFonts w:hAnsi="宋体"/>
          <w:color w:val="auto"/>
          <w:szCs w:val="21"/>
        </w:rPr>
        <w:instrText xml:space="preserve"> = 6 \* GB3 \* MERGEFORMAT </w:instrText>
      </w:r>
      <w:r>
        <w:rPr>
          <w:rFonts w:hAnsi="宋体"/>
          <w:color w:val="auto"/>
          <w:szCs w:val="21"/>
        </w:rPr>
        <w:fldChar w:fldCharType="separate"/>
      </w:r>
      <w:r>
        <w:rPr>
          <w:rFonts w:hAnsi="宋体"/>
          <w:color w:val="auto"/>
          <w:szCs w:val="21"/>
        </w:rPr>
        <w:t>⑥</w:t>
      </w:r>
      <w:r>
        <w:rPr>
          <w:rFonts w:hAnsi="宋体"/>
          <w:color w:val="auto"/>
          <w:szCs w:val="21"/>
        </w:rPr>
        <w:fldChar w:fldCharType="end"/>
      </w:r>
      <w:r>
        <w:rPr>
          <w:rFonts w:hAnsi="宋体"/>
          <w:color w:val="auto"/>
          <w:szCs w:val="21"/>
        </w:rPr>
        <w:t>=</w:t>
      </w:r>
      <w:r>
        <w:rPr>
          <w:rFonts w:hAnsi="宋体"/>
          <w:color w:val="auto"/>
          <w:szCs w:val="21"/>
        </w:rPr>
        <w:fldChar w:fldCharType="begin"/>
      </w:r>
      <w:r>
        <w:rPr>
          <w:rFonts w:hAnsi="宋体"/>
          <w:color w:val="auto"/>
          <w:szCs w:val="21"/>
        </w:rPr>
        <w:instrText xml:space="preserve"> = 1 \* GB3 \* MERGEFORMAT </w:instrText>
      </w:r>
      <w:r>
        <w:rPr>
          <w:rFonts w:hAnsi="宋体"/>
          <w:color w:val="auto"/>
          <w:szCs w:val="21"/>
        </w:rPr>
        <w:fldChar w:fldCharType="separate"/>
      </w:r>
      <w:r>
        <w:rPr>
          <w:rFonts w:hAnsi="宋体"/>
          <w:color w:val="auto"/>
          <w:szCs w:val="21"/>
        </w:rPr>
        <w:t>①</w:t>
      </w:r>
      <w:r>
        <w:rPr>
          <w:rFonts w:hAnsi="宋体"/>
          <w:color w:val="auto"/>
          <w:szCs w:val="21"/>
        </w:rPr>
        <w:fldChar w:fldCharType="end"/>
      </w:r>
      <w:r>
        <w:rPr>
          <w:rFonts w:hAnsi="宋体"/>
          <w:color w:val="auto"/>
          <w:szCs w:val="21"/>
        </w:rPr>
        <w:t>+</w:t>
      </w:r>
      <w:r>
        <w:rPr>
          <w:rFonts w:hAnsi="宋体"/>
          <w:color w:val="auto"/>
          <w:szCs w:val="21"/>
        </w:rPr>
        <w:fldChar w:fldCharType="begin"/>
      </w:r>
      <w:r>
        <w:rPr>
          <w:rFonts w:hAnsi="宋体"/>
          <w:color w:val="auto"/>
          <w:szCs w:val="21"/>
        </w:rPr>
        <w:instrText xml:space="preserve"> = 3 \* GB3 \* MERGEFORMAT </w:instrText>
      </w:r>
      <w:r>
        <w:rPr>
          <w:rFonts w:hAnsi="宋体"/>
          <w:color w:val="auto"/>
          <w:szCs w:val="21"/>
        </w:rPr>
        <w:fldChar w:fldCharType="separate"/>
      </w:r>
      <w:r>
        <w:rPr>
          <w:rFonts w:hAnsi="宋体"/>
          <w:color w:val="auto"/>
          <w:szCs w:val="21"/>
        </w:rPr>
        <w:t>③</w:t>
      </w:r>
      <w:r>
        <w:rPr>
          <w:rFonts w:hAnsi="宋体"/>
          <w:color w:val="auto"/>
          <w:szCs w:val="21"/>
        </w:rPr>
        <w:fldChar w:fldCharType="end"/>
      </w:r>
      <w:r>
        <w:rPr>
          <w:rFonts w:hAnsi="宋体"/>
          <w:color w:val="auto"/>
          <w:szCs w:val="21"/>
        </w:rPr>
        <w:t>+</w:t>
      </w:r>
      <w:r>
        <w:rPr>
          <w:rFonts w:hAnsi="宋体"/>
          <w:color w:val="auto"/>
          <w:szCs w:val="21"/>
        </w:rPr>
        <w:fldChar w:fldCharType="begin"/>
      </w:r>
      <w:r>
        <w:rPr>
          <w:rFonts w:hAnsi="宋体"/>
          <w:color w:val="auto"/>
          <w:szCs w:val="21"/>
        </w:rPr>
        <w:instrText xml:space="preserve"> = 4 \* GB3 \* MERGEFORMAT </w:instrText>
      </w:r>
      <w:r>
        <w:rPr>
          <w:rFonts w:hAnsi="宋体"/>
          <w:color w:val="auto"/>
          <w:szCs w:val="21"/>
        </w:rPr>
        <w:fldChar w:fldCharType="separate"/>
      </w:r>
      <w:r>
        <w:rPr>
          <w:rFonts w:hAnsi="宋体"/>
          <w:color w:val="auto"/>
          <w:szCs w:val="21"/>
        </w:rPr>
        <w:t>④</w:t>
      </w:r>
      <w:r>
        <w:rPr>
          <w:rFonts w:hAnsi="宋体"/>
          <w:color w:val="auto"/>
          <w:szCs w:val="21"/>
        </w:rPr>
        <w:fldChar w:fldCharType="end"/>
      </w:r>
      <w:r>
        <w:rPr>
          <w:rFonts w:hAnsi="宋体"/>
          <w:color w:val="auto"/>
          <w:szCs w:val="21"/>
        </w:rPr>
        <w:t>-</w:t>
      </w:r>
      <w:r>
        <w:rPr>
          <w:rFonts w:hAnsi="宋体"/>
          <w:color w:val="auto"/>
          <w:szCs w:val="21"/>
        </w:rPr>
        <w:fldChar w:fldCharType="begin"/>
      </w:r>
      <w:r>
        <w:rPr>
          <w:rFonts w:hAnsi="宋体"/>
          <w:color w:val="auto"/>
          <w:szCs w:val="21"/>
        </w:rPr>
        <w:instrText xml:space="preserve"> = 5 \* GB3 \* MERGEFORMAT </w:instrText>
      </w:r>
      <w:r>
        <w:rPr>
          <w:rFonts w:hAnsi="宋体"/>
          <w:color w:val="auto"/>
          <w:szCs w:val="21"/>
        </w:rPr>
        <w:fldChar w:fldCharType="separate"/>
      </w:r>
      <w:r>
        <w:rPr>
          <w:rFonts w:hAnsi="宋体"/>
          <w:color w:val="auto"/>
          <w:szCs w:val="21"/>
        </w:rPr>
        <w:t>⑤</w:t>
      </w:r>
      <w:r>
        <w:rPr>
          <w:rFonts w:hAnsi="宋体"/>
          <w:color w:val="auto"/>
          <w:szCs w:val="21"/>
        </w:rPr>
        <w:fldChar w:fldCharType="end"/>
      </w:r>
      <w:r>
        <w:rPr>
          <w:rFonts w:hAnsi="宋体"/>
          <w:color w:val="auto"/>
          <w:szCs w:val="21"/>
        </w:rPr>
        <w:t>；</w:t>
      </w:r>
      <w:r>
        <w:rPr>
          <w:rFonts w:hAnsi="宋体"/>
          <w:color w:val="auto"/>
          <w:szCs w:val="21"/>
        </w:rPr>
        <w:fldChar w:fldCharType="begin"/>
      </w:r>
      <w:r>
        <w:rPr>
          <w:rFonts w:hAnsi="宋体"/>
          <w:color w:val="auto"/>
          <w:szCs w:val="21"/>
        </w:rPr>
        <w:instrText xml:space="preserve"> = 7 \* GB3 \* MERGEFORMAT </w:instrText>
      </w:r>
      <w:r>
        <w:rPr>
          <w:rFonts w:hAnsi="宋体"/>
          <w:color w:val="auto"/>
          <w:szCs w:val="21"/>
        </w:rPr>
        <w:fldChar w:fldCharType="separate"/>
      </w:r>
      <w:r>
        <w:rPr>
          <w:rFonts w:hAnsi="宋体"/>
          <w:color w:val="auto"/>
          <w:szCs w:val="21"/>
        </w:rPr>
        <w:t>⑦</w:t>
      </w:r>
      <w:r>
        <w:rPr>
          <w:rFonts w:hAnsi="宋体"/>
          <w:color w:val="auto"/>
          <w:szCs w:val="21"/>
        </w:rPr>
        <w:fldChar w:fldCharType="end"/>
      </w:r>
      <w:r>
        <w:rPr>
          <w:rFonts w:hAnsi="宋体"/>
          <w:color w:val="auto"/>
          <w:szCs w:val="21"/>
        </w:rPr>
        <w:t>=</w:t>
      </w:r>
      <w:r>
        <w:rPr>
          <w:rFonts w:hAnsi="宋体"/>
          <w:color w:val="auto"/>
          <w:szCs w:val="21"/>
        </w:rPr>
        <w:fldChar w:fldCharType="begin"/>
      </w:r>
      <w:r>
        <w:rPr>
          <w:rFonts w:hAnsi="宋体"/>
          <w:color w:val="auto"/>
          <w:szCs w:val="21"/>
        </w:rPr>
        <w:instrText xml:space="preserve"> = 6 \* GB3 \* MERGEFORMAT </w:instrText>
      </w:r>
      <w:r>
        <w:rPr>
          <w:rFonts w:hAnsi="宋体"/>
          <w:color w:val="auto"/>
          <w:szCs w:val="21"/>
        </w:rPr>
        <w:fldChar w:fldCharType="separate"/>
      </w:r>
      <w:r>
        <w:rPr>
          <w:rFonts w:hAnsi="宋体"/>
          <w:color w:val="auto"/>
          <w:szCs w:val="21"/>
        </w:rPr>
        <w:t>⑥</w:t>
      </w:r>
      <w:r>
        <w:rPr>
          <w:rFonts w:hAnsi="宋体"/>
          <w:color w:val="auto"/>
          <w:szCs w:val="21"/>
        </w:rPr>
        <w:fldChar w:fldCharType="end"/>
      </w:r>
      <w:r>
        <w:rPr>
          <w:rFonts w:hAnsi="宋体"/>
          <w:color w:val="auto"/>
          <w:szCs w:val="21"/>
        </w:rPr>
        <w:t>-</w:t>
      </w:r>
      <w:r>
        <w:rPr>
          <w:rFonts w:hAnsi="宋体"/>
          <w:color w:val="auto"/>
          <w:szCs w:val="21"/>
        </w:rPr>
        <w:fldChar w:fldCharType="begin"/>
      </w:r>
      <w:r>
        <w:rPr>
          <w:rFonts w:hAnsi="宋体"/>
          <w:color w:val="auto"/>
          <w:szCs w:val="21"/>
        </w:rPr>
        <w:instrText xml:space="preserve"> = 1 \* GB3 \* MERGEFORMAT </w:instrText>
      </w:r>
      <w:r>
        <w:rPr>
          <w:rFonts w:hAnsi="宋体"/>
          <w:color w:val="auto"/>
          <w:szCs w:val="21"/>
        </w:rPr>
        <w:fldChar w:fldCharType="separate"/>
      </w:r>
      <w:r>
        <w:rPr>
          <w:rFonts w:hAnsi="宋体"/>
          <w:color w:val="auto"/>
          <w:szCs w:val="21"/>
        </w:rPr>
        <w:t>①</w:t>
      </w:r>
      <w:r>
        <w:rPr>
          <w:rFonts w:hAnsi="宋体"/>
          <w:color w:val="auto"/>
          <w:szCs w:val="21"/>
        </w:rPr>
        <w:fldChar w:fldCharType="end"/>
      </w:r>
      <w:r>
        <w:rPr>
          <w:rFonts w:hint="eastAsia" w:hAnsi="宋体"/>
          <w:color w:val="auto"/>
          <w:szCs w:val="21"/>
          <w:lang w:val="en-US" w:eastAsia="zh-CN"/>
        </w:rPr>
        <w:t xml:space="preserve">     </w:t>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3C77CF7-FC0E-43E6-813A-F5D2DB40842E}"/>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B596272-0132-45E6-892B-B5331DC324C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3" w:fontKey="{18478C93-D71D-4A10-968D-079E368FB582}"/>
  </w:font>
  <w:font w:name="楷体_GB2312">
    <w:panose1 w:val="02010609030101010101"/>
    <w:charset w:val="86"/>
    <w:family w:val="auto"/>
    <w:pitch w:val="default"/>
    <w:sig w:usb0="00000001" w:usb1="080E0000" w:usb2="00000000" w:usb3="00000000" w:csb0="00040000" w:csb1="00000000"/>
    <w:embedRegular r:id="rId4" w:fontKey="{2F8DF2EB-A70C-49B2-8DC4-3F476E6A3C3F}"/>
  </w:font>
  <w:font w:name="方正小标宋简体">
    <w:panose1 w:val="03000509000000000000"/>
    <w:charset w:val="86"/>
    <w:family w:val="auto"/>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5" w:fontKey="{A7DCD60A-2713-4390-83E6-5B4FEF767D94}"/>
  </w:font>
  <w:font w:name="方正小标宋_GBK">
    <w:panose1 w:val="03000509000000000000"/>
    <w:charset w:val="86"/>
    <w:family w:val="script"/>
    <w:pitch w:val="default"/>
    <w:sig w:usb0="00000001" w:usb1="080E0000" w:usb2="00000000" w:usb3="00000000" w:csb0="00040000" w:csb1="00000000"/>
    <w:embedRegular r:id="rId6" w:fontKey="{1FF4B07F-B338-4B84-BCF8-A506190D3EEB}"/>
  </w:font>
  <w:font w:name="华文仿宋">
    <w:panose1 w:val="02010600040101010101"/>
    <w:charset w:val="86"/>
    <w:family w:val="auto"/>
    <w:pitch w:val="default"/>
    <w:sig w:usb0="00000287" w:usb1="080F0000" w:usb2="00000000" w:usb3="00000000" w:csb0="0004009F" w:csb1="DFD70000"/>
    <w:embedRegular r:id="rId7" w:fontKey="{B9576F81-0806-40CD-AE78-D6C40C85625A}"/>
  </w:font>
  <w:font w:name="Wingdings 2">
    <w:altName w:val="Wingdings"/>
    <w:panose1 w:val="05020102010507070707"/>
    <w:charset w:val="02"/>
    <w:family w:val="roman"/>
    <w:pitch w:val="default"/>
    <w:sig w:usb0="00000000" w:usb1="00000000" w:usb2="00000000" w:usb3="00000000" w:csb0="80000000" w:csb1="00000000"/>
    <w:embedRegular r:id="rId8" w:fontKey="{1AC8FFEF-5808-459A-B427-06F2F1D254CD}"/>
  </w:font>
  <w:font w:name="微软雅黑">
    <w:panose1 w:val="020B0503020204020204"/>
    <w:charset w:val="86"/>
    <w:family w:val="auto"/>
    <w:pitch w:val="default"/>
    <w:sig w:usb0="80000287" w:usb1="280F3C52" w:usb2="00000016" w:usb3="00000000" w:csb0="0004001F" w:csb1="00000000"/>
    <w:embedRegular r:id="rId9" w:fontKey="{97DC819B-EF0D-4EE1-B41B-C320A14D2210}"/>
  </w:font>
  <w:font w:name="楷体">
    <w:panose1 w:val="02010609060101010101"/>
    <w:charset w:val="86"/>
    <w:family w:val="modern"/>
    <w:pitch w:val="default"/>
    <w:sig w:usb0="800002BF" w:usb1="38CF7CFA" w:usb2="00000016" w:usb3="00000000" w:csb0="00040001" w:csb1="00000000"/>
    <w:embedRegular r:id="rId10" w:fontKey="{1568DD39-3819-4967-A025-0345F4052829}"/>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1924D">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482C2">
    <w:pPr>
      <w:pStyle w:val="15"/>
      <w:framePr w:wrap="around" w:vAnchor="text" w:hAnchor="margin" w:xAlign="center" w:y="1"/>
      <w:rPr>
        <w:rStyle w:val="26"/>
      </w:rPr>
    </w:pPr>
    <w:r>
      <w:fldChar w:fldCharType="begin"/>
    </w:r>
    <w:r>
      <w:rPr>
        <w:rStyle w:val="26"/>
      </w:rPr>
      <w:instrText xml:space="preserve">PAGE  </w:instrText>
    </w:r>
    <w:r>
      <w:fldChar w:fldCharType="end"/>
    </w:r>
  </w:p>
  <w:p w14:paraId="32718A11">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9E75D">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7B3E0">
    <w:pPr>
      <w:pStyle w:val="15"/>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037FBC">
                          <w:pPr>
                            <w:pStyle w:val="15"/>
                            <w:jc w:val="right"/>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92</w:t>
                          </w:r>
                          <w:r>
                            <w:rPr>
                              <w:sz w:val="21"/>
                              <w:szCs w:val="21"/>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AU1KRc0BAACdAwAADgAAAAAAAAABACAAAAAeAQAAZHJzL2Uy&#10;b0RvYy54bWxQSwUGAAAAAAYABgBZAQAAXQUAAAAA&#10;">
              <v:fill on="f" focussize="0,0"/>
              <v:stroke on="f"/>
              <v:imagedata o:title=""/>
              <o:lock v:ext="edit" aspectratio="f"/>
              <v:textbox inset="0mm,0mm,0mm,0mm" style="mso-fit-shape-to-text:t;">
                <w:txbxContent>
                  <w:p w14:paraId="26037FBC">
                    <w:pPr>
                      <w:pStyle w:val="15"/>
                      <w:jc w:val="right"/>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92</w:t>
                    </w:r>
                    <w:r>
                      <w:rPr>
                        <w:sz w:val="21"/>
                        <w:szCs w:val="21"/>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FABE6">
    <w:pPr>
      <w:pStyle w:val="15"/>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82E6DF">
                          <w:pPr>
                            <w:pStyle w:val="15"/>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153</w:t>
                          </w:r>
                          <w:r>
                            <w:rPr>
                              <w:sz w:val="21"/>
                              <w:szCs w:val="21"/>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tnlxcsBAACd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lxS4rjFiV++f7v8+HX5+ZWs&#10;qlfLLFEfoMbMu4C5aXjrB1yc2Q/ozMwHFW3+IieCcRT4fBVYDomI/Gi9Wq8rDAmMzRfEZw/PQ4T0&#10;TnpLstHQiBMswvLTB0hj6pySqzl/q40pUzTuLwdiZg/LvY89ZisN+2EitPftGfn0OPyGOtx1Ssx7&#10;h9rmPZmNOBv72TiGqA9dWaRcD8KbY8ImSm+5wgg7FcapFXbThuW1+PNesh7+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bZ5cXLAQAAnQMAAA4AAAAAAAAAAQAgAAAAHgEAAGRycy9lMm9E&#10;b2MueG1sUEsFBgAAAAAGAAYAWQEAAFsFAAAAAA==&#10;">
              <v:fill on="f" focussize="0,0"/>
              <v:stroke on="f"/>
              <v:imagedata o:title=""/>
              <o:lock v:ext="edit" aspectratio="f"/>
              <v:textbox inset="0mm,0mm,0mm,0mm" style="mso-fit-shape-to-text:t;">
                <w:txbxContent>
                  <w:p w14:paraId="4182E6DF">
                    <w:pPr>
                      <w:pStyle w:val="15"/>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153</w:t>
                    </w:r>
                    <w:r>
                      <w:rPr>
                        <w:sz w:val="21"/>
                        <w:szCs w:val="21"/>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B6850"/>
    <w:multiLevelType w:val="singleLevel"/>
    <w:tmpl w:val="87BB6850"/>
    <w:lvl w:ilvl="0" w:tentative="0">
      <w:start w:val="1"/>
      <w:numFmt w:val="decimal"/>
      <w:suff w:val="nothing"/>
      <w:lvlText w:val="（%1）"/>
      <w:lvlJc w:val="left"/>
    </w:lvl>
  </w:abstractNum>
  <w:abstractNum w:abstractNumId="1">
    <w:nsid w:val="A6B5FBBB"/>
    <w:multiLevelType w:val="singleLevel"/>
    <w:tmpl w:val="A6B5FBBB"/>
    <w:lvl w:ilvl="0" w:tentative="0">
      <w:start w:val="1"/>
      <w:numFmt w:val="decimalEnclosedCircleChinese"/>
      <w:suff w:val="nothing"/>
      <w:lvlText w:val="%1　"/>
      <w:lvlJc w:val="left"/>
      <w:pPr>
        <w:ind w:left="0" w:firstLine="400"/>
      </w:pPr>
      <w:rPr>
        <w:rFonts w:hint="eastAsia"/>
      </w:rPr>
    </w:lvl>
  </w:abstractNum>
  <w:abstractNum w:abstractNumId="2">
    <w:nsid w:val="B78D07AA"/>
    <w:multiLevelType w:val="singleLevel"/>
    <w:tmpl w:val="B78D07AA"/>
    <w:lvl w:ilvl="0" w:tentative="0">
      <w:start w:val="1"/>
      <w:numFmt w:val="decimal"/>
      <w:suff w:val="nothing"/>
      <w:lvlText w:val="%1、"/>
      <w:lvlJc w:val="left"/>
    </w:lvl>
  </w:abstractNum>
  <w:abstractNum w:abstractNumId="3">
    <w:nsid w:val="B8FA9DE6"/>
    <w:multiLevelType w:val="singleLevel"/>
    <w:tmpl w:val="B8FA9DE6"/>
    <w:lvl w:ilvl="0" w:tentative="0">
      <w:start w:val="2"/>
      <w:numFmt w:val="decimal"/>
      <w:suff w:val="nothing"/>
      <w:lvlText w:val="%1、"/>
      <w:lvlJc w:val="left"/>
    </w:lvl>
  </w:abstractNum>
  <w:abstractNum w:abstractNumId="4">
    <w:nsid w:val="CAD1809B"/>
    <w:multiLevelType w:val="singleLevel"/>
    <w:tmpl w:val="CAD1809B"/>
    <w:lvl w:ilvl="0" w:tentative="0">
      <w:start w:val="1"/>
      <w:numFmt w:val="decimalEnclosedCircleChinese"/>
      <w:suff w:val="nothing"/>
      <w:lvlText w:val="%1　"/>
      <w:lvlJc w:val="left"/>
      <w:pPr>
        <w:ind w:left="0" w:firstLine="400"/>
      </w:pPr>
      <w:rPr>
        <w:rFonts w:hint="eastAsia"/>
      </w:rPr>
    </w:lvl>
  </w:abstractNum>
  <w:abstractNum w:abstractNumId="5">
    <w:nsid w:val="D41812B8"/>
    <w:multiLevelType w:val="singleLevel"/>
    <w:tmpl w:val="D41812B8"/>
    <w:lvl w:ilvl="0" w:tentative="0">
      <w:start w:val="1"/>
      <w:numFmt w:val="decimal"/>
      <w:suff w:val="nothing"/>
      <w:lvlText w:val="（%1）"/>
      <w:lvlJc w:val="left"/>
    </w:lvl>
  </w:abstractNum>
  <w:abstractNum w:abstractNumId="6">
    <w:nsid w:val="E0DB10E0"/>
    <w:multiLevelType w:val="singleLevel"/>
    <w:tmpl w:val="E0DB10E0"/>
    <w:lvl w:ilvl="0" w:tentative="0">
      <w:start w:val="1"/>
      <w:numFmt w:val="decimal"/>
      <w:suff w:val="nothing"/>
      <w:lvlText w:val="%1、"/>
      <w:lvlJc w:val="left"/>
    </w:lvl>
  </w:abstractNum>
  <w:abstractNum w:abstractNumId="7">
    <w:nsid w:val="E69E98CF"/>
    <w:multiLevelType w:val="singleLevel"/>
    <w:tmpl w:val="E69E98CF"/>
    <w:lvl w:ilvl="0" w:tentative="0">
      <w:start w:val="1"/>
      <w:numFmt w:val="decimalEnclosedCircleChinese"/>
      <w:suff w:val="nothing"/>
      <w:lvlText w:val="%1　"/>
      <w:lvlJc w:val="left"/>
      <w:pPr>
        <w:ind w:left="0" w:firstLine="400"/>
      </w:pPr>
      <w:rPr>
        <w:rFonts w:hint="eastAsia"/>
      </w:rPr>
    </w:lvl>
  </w:abstractNum>
  <w:abstractNum w:abstractNumId="8">
    <w:nsid w:val="E827D846"/>
    <w:multiLevelType w:val="singleLevel"/>
    <w:tmpl w:val="E827D846"/>
    <w:lvl w:ilvl="0" w:tentative="0">
      <w:start w:val="4"/>
      <w:numFmt w:val="decimal"/>
      <w:suff w:val="nothing"/>
      <w:lvlText w:val="（%1）"/>
      <w:lvlJc w:val="left"/>
    </w:lvl>
  </w:abstractNum>
  <w:abstractNum w:abstractNumId="9">
    <w:nsid w:val="E96599A2"/>
    <w:multiLevelType w:val="singleLevel"/>
    <w:tmpl w:val="E96599A2"/>
    <w:lvl w:ilvl="0" w:tentative="0">
      <w:start w:val="1"/>
      <w:numFmt w:val="decimalEnclosedCircleChinese"/>
      <w:suff w:val="nothing"/>
      <w:lvlText w:val="%1　"/>
      <w:lvlJc w:val="left"/>
      <w:pPr>
        <w:ind w:left="0" w:firstLine="400"/>
      </w:pPr>
      <w:rPr>
        <w:rFonts w:hint="eastAsia"/>
      </w:rPr>
    </w:lvl>
  </w:abstractNum>
  <w:abstractNum w:abstractNumId="10">
    <w:nsid w:val="06E04630"/>
    <w:multiLevelType w:val="singleLevel"/>
    <w:tmpl w:val="06E04630"/>
    <w:lvl w:ilvl="0" w:tentative="0">
      <w:start w:val="2"/>
      <w:numFmt w:val="chineseCounting"/>
      <w:suff w:val="nothing"/>
      <w:lvlText w:val="%1、"/>
      <w:lvlJc w:val="left"/>
      <w:rPr>
        <w:rFonts w:hint="eastAsia"/>
      </w:rPr>
    </w:lvl>
  </w:abstractNum>
  <w:abstractNum w:abstractNumId="11">
    <w:nsid w:val="0B47318B"/>
    <w:multiLevelType w:val="singleLevel"/>
    <w:tmpl w:val="0B47318B"/>
    <w:lvl w:ilvl="0" w:tentative="0">
      <w:start w:val="3"/>
      <w:numFmt w:val="decimal"/>
      <w:suff w:val="nothing"/>
      <w:lvlText w:val="%1、"/>
      <w:lvlJc w:val="left"/>
    </w:lvl>
  </w:abstractNum>
  <w:abstractNum w:abstractNumId="12">
    <w:nsid w:val="0D2E2BB0"/>
    <w:multiLevelType w:val="singleLevel"/>
    <w:tmpl w:val="0D2E2BB0"/>
    <w:lvl w:ilvl="0" w:tentative="0">
      <w:start w:val="1"/>
      <w:numFmt w:val="decimal"/>
      <w:suff w:val="nothing"/>
      <w:lvlText w:val="（%1）"/>
      <w:lvlJc w:val="left"/>
    </w:lvl>
  </w:abstractNum>
  <w:abstractNum w:abstractNumId="13">
    <w:nsid w:val="16D6C919"/>
    <w:multiLevelType w:val="singleLevel"/>
    <w:tmpl w:val="16D6C919"/>
    <w:lvl w:ilvl="0" w:tentative="0">
      <w:start w:val="11"/>
      <w:numFmt w:val="chineseCounting"/>
      <w:suff w:val="nothing"/>
      <w:lvlText w:val="第%1条　"/>
      <w:lvlJc w:val="left"/>
      <w:rPr>
        <w:rFonts w:hint="eastAsia"/>
      </w:rPr>
    </w:lvl>
  </w:abstractNum>
  <w:abstractNum w:abstractNumId="14">
    <w:nsid w:val="33831B46"/>
    <w:multiLevelType w:val="singleLevel"/>
    <w:tmpl w:val="33831B46"/>
    <w:lvl w:ilvl="0" w:tentative="0">
      <w:start w:val="1"/>
      <w:numFmt w:val="decimal"/>
      <w:suff w:val="nothing"/>
      <w:lvlText w:val="（%1）"/>
      <w:lvlJc w:val="left"/>
    </w:lvl>
  </w:abstractNum>
  <w:abstractNum w:abstractNumId="15">
    <w:nsid w:val="3C6D74DC"/>
    <w:multiLevelType w:val="multilevel"/>
    <w:tmpl w:val="3C6D74DC"/>
    <w:lvl w:ilvl="0" w:tentative="0">
      <w:start w:val="1"/>
      <w:numFmt w:val="decimal"/>
      <w:lvlText w:val="%1"/>
      <w:lvlJc w:val="left"/>
      <w:pPr>
        <w:tabs>
          <w:tab w:val="left" w:pos="432"/>
        </w:tabs>
        <w:ind w:left="432" w:hanging="432"/>
      </w:pPr>
      <w:rPr>
        <w:rFonts w:hint="default" w:ascii="Times New Roman" w:hAnsi="Times New Roman" w:cs="Times New Roman"/>
        <w:b w:val="0"/>
        <w:sz w:val="36"/>
        <w:szCs w:val="36"/>
      </w:rPr>
    </w:lvl>
    <w:lvl w:ilvl="1" w:tentative="0">
      <w:start w:val="1"/>
      <w:numFmt w:val="decimal"/>
      <w:lvlText w:val="%1.%2"/>
      <w:lvlJc w:val="left"/>
      <w:pPr>
        <w:tabs>
          <w:tab w:val="left" w:pos="576"/>
        </w:tabs>
        <w:ind w:left="576" w:hanging="576"/>
      </w:pPr>
      <w:rPr>
        <w:rFonts w:hint="default" w:ascii="Times New Roman" w:hAnsi="Times New Roman" w:cs="Times New Roman"/>
        <w:b w:val="0"/>
        <w:sz w:val="32"/>
        <w:szCs w:val="32"/>
      </w:rPr>
    </w:lvl>
    <w:lvl w:ilvl="2" w:tentative="0">
      <w:start w:val="1"/>
      <w:numFmt w:val="decimal"/>
      <w:pStyle w:val="2"/>
      <w:lvlText w:val="%1.%2.%3"/>
      <w:lvlJc w:val="left"/>
      <w:pPr>
        <w:tabs>
          <w:tab w:val="left" w:pos="1146"/>
        </w:tabs>
        <w:ind w:left="1146" w:hanging="720"/>
      </w:pPr>
      <w:rPr>
        <w:rFonts w:hint="default" w:ascii="Times New Roman" w:hAnsi="Times New Roman" w:cs="Times New Roman"/>
        <w:b w:val="0"/>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6">
    <w:nsid w:val="4E22CD70"/>
    <w:multiLevelType w:val="singleLevel"/>
    <w:tmpl w:val="4E22CD70"/>
    <w:lvl w:ilvl="0" w:tentative="0">
      <w:start w:val="1"/>
      <w:numFmt w:val="decimalEnclosedCircleChinese"/>
      <w:suff w:val="nothing"/>
      <w:lvlText w:val="%1　"/>
      <w:lvlJc w:val="left"/>
      <w:pPr>
        <w:ind w:left="0" w:firstLine="400"/>
      </w:pPr>
      <w:rPr>
        <w:rFonts w:hint="eastAsia"/>
      </w:rPr>
    </w:lvl>
  </w:abstractNum>
  <w:abstractNum w:abstractNumId="17">
    <w:nsid w:val="56F710A7"/>
    <w:multiLevelType w:val="singleLevel"/>
    <w:tmpl w:val="56F710A7"/>
    <w:lvl w:ilvl="0" w:tentative="0">
      <w:start w:val="1"/>
      <w:numFmt w:val="lowerLetter"/>
      <w:suff w:val="space"/>
      <w:lvlText w:val="%1."/>
      <w:lvlJc w:val="left"/>
    </w:lvl>
  </w:abstractNum>
  <w:abstractNum w:abstractNumId="18">
    <w:nsid w:val="641ED63B"/>
    <w:multiLevelType w:val="singleLevel"/>
    <w:tmpl w:val="641ED63B"/>
    <w:lvl w:ilvl="0" w:tentative="0">
      <w:start w:val="1"/>
      <w:numFmt w:val="decimal"/>
      <w:suff w:val="nothing"/>
      <w:lvlText w:val="（%1）"/>
      <w:lvlJc w:val="left"/>
    </w:lvl>
  </w:abstractNum>
  <w:abstractNum w:abstractNumId="19">
    <w:nsid w:val="74F7BDAA"/>
    <w:multiLevelType w:val="singleLevel"/>
    <w:tmpl w:val="74F7BDAA"/>
    <w:lvl w:ilvl="0" w:tentative="0">
      <w:start w:val="2"/>
      <w:numFmt w:val="decimal"/>
      <w:suff w:val="nothing"/>
      <w:lvlText w:val="（%1）"/>
      <w:lvlJc w:val="left"/>
    </w:lvl>
  </w:abstractNum>
  <w:abstractNum w:abstractNumId="20">
    <w:nsid w:val="7636A3FA"/>
    <w:multiLevelType w:val="multilevel"/>
    <w:tmpl w:val="7636A3FA"/>
    <w:lvl w:ilvl="0" w:tentative="0">
      <w:start w:val="1"/>
      <w:numFmt w:val="bullet"/>
      <w:pStyle w:val="11"/>
      <w:lvlText w:val=""/>
      <w:lvlJc w:val="left"/>
      <w:pPr>
        <w:tabs>
          <w:tab w:val="left" w:pos="2040"/>
        </w:tabs>
        <w:ind w:left="2040" w:hanging="360"/>
      </w:pPr>
      <w:rPr>
        <w:rFonts w:hint="default" w:ascii="Wingdings" w:hAnsi="Wingdings"/>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abstractNum w:abstractNumId="21">
    <w:nsid w:val="7E57173C"/>
    <w:multiLevelType w:val="multilevel"/>
    <w:tmpl w:val="7E57173C"/>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20"/>
  </w:num>
  <w:num w:numId="3">
    <w:abstractNumId w:val="5"/>
  </w:num>
  <w:num w:numId="4">
    <w:abstractNumId w:val="8"/>
  </w:num>
  <w:num w:numId="5">
    <w:abstractNumId w:val="18"/>
  </w:num>
  <w:num w:numId="6">
    <w:abstractNumId w:val="12"/>
  </w:num>
  <w:num w:numId="7">
    <w:abstractNumId w:val="13"/>
  </w:num>
  <w:num w:numId="8">
    <w:abstractNumId w:val="0"/>
  </w:num>
  <w:num w:numId="9">
    <w:abstractNumId w:val="6"/>
  </w:num>
  <w:num w:numId="10">
    <w:abstractNumId w:val="2"/>
  </w:num>
  <w:num w:numId="11">
    <w:abstractNumId w:val="10"/>
  </w:num>
  <w:num w:numId="12">
    <w:abstractNumId w:val="11"/>
  </w:num>
  <w:num w:numId="13">
    <w:abstractNumId w:val="19"/>
  </w:num>
  <w:num w:numId="14">
    <w:abstractNumId w:val="21"/>
  </w:num>
  <w:num w:numId="15">
    <w:abstractNumId w:val="3"/>
  </w:num>
  <w:num w:numId="16">
    <w:abstractNumId w:val="17"/>
  </w:num>
  <w:num w:numId="17">
    <w:abstractNumId w:val="16"/>
  </w:num>
  <w:num w:numId="18">
    <w:abstractNumId w:val="7"/>
  </w:num>
  <w:num w:numId="19">
    <w:abstractNumId w:val="9"/>
  </w:num>
  <w:num w:numId="20">
    <w:abstractNumId w:val="4"/>
  </w:num>
  <w:num w:numId="21">
    <w:abstractNumId w:val="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172A27"/>
    <w:rsid w:val="000034B3"/>
    <w:rsid w:val="000036F6"/>
    <w:rsid w:val="000038C3"/>
    <w:rsid w:val="00003D37"/>
    <w:rsid w:val="000060B3"/>
    <w:rsid w:val="000062EB"/>
    <w:rsid w:val="000075F0"/>
    <w:rsid w:val="00007810"/>
    <w:rsid w:val="0000795F"/>
    <w:rsid w:val="00007D23"/>
    <w:rsid w:val="00010087"/>
    <w:rsid w:val="00010C9E"/>
    <w:rsid w:val="00012141"/>
    <w:rsid w:val="000125DA"/>
    <w:rsid w:val="00013A6E"/>
    <w:rsid w:val="00016065"/>
    <w:rsid w:val="000168A4"/>
    <w:rsid w:val="00016E07"/>
    <w:rsid w:val="0002396F"/>
    <w:rsid w:val="00031204"/>
    <w:rsid w:val="00033C21"/>
    <w:rsid w:val="000364FC"/>
    <w:rsid w:val="00036F7D"/>
    <w:rsid w:val="00042D0E"/>
    <w:rsid w:val="00042E36"/>
    <w:rsid w:val="000435FE"/>
    <w:rsid w:val="0004364B"/>
    <w:rsid w:val="000457F1"/>
    <w:rsid w:val="00045A72"/>
    <w:rsid w:val="00053D76"/>
    <w:rsid w:val="00054048"/>
    <w:rsid w:val="00055251"/>
    <w:rsid w:val="000566C3"/>
    <w:rsid w:val="00057188"/>
    <w:rsid w:val="000572F2"/>
    <w:rsid w:val="000577B9"/>
    <w:rsid w:val="000609FA"/>
    <w:rsid w:val="00060A1B"/>
    <w:rsid w:val="00061B1F"/>
    <w:rsid w:val="00061F0E"/>
    <w:rsid w:val="00062775"/>
    <w:rsid w:val="00062E18"/>
    <w:rsid w:val="00062E26"/>
    <w:rsid w:val="0006414F"/>
    <w:rsid w:val="00065A2C"/>
    <w:rsid w:val="00066107"/>
    <w:rsid w:val="000674E8"/>
    <w:rsid w:val="00067743"/>
    <w:rsid w:val="00070803"/>
    <w:rsid w:val="00070A92"/>
    <w:rsid w:val="00070B49"/>
    <w:rsid w:val="00070F07"/>
    <w:rsid w:val="000729CA"/>
    <w:rsid w:val="00072A54"/>
    <w:rsid w:val="000733C4"/>
    <w:rsid w:val="00074783"/>
    <w:rsid w:val="00075323"/>
    <w:rsid w:val="00075343"/>
    <w:rsid w:val="0008070B"/>
    <w:rsid w:val="000810AC"/>
    <w:rsid w:val="00081A02"/>
    <w:rsid w:val="00082231"/>
    <w:rsid w:val="00083E7A"/>
    <w:rsid w:val="00083F05"/>
    <w:rsid w:val="0008424C"/>
    <w:rsid w:val="000869CF"/>
    <w:rsid w:val="00087072"/>
    <w:rsid w:val="00090B0C"/>
    <w:rsid w:val="00091731"/>
    <w:rsid w:val="0009176D"/>
    <w:rsid w:val="00092D38"/>
    <w:rsid w:val="00093034"/>
    <w:rsid w:val="0009306D"/>
    <w:rsid w:val="0009377B"/>
    <w:rsid w:val="00093DA0"/>
    <w:rsid w:val="0009472F"/>
    <w:rsid w:val="0009496F"/>
    <w:rsid w:val="000949D9"/>
    <w:rsid w:val="0009517B"/>
    <w:rsid w:val="000966DA"/>
    <w:rsid w:val="00097503"/>
    <w:rsid w:val="000A209D"/>
    <w:rsid w:val="000A20C9"/>
    <w:rsid w:val="000A2D2C"/>
    <w:rsid w:val="000A34DC"/>
    <w:rsid w:val="000A3CD8"/>
    <w:rsid w:val="000A4E3B"/>
    <w:rsid w:val="000A66E1"/>
    <w:rsid w:val="000A6B0B"/>
    <w:rsid w:val="000A6DAB"/>
    <w:rsid w:val="000A6E8E"/>
    <w:rsid w:val="000A6F97"/>
    <w:rsid w:val="000A7BF1"/>
    <w:rsid w:val="000B01D4"/>
    <w:rsid w:val="000B058F"/>
    <w:rsid w:val="000B4112"/>
    <w:rsid w:val="000B4467"/>
    <w:rsid w:val="000B4DB9"/>
    <w:rsid w:val="000B64AC"/>
    <w:rsid w:val="000B7A0E"/>
    <w:rsid w:val="000C044C"/>
    <w:rsid w:val="000C09AC"/>
    <w:rsid w:val="000C4312"/>
    <w:rsid w:val="000C59DC"/>
    <w:rsid w:val="000C6698"/>
    <w:rsid w:val="000C6838"/>
    <w:rsid w:val="000C767F"/>
    <w:rsid w:val="000C7A79"/>
    <w:rsid w:val="000D0533"/>
    <w:rsid w:val="000D1AA3"/>
    <w:rsid w:val="000D2510"/>
    <w:rsid w:val="000D3EA6"/>
    <w:rsid w:val="000D4A47"/>
    <w:rsid w:val="000D52C8"/>
    <w:rsid w:val="000D5A44"/>
    <w:rsid w:val="000D5D26"/>
    <w:rsid w:val="000D5E8D"/>
    <w:rsid w:val="000D622B"/>
    <w:rsid w:val="000D6625"/>
    <w:rsid w:val="000D6777"/>
    <w:rsid w:val="000D6FC3"/>
    <w:rsid w:val="000E0269"/>
    <w:rsid w:val="000E142E"/>
    <w:rsid w:val="000E1C23"/>
    <w:rsid w:val="000E39F8"/>
    <w:rsid w:val="000E3ED2"/>
    <w:rsid w:val="000E581F"/>
    <w:rsid w:val="000E6121"/>
    <w:rsid w:val="000E696A"/>
    <w:rsid w:val="000E720E"/>
    <w:rsid w:val="000F185B"/>
    <w:rsid w:val="000F1BD6"/>
    <w:rsid w:val="000F205F"/>
    <w:rsid w:val="000F2200"/>
    <w:rsid w:val="000F28BE"/>
    <w:rsid w:val="000F3222"/>
    <w:rsid w:val="000F4AB5"/>
    <w:rsid w:val="000F6CC0"/>
    <w:rsid w:val="000F6D9B"/>
    <w:rsid w:val="000F7556"/>
    <w:rsid w:val="0010061C"/>
    <w:rsid w:val="00100FED"/>
    <w:rsid w:val="00105908"/>
    <w:rsid w:val="00105ADC"/>
    <w:rsid w:val="00105FC2"/>
    <w:rsid w:val="00107CD9"/>
    <w:rsid w:val="00110E95"/>
    <w:rsid w:val="0011125C"/>
    <w:rsid w:val="00112721"/>
    <w:rsid w:val="00114F0A"/>
    <w:rsid w:val="00115E28"/>
    <w:rsid w:val="00116887"/>
    <w:rsid w:val="00116F4B"/>
    <w:rsid w:val="00121D96"/>
    <w:rsid w:val="00122B04"/>
    <w:rsid w:val="00123540"/>
    <w:rsid w:val="00124D0C"/>
    <w:rsid w:val="00125C25"/>
    <w:rsid w:val="0012773F"/>
    <w:rsid w:val="00127789"/>
    <w:rsid w:val="00127ED6"/>
    <w:rsid w:val="00131F42"/>
    <w:rsid w:val="00132AB0"/>
    <w:rsid w:val="001357F1"/>
    <w:rsid w:val="001362AE"/>
    <w:rsid w:val="00137DBD"/>
    <w:rsid w:val="001404A5"/>
    <w:rsid w:val="00140FA8"/>
    <w:rsid w:val="00142013"/>
    <w:rsid w:val="00142033"/>
    <w:rsid w:val="00142FD8"/>
    <w:rsid w:val="00142FEB"/>
    <w:rsid w:val="00143A2D"/>
    <w:rsid w:val="00143B80"/>
    <w:rsid w:val="00145A41"/>
    <w:rsid w:val="00146468"/>
    <w:rsid w:val="0014745D"/>
    <w:rsid w:val="00151675"/>
    <w:rsid w:val="00151FE6"/>
    <w:rsid w:val="00152612"/>
    <w:rsid w:val="0015372E"/>
    <w:rsid w:val="001542A6"/>
    <w:rsid w:val="00154615"/>
    <w:rsid w:val="00155001"/>
    <w:rsid w:val="0015556D"/>
    <w:rsid w:val="00156B49"/>
    <w:rsid w:val="001572B9"/>
    <w:rsid w:val="00157435"/>
    <w:rsid w:val="00157CE9"/>
    <w:rsid w:val="0016013B"/>
    <w:rsid w:val="001611EF"/>
    <w:rsid w:val="00161B87"/>
    <w:rsid w:val="00163754"/>
    <w:rsid w:val="00163CD2"/>
    <w:rsid w:val="001656C1"/>
    <w:rsid w:val="001661FD"/>
    <w:rsid w:val="0016705A"/>
    <w:rsid w:val="00173BBA"/>
    <w:rsid w:val="0017504D"/>
    <w:rsid w:val="001756C4"/>
    <w:rsid w:val="0017599E"/>
    <w:rsid w:val="00175ACB"/>
    <w:rsid w:val="00175B53"/>
    <w:rsid w:val="0017671A"/>
    <w:rsid w:val="001773AB"/>
    <w:rsid w:val="00177422"/>
    <w:rsid w:val="001776C9"/>
    <w:rsid w:val="00177DD9"/>
    <w:rsid w:val="001801B4"/>
    <w:rsid w:val="00180ABA"/>
    <w:rsid w:val="001815FF"/>
    <w:rsid w:val="00184590"/>
    <w:rsid w:val="001858BB"/>
    <w:rsid w:val="001859A7"/>
    <w:rsid w:val="001861D5"/>
    <w:rsid w:val="001870D1"/>
    <w:rsid w:val="0018781E"/>
    <w:rsid w:val="00190039"/>
    <w:rsid w:val="001904A4"/>
    <w:rsid w:val="00190A25"/>
    <w:rsid w:val="0019262D"/>
    <w:rsid w:val="00195240"/>
    <w:rsid w:val="0019584C"/>
    <w:rsid w:val="001958A6"/>
    <w:rsid w:val="001959F5"/>
    <w:rsid w:val="00195A92"/>
    <w:rsid w:val="001967A0"/>
    <w:rsid w:val="00196C02"/>
    <w:rsid w:val="00197FBF"/>
    <w:rsid w:val="001A1B35"/>
    <w:rsid w:val="001A28D6"/>
    <w:rsid w:val="001A3DE0"/>
    <w:rsid w:val="001A48A2"/>
    <w:rsid w:val="001A53F8"/>
    <w:rsid w:val="001A5A61"/>
    <w:rsid w:val="001A6F0A"/>
    <w:rsid w:val="001A6F61"/>
    <w:rsid w:val="001B10A1"/>
    <w:rsid w:val="001B1CEB"/>
    <w:rsid w:val="001B6485"/>
    <w:rsid w:val="001B72B8"/>
    <w:rsid w:val="001B764A"/>
    <w:rsid w:val="001C0C60"/>
    <w:rsid w:val="001C28B6"/>
    <w:rsid w:val="001C2A84"/>
    <w:rsid w:val="001C4CB6"/>
    <w:rsid w:val="001C4D5C"/>
    <w:rsid w:val="001C4F98"/>
    <w:rsid w:val="001C546E"/>
    <w:rsid w:val="001C69B3"/>
    <w:rsid w:val="001D0BB6"/>
    <w:rsid w:val="001D15B1"/>
    <w:rsid w:val="001D2556"/>
    <w:rsid w:val="001D2667"/>
    <w:rsid w:val="001D2E59"/>
    <w:rsid w:val="001D2FA2"/>
    <w:rsid w:val="001D3779"/>
    <w:rsid w:val="001D527C"/>
    <w:rsid w:val="001D5595"/>
    <w:rsid w:val="001D5B65"/>
    <w:rsid w:val="001D646C"/>
    <w:rsid w:val="001D7874"/>
    <w:rsid w:val="001D7F22"/>
    <w:rsid w:val="001E17BE"/>
    <w:rsid w:val="001E1CF6"/>
    <w:rsid w:val="001E2638"/>
    <w:rsid w:val="001E2E71"/>
    <w:rsid w:val="001E2F2E"/>
    <w:rsid w:val="001E304A"/>
    <w:rsid w:val="001E30C3"/>
    <w:rsid w:val="001E3A7C"/>
    <w:rsid w:val="001E64AF"/>
    <w:rsid w:val="001E6531"/>
    <w:rsid w:val="001E6F7E"/>
    <w:rsid w:val="001F0529"/>
    <w:rsid w:val="001F065B"/>
    <w:rsid w:val="001F0B99"/>
    <w:rsid w:val="001F0F17"/>
    <w:rsid w:val="001F19F8"/>
    <w:rsid w:val="001F3347"/>
    <w:rsid w:val="001F5557"/>
    <w:rsid w:val="001F65BE"/>
    <w:rsid w:val="001F6782"/>
    <w:rsid w:val="001F69E4"/>
    <w:rsid w:val="001F6C61"/>
    <w:rsid w:val="00202BA4"/>
    <w:rsid w:val="00202DB7"/>
    <w:rsid w:val="0020359E"/>
    <w:rsid w:val="00204159"/>
    <w:rsid w:val="00204649"/>
    <w:rsid w:val="00207077"/>
    <w:rsid w:val="00210C15"/>
    <w:rsid w:val="002120C3"/>
    <w:rsid w:val="002121E8"/>
    <w:rsid w:val="002125B4"/>
    <w:rsid w:val="002142D8"/>
    <w:rsid w:val="002149F0"/>
    <w:rsid w:val="002155B8"/>
    <w:rsid w:val="00215E0D"/>
    <w:rsid w:val="00215EC4"/>
    <w:rsid w:val="00216E74"/>
    <w:rsid w:val="0021712E"/>
    <w:rsid w:val="00217F8D"/>
    <w:rsid w:val="002202C9"/>
    <w:rsid w:val="002206E9"/>
    <w:rsid w:val="00220FF5"/>
    <w:rsid w:val="002219CF"/>
    <w:rsid w:val="00221FCB"/>
    <w:rsid w:val="00222969"/>
    <w:rsid w:val="0022370A"/>
    <w:rsid w:val="00223B95"/>
    <w:rsid w:val="0022428E"/>
    <w:rsid w:val="0022475E"/>
    <w:rsid w:val="00224839"/>
    <w:rsid w:val="00224947"/>
    <w:rsid w:val="002249A7"/>
    <w:rsid w:val="002249B2"/>
    <w:rsid w:val="00226574"/>
    <w:rsid w:val="002278EC"/>
    <w:rsid w:val="00231B96"/>
    <w:rsid w:val="00232144"/>
    <w:rsid w:val="0023280E"/>
    <w:rsid w:val="002333AE"/>
    <w:rsid w:val="00233839"/>
    <w:rsid w:val="00235052"/>
    <w:rsid w:val="00235DD0"/>
    <w:rsid w:val="00236038"/>
    <w:rsid w:val="0023672A"/>
    <w:rsid w:val="00236757"/>
    <w:rsid w:val="00237617"/>
    <w:rsid w:val="002377D1"/>
    <w:rsid w:val="00240237"/>
    <w:rsid w:val="00240DA9"/>
    <w:rsid w:val="002415C6"/>
    <w:rsid w:val="00242815"/>
    <w:rsid w:val="0024289C"/>
    <w:rsid w:val="002438E8"/>
    <w:rsid w:val="00244A39"/>
    <w:rsid w:val="00246D23"/>
    <w:rsid w:val="00246F44"/>
    <w:rsid w:val="0024763E"/>
    <w:rsid w:val="0024789F"/>
    <w:rsid w:val="00247996"/>
    <w:rsid w:val="002506BC"/>
    <w:rsid w:val="00250F82"/>
    <w:rsid w:val="00251145"/>
    <w:rsid w:val="00251C02"/>
    <w:rsid w:val="00254345"/>
    <w:rsid w:val="002543A2"/>
    <w:rsid w:val="00254561"/>
    <w:rsid w:val="00254DA3"/>
    <w:rsid w:val="002558BE"/>
    <w:rsid w:val="0025624E"/>
    <w:rsid w:val="00256A5B"/>
    <w:rsid w:val="00256F15"/>
    <w:rsid w:val="00257861"/>
    <w:rsid w:val="00257C4F"/>
    <w:rsid w:val="0026009A"/>
    <w:rsid w:val="00260FD0"/>
    <w:rsid w:val="00263E80"/>
    <w:rsid w:val="00264557"/>
    <w:rsid w:val="0026763A"/>
    <w:rsid w:val="00273446"/>
    <w:rsid w:val="00273C9C"/>
    <w:rsid w:val="0027433E"/>
    <w:rsid w:val="00275172"/>
    <w:rsid w:val="0027583A"/>
    <w:rsid w:val="0027749E"/>
    <w:rsid w:val="002801A8"/>
    <w:rsid w:val="002805AB"/>
    <w:rsid w:val="0028075A"/>
    <w:rsid w:val="002822C7"/>
    <w:rsid w:val="0028255A"/>
    <w:rsid w:val="00282700"/>
    <w:rsid w:val="00282A99"/>
    <w:rsid w:val="00283341"/>
    <w:rsid w:val="00283A23"/>
    <w:rsid w:val="00284204"/>
    <w:rsid w:val="00284B47"/>
    <w:rsid w:val="00285E75"/>
    <w:rsid w:val="00286D25"/>
    <w:rsid w:val="0028739A"/>
    <w:rsid w:val="0028743A"/>
    <w:rsid w:val="0028797D"/>
    <w:rsid w:val="002911CA"/>
    <w:rsid w:val="002913BC"/>
    <w:rsid w:val="00291773"/>
    <w:rsid w:val="002919C6"/>
    <w:rsid w:val="002935FC"/>
    <w:rsid w:val="0029765B"/>
    <w:rsid w:val="002A0B45"/>
    <w:rsid w:val="002A168C"/>
    <w:rsid w:val="002A24A2"/>
    <w:rsid w:val="002A3232"/>
    <w:rsid w:val="002A3C81"/>
    <w:rsid w:val="002A3DC7"/>
    <w:rsid w:val="002A5235"/>
    <w:rsid w:val="002A559F"/>
    <w:rsid w:val="002A61B8"/>
    <w:rsid w:val="002A6A4A"/>
    <w:rsid w:val="002A6BD0"/>
    <w:rsid w:val="002A70C6"/>
    <w:rsid w:val="002A73C5"/>
    <w:rsid w:val="002B0460"/>
    <w:rsid w:val="002B065A"/>
    <w:rsid w:val="002B0BBB"/>
    <w:rsid w:val="002B114D"/>
    <w:rsid w:val="002B11CB"/>
    <w:rsid w:val="002B366E"/>
    <w:rsid w:val="002B49E2"/>
    <w:rsid w:val="002B5D53"/>
    <w:rsid w:val="002B5E13"/>
    <w:rsid w:val="002B7477"/>
    <w:rsid w:val="002B7B00"/>
    <w:rsid w:val="002B7C44"/>
    <w:rsid w:val="002C0240"/>
    <w:rsid w:val="002C0783"/>
    <w:rsid w:val="002C0887"/>
    <w:rsid w:val="002C2AC5"/>
    <w:rsid w:val="002C2B17"/>
    <w:rsid w:val="002C3476"/>
    <w:rsid w:val="002C3C13"/>
    <w:rsid w:val="002C3CFA"/>
    <w:rsid w:val="002C49E0"/>
    <w:rsid w:val="002C4F10"/>
    <w:rsid w:val="002C4FE5"/>
    <w:rsid w:val="002C52B4"/>
    <w:rsid w:val="002C606C"/>
    <w:rsid w:val="002C6391"/>
    <w:rsid w:val="002C6A9E"/>
    <w:rsid w:val="002C779F"/>
    <w:rsid w:val="002C7FBC"/>
    <w:rsid w:val="002D1378"/>
    <w:rsid w:val="002D20E4"/>
    <w:rsid w:val="002D2581"/>
    <w:rsid w:val="002D3DD0"/>
    <w:rsid w:val="002D419B"/>
    <w:rsid w:val="002D428A"/>
    <w:rsid w:val="002D42A6"/>
    <w:rsid w:val="002D6530"/>
    <w:rsid w:val="002E00E8"/>
    <w:rsid w:val="002E1636"/>
    <w:rsid w:val="002E1AC0"/>
    <w:rsid w:val="002E1F3A"/>
    <w:rsid w:val="002E274D"/>
    <w:rsid w:val="002E298A"/>
    <w:rsid w:val="002E2C12"/>
    <w:rsid w:val="002E42BF"/>
    <w:rsid w:val="002E46A2"/>
    <w:rsid w:val="002E6FE6"/>
    <w:rsid w:val="002E72ED"/>
    <w:rsid w:val="002F01BB"/>
    <w:rsid w:val="002F0D26"/>
    <w:rsid w:val="002F0F3F"/>
    <w:rsid w:val="002F1881"/>
    <w:rsid w:val="002F18D9"/>
    <w:rsid w:val="002F2E25"/>
    <w:rsid w:val="002F356B"/>
    <w:rsid w:val="002F43D1"/>
    <w:rsid w:val="002F486B"/>
    <w:rsid w:val="002F62F7"/>
    <w:rsid w:val="002F77DE"/>
    <w:rsid w:val="00301978"/>
    <w:rsid w:val="00301999"/>
    <w:rsid w:val="00301DEB"/>
    <w:rsid w:val="0030329B"/>
    <w:rsid w:val="0030332C"/>
    <w:rsid w:val="00303713"/>
    <w:rsid w:val="003051C2"/>
    <w:rsid w:val="00305BCD"/>
    <w:rsid w:val="00305BE6"/>
    <w:rsid w:val="00306E3F"/>
    <w:rsid w:val="00306F5A"/>
    <w:rsid w:val="00307562"/>
    <w:rsid w:val="003079EC"/>
    <w:rsid w:val="00307AB7"/>
    <w:rsid w:val="00310A17"/>
    <w:rsid w:val="00310EA9"/>
    <w:rsid w:val="003111B8"/>
    <w:rsid w:val="00312296"/>
    <w:rsid w:val="00314F0E"/>
    <w:rsid w:val="003155BE"/>
    <w:rsid w:val="00316874"/>
    <w:rsid w:val="00316BFE"/>
    <w:rsid w:val="00316EAA"/>
    <w:rsid w:val="0031731E"/>
    <w:rsid w:val="003206F2"/>
    <w:rsid w:val="00321D8E"/>
    <w:rsid w:val="00322A36"/>
    <w:rsid w:val="00323B9A"/>
    <w:rsid w:val="00325928"/>
    <w:rsid w:val="0032713D"/>
    <w:rsid w:val="0032724D"/>
    <w:rsid w:val="00327F54"/>
    <w:rsid w:val="003312BE"/>
    <w:rsid w:val="003317ED"/>
    <w:rsid w:val="00331C09"/>
    <w:rsid w:val="00332863"/>
    <w:rsid w:val="00332FDF"/>
    <w:rsid w:val="00333367"/>
    <w:rsid w:val="00334405"/>
    <w:rsid w:val="003349B9"/>
    <w:rsid w:val="00334AA8"/>
    <w:rsid w:val="00334AE7"/>
    <w:rsid w:val="00334D11"/>
    <w:rsid w:val="0033557E"/>
    <w:rsid w:val="0033684D"/>
    <w:rsid w:val="00336DC2"/>
    <w:rsid w:val="00337754"/>
    <w:rsid w:val="00337B42"/>
    <w:rsid w:val="0034032A"/>
    <w:rsid w:val="00341A3C"/>
    <w:rsid w:val="00341B42"/>
    <w:rsid w:val="00342B35"/>
    <w:rsid w:val="0034348F"/>
    <w:rsid w:val="00343F68"/>
    <w:rsid w:val="003440EE"/>
    <w:rsid w:val="003467DD"/>
    <w:rsid w:val="00346F7A"/>
    <w:rsid w:val="00350E8A"/>
    <w:rsid w:val="003517FC"/>
    <w:rsid w:val="00352E2D"/>
    <w:rsid w:val="003537A9"/>
    <w:rsid w:val="00353EA4"/>
    <w:rsid w:val="003549E9"/>
    <w:rsid w:val="003555A0"/>
    <w:rsid w:val="00355DB4"/>
    <w:rsid w:val="00356653"/>
    <w:rsid w:val="00356C48"/>
    <w:rsid w:val="00356E42"/>
    <w:rsid w:val="0035743F"/>
    <w:rsid w:val="00357BE2"/>
    <w:rsid w:val="00361688"/>
    <w:rsid w:val="0036170C"/>
    <w:rsid w:val="00363FF9"/>
    <w:rsid w:val="00365482"/>
    <w:rsid w:val="003662F8"/>
    <w:rsid w:val="00366E0F"/>
    <w:rsid w:val="003675D6"/>
    <w:rsid w:val="00372F73"/>
    <w:rsid w:val="0037304C"/>
    <w:rsid w:val="00374D0E"/>
    <w:rsid w:val="00375110"/>
    <w:rsid w:val="003753D7"/>
    <w:rsid w:val="00375A69"/>
    <w:rsid w:val="00375D27"/>
    <w:rsid w:val="00380C1D"/>
    <w:rsid w:val="00381A72"/>
    <w:rsid w:val="00381CE0"/>
    <w:rsid w:val="003833C5"/>
    <w:rsid w:val="00383760"/>
    <w:rsid w:val="00383BA4"/>
    <w:rsid w:val="00384676"/>
    <w:rsid w:val="00384CDF"/>
    <w:rsid w:val="00384E37"/>
    <w:rsid w:val="0038500C"/>
    <w:rsid w:val="0038619D"/>
    <w:rsid w:val="003869F8"/>
    <w:rsid w:val="00387D6C"/>
    <w:rsid w:val="00390857"/>
    <w:rsid w:val="00392BBA"/>
    <w:rsid w:val="00393777"/>
    <w:rsid w:val="003943C6"/>
    <w:rsid w:val="003960F5"/>
    <w:rsid w:val="0039676D"/>
    <w:rsid w:val="003A0113"/>
    <w:rsid w:val="003A2BEA"/>
    <w:rsid w:val="003A2D2D"/>
    <w:rsid w:val="003A2E1D"/>
    <w:rsid w:val="003A3A19"/>
    <w:rsid w:val="003A4BF3"/>
    <w:rsid w:val="003A744E"/>
    <w:rsid w:val="003A7DAF"/>
    <w:rsid w:val="003B1011"/>
    <w:rsid w:val="003B14F8"/>
    <w:rsid w:val="003B292D"/>
    <w:rsid w:val="003B3922"/>
    <w:rsid w:val="003B420D"/>
    <w:rsid w:val="003B494D"/>
    <w:rsid w:val="003B56A3"/>
    <w:rsid w:val="003B5873"/>
    <w:rsid w:val="003B7795"/>
    <w:rsid w:val="003C28DE"/>
    <w:rsid w:val="003C3CB9"/>
    <w:rsid w:val="003C40D9"/>
    <w:rsid w:val="003C6C16"/>
    <w:rsid w:val="003C7465"/>
    <w:rsid w:val="003D0722"/>
    <w:rsid w:val="003D2AB6"/>
    <w:rsid w:val="003D3C5B"/>
    <w:rsid w:val="003D4503"/>
    <w:rsid w:val="003D4C0B"/>
    <w:rsid w:val="003D6278"/>
    <w:rsid w:val="003D656F"/>
    <w:rsid w:val="003D707E"/>
    <w:rsid w:val="003D7088"/>
    <w:rsid w:val="003D794D"/>
    <w:rsid w:val="003E1620"/>
    <w:rsid w:val="003E2BAF"/>
    <w:rsid w:val="003E3058"/>
    <w:rsid w:val="003E5045"/>
    <w:rsid w:val="003E57C2"/>
    <w:rsid w:val="003E66F7"/>
    <w:rsid w:val="003E76A9"/>
    <w:rsid w:val="003E7D26"/>
    <w:rsid w:val="003F0809"/>
    <w:rsid w:val="003F1EED"/>
    <w:rsid w:val="003F2955"/>
    <w:rsid w:val="003F6A8C"/>
    <w:rsid w:val="003F755C"/>
    <w:rsid w:val="003F7BF7"/>
    <w:rsid w:val="003F7C32"/>
    <w:rsid w:val="004009A1"/>
    <w:rsid w:val="00400A82"/>
    <w:rsid w:val="00400C27"/>
    <w:rsid w:val="004011A2"/>
    <w:rsid w:val="00402D4F"/>
    <w:rsid w:val="0040404E"/>
    <w:rsid w:val="00404536"/>
    <w:rsid w:val="00404651"/>
    <w:rsid w:val="0040632C"/>
    <w:rsid w:val="00406F01"/>
    <w:rsid w:val="004076B9"/>
    <w:rsid w:val="00411FD5"/>
    <w:rsid w:val="004123A0"/>
    <w:rsid w:val="00412731"/>
    <w:rsid w:val="00412F6C"/>
    <w:rsid w:val="00413109"/>
    <w:rsid w:val="0041478C"/>
    <w:rsid w:val="00414CFD"/>
    <w:rsid w:val="00416D50"/>
    <w:rsid w:val="00416FD5"/>
    <w:rsid w:val="00417375"/>
    <w:rsid w:val="00417772"/>
    <w:rsid w:val="004209D7"/>
    <w:rsid w:val="00420E6A"/>
    <w:rsid w:val="004218A0"/>
    <w:rsid w:val="004238E8"/>
    <w:rsid w:val="00423E88"/>
    <w:rsid w:val="00424014"/>
    <w:rsid w:val="00424E6E"/>
    <w:rsid w:val="00425520"/>
    <w:rsid w:val="00425A9E"/>
    <w:rsid w:val="00426D6B"/>
    <w:rsid w:val="00427803"/>
    <w:rsid w:val="00431E6C"/>
    <w:rsid w:val="00432D85"/>
    <w:rsid w:val="00433742"/>
    <w:rsid w:val="00433CE7"/>
    <w:rsid w:val="00434076"/>
    <w:rsid w:val="00434190"/>
    <w:rsid w:val="0043467E"/>
    <w:rsid w:val="00434695"/>
    <w:rsid w:val="0044195F"/>
    <w:rsid w:val="00442CCE"/>
    <w:rsid w:val="004440F1"/>
    <w:rsid w:val="0044681A"/>
    <w:rsid w:val="00446E88"/>
    <w:rsid w:val="00446FDD"/>
    <w:rsid w:val="0044701B"/>
    <w:rsid w:val="00451186"/>
    <w:rsid w:val="00452738"/>
    <w:rsid w:val="00452796"/>
    <w:rsid w:val="0045293E"/>
    <w:rsid w:val="0045295D"/>
    <w:rsid w:val="004529C9"/>
    <w:rsid w:val="00454329"/>
    <w:rsid w:val="00454A48"/>
    <w:rsid w:val="004557E0"/>
    <w:rsid w:val="00456091"/>
    <w:rsid w:val="00456614"/>
    <w:rsid w:val="00456E10"/>
    <w:rsid w:val="004603C7"/>
    <w:rsid w:val="00460A0C"/>
    <w:rsid w:val="00461CB7"/>
    <w:rsid w:val="0046393C"/>
    <w:rsid w:val="0046417F"/>
    <w:rsid w:val="0046484E"/>
    <w:rsid w:val="0046503F"/>
    <w:rsid w:val="0046548E"/>
    <w:rsid w:val="00465CB8"/>
    <w:rsid w:val="00466321"/>
    <w:rsid w:val="00471241"/>
    <w:rsid w:val="00471DE8"/>
    <w:rsid w:val="00472595"/>
    <w:rsid w:val="00477A28"/>
    <w:rsid w:val="004809B4"/>
    <w:rsid w:val="00481B6A"/>
    <w:rsid w:val="0048345F"/>
    <w:rsid w:val="004834FA"/>
    <w:rsid w:val="00484B9B"/>
    <w:rsid w:val="004855F6"/>
    <w:rsid w:val="0048661E"/>
    <w:rsid w:val="00486B74"/>
    <w:rsid w:val="00486F36"/>
    <w:rsid w:val="00487897"/>
    <w:rsid w:val="004921AB"/>
    <w:rsid w:val="00493985"/>
    <w:rsid w:val="00493DE5"/>
    <w:rsid w:val="00493FB0"/>
    <w:rsid w:val="004942E6"/>
    <w:rsid w:val="00494670"/>
    <w:rsid w:val="00494B49"/>
    <w:rsid w:val="00495F0B"/>
    <w:rsid w:val="004A0309"/>
    <w:rsid w:val="004A0A07"/>
    <w:rsid w:val="004A107B"/>
    <w:rsid w:val="004A188A"/>
    <w:rsid w:val="004A1A2A"/>
    <w:rsid w:val="004A3386"/>
    <w:rsid w:val="004A3823"/>
    <w:rsid w:val="004A476F"/>
    <w:rsid w:val="004A4C46"/>
    <w:rsid w:val="004A4EFF"/>
    <w:rsid w:val="004A6A03"/>
    <w:rsid w:val="004B081C"/>
    <w:rsid w:val="004B0F4C"/>
    <w:rsid w:val="004B1279"/>
    <w:rsid w:val="004B213B"/>
    <w:rsid w:val="004B257B"/>
    <w:rsid w:val="004B2792"/>
    <w:rsid w:val="004B5A63"/>
    <w:rsid w:val="004B6EA6"/>
    <w:rsid w:val="004B7253"/>
    <w:rsid w:val="004C0AFA"/>
    <w:rsid w:val="004C0C26"/>
    <w:rsid w:val="004C3D33"/>
    <w:rsid w:val="004C5CC2"/>
    <w:rsid w:val="004C6F16"/>
    <w:rsid w:val="004C7A0B"/>
    <w:rsid w:val="004D1A42"/>
    <w:rsid w:val="004D1AEE"/>
    <w:rsid w:val="004D1FD0"/>
    <w:rsid w:val="004D275E"/>
    <w:rsid w:val="004D2F12"/>
    <w:rsid w:val="004D523C"/>
    <w:rsid w:val="004D75F1"/>
    <w:rsid w:val="004E054E"/>
    <w:rsid w:val="004E07B2"/>
    <w:rsid w:val="004E0E5F"/>
    <w:rsid w:val="004E1A5C"/>
    <w:rsid w:val="004E2281"/>
    <w:rsid w:val="004E2CDA"/>
    <w:rsid w:val="004E4B7D"/>
    <w:rsid w:val="004E58D6"/>
    <w:rsid w:val="004E65DB"/>
    <w:rsid w:val="004E668C"/>
    <w:rsid w:val="004E6897"/>
    <w:rsid w:val="004E6946"/>
    <w:rsid w:val="004E69E4"/>
    <w:rsid w:val="004E6A0F"/>
    <w:rsid w:val="004E70C4"/>
    <w:rsid w:val="004F1AD8"/>
    <w:rsid w:val="004F2575"/>
    <w:rsid w:val="004F26CF"/>
    <w:rsid w:val="004F297A"/>
    <w:rsid w:val="004F331C"/>
    <w:rsid w:val="004F37AD"/>
    <w:rsid w:val="004F4F09"/>
    <w:rsid w:val="004F50E8"/>
    <w:rsid w:val="004F69ED"/>
    <w:rsid w:val="00501DA0"/>
    <w:rsid w:val="005039CB"/>
    <w:rsid w:val="00503BD1"/>
    <w:rsid w:val="00504EDC"/>
    <w:rsid w:val="0050558F"/>
    <w:rsid w:val="00506286"/>
    <w:rsid w:val="00507200"/>
    <w:rsid w:val="00507B3F"/>
    <w:rsid w:val="00507D8D"/>
    <w:rsid w:val="00510813"/>
    <w:rsid w:val="00510B86"/>
    <w:rsid w:val="005110A3"/>
    <w:rsid w:val="00511990"/>
    <w:rsid w:val="00511DE0"/>
    <w:rsid w:val="005121E0"/>
    <w:rsid w:val="005139D3"/>
    <w:rsid w:val="005145B4"/>
    <w:rsid w:val="00514870"/>
    <w:rsid w:val="00514B9B"/>
    <w:rsid w:val="00517F02"/>
    <w:rsid w:val="00517F73"/>
    <w:rsid w:val="00520215"/>
    <w:rsid w:val="005221C2"/>
    <w:rsid w:val="00523BBF"/>
    <w:rsid w:val="00524303"/>
    <w:rsid w:val="005258A2"/>
    <w:rsid w:val="005275D3"/>
    <w:rsid w:val="00527DCB"/>
    <w:rsid w:val="00527F1E"/>
    <w:rsid w:val="00533868"/>
    <w:rsid w:val="00534907"/>
    <w:rsid w:val="00534917"/>
    <w:rsid w:val="00534E8F"/>
    <w:rsid w:val="00536B26"/>
    <w:rsid w:val="00537EF3"/>
    <w:rsid w:val="005401AE"/>
    <w:rsid w:val="00542BC5"/>
    <w:rsid w:val="00542E07"/>
    <w:rsid w:val="00544194"/>
    <w:rsid w:val="005451DD"/>
    <w:rsid w:val="00545424"/>
    <w:rsid w:val="00545B5F"/>
    <w:rsid w:val="005464A0"/>
    <w:rsid w:val="0054683C"/>
    <w:rsid w:val="00546E4F"/>
    <w:rsid w:val="00547B8F"/>
    <w:rsid w:val="005503EA"/>
    <w:rsid w:val="00550841"/>
    <w:rsid w:val="00551224"/>
    <w:rsid w:val="00554A4F"/>
    <w:rsid w:val="00554A7B"/>
    <w:rsid w:val="00554EDF"/>
    <w:rsid w:val="0055572C"/>
    <w:rsid w:val="0056106A"/>
    <w:rsid w:val="005636AA"/>
    <w:rsid w:val="00564203"/>
    <w:rsid w:val="005647FA"/>
    <w:rsid w:val="00564A6C"/>
    <w:rsid w:val="005657F0"/>
    <w:rsid w:val="0056592E"/>
    <w:rsid w:val="00567064"/>
    <w:rsid w:val="00567AA7"/>
    <w:rsid w:val="00571A78"/>
    <w:rsid w:val="005720AE"/>
    <w:rsid w:val="005735E2"/>
    <w:rsid w:val="00573CA6"/>
    <w:rsid w:val="00573CBE"/>
    <w:rsid w:val="005745D2"/>
    <w:rsid w:val="005756C5"/>
    <w:rsid w:val="005758A8"/>
    <w:rsid w:val="00576298"/>
    <w:rsid w:val="00576C6F"/>
    <w:rsid w:val="00577517"/>
    <w:rsid w:val="00577973"/>
    <w:rsid w:val="00577A6E"/>
    <w:rsid w:val="00583099"/>
    <w:rsid w:val="005838C0"/>
    <w:rsid w:val="0058559A"/>
    <w:rsid w:val="00585693"/>
    <w:rsid w:val="00586048"/>
    <w:rsid w:val="00586AA8"/>
    <w:rsid w:val="00587E05"/>
    <w:rsid w:val="00590692"/>
    <w:rsid w:val="005930BF"/>
    <w:rsid w:val="00594D77"/>
    <w:rsid w:val="00595735"/>
    <w:rsid w:val="00595FBF"/>
    <w:rsid w:val="005969E4"/>
    <w:rsid w:val="00597129"/>
    <w:rsid w:val="005A0223"/>
    <w:rsid w:val="005A04CF"/>
    <w:rsid w:val="005A06B7"/>
    <w:rsid w:val="005A161F"/>
    <w:rsid w:val="005A1759"/>
    <w:rsid w:val="005A2860"/>
    <w:rsid w:val="005A43A4"/>
    <w:rsid w:val="005A4549"/>
    <w:rsid w:val="005A4BB7"/>
    <w:rsid w:val="005A68A7"/>
    <w:rsid w:val="005A759C"/>
    <w:rsid w:val="005A79FC"/>
    <w:rsid w:val="005A7D5D"/>
    <w:rsid w:val="005A7DF8"/>
    <w:rsid w:val="005B1BA0"/>
    <w:rsid w:val="005B261D"/>
    <w:rsid w:val="005B3F39"/>
    <w:rsid w:val="005B792A"/>
    <w:rsid w:val="005C27CA"/>
    <w:rsid w:val="005C37A3"/>
    <w:rsid w:val="005C3E4A"/>
    <w:rsid w:val="005C4C78"/>
    <w:rsid w:val="005C61EE"/>
    <w:rsid w:val="005C626E"/>
    <w:rsid w:val="005D11E8"/>
    <w:rsid w:val="005D12E2"/>
    <w:rsid w:val="005D1301"/>
    <w:rsid w:val="005D1BAA"/>
    <w:rsid w:val="005D3138"/>
    <w:rsid w:val="005D36AB"/>
    <w:rsid w:val="005D3BD9"/>
    <w:rsid w:val="005D3EA1"/>
    <w:rsid w:val="005D444C"/>
    <w:rsid w:val="005D4E46"/>
    <w:rsid w:val="005E03BD"/>
    <w:rsid w:val="005E2FCE"/>
    <w:rsid w:val="005E3439"/>
    <w:rsid w:val="005E61C4"/>
    <w:rsid w:val="005E67D2"/>
    <w:rsid w:val="005F026B"/>
    <w:rsid w:val="005F099F"/>
    <w:rsid w:val="005F1020"/>
    <w:rsid w:val="005F20E8"/>
    <w:rsid w:val="005F2A16"/>
    <w:rsid w:val="005F3D9E"/>
    <w:rsid w:val="005F433A"/>
    <w:rsid w:val="005F592D"/>
    <w:rsid w:val="005F5C12"/>
    <w:rsid w:val="005F6011"/>
    <w:rsid w:val="005F6209"/>
    <w:rsid w:val="005F657B"/>
    <w:rsid w:val="005F771E"/>
    <w:rsid w:val="005F7E94"/>
    <w:rsid w:val="006007D9"/>
    <w:rsid w:val="00602224"/>
    <w:rsid w:val="00602A4C"/>
    <w:rsid w:val="00604974"/>
    <w:rsid w:val="00604E99"/>
    <w:rsid w:val="00606F26"/>
    <w:rsid w:val="00607E40"/>
    <w:rsid w:val="00610DD1"/>
    <w:rsid w:val="00610E71"/>
    <w:rsid w:val="00611841"/>
    <w:rsid w:val="0061355B"/>
    <w:rsid w:val="00613DD6"/>
    <w:rsid w:val="00615A0B"/>
    <w:rsid w:val="0061654A"/>
    <w:rsid w:val="00616FA0"/>
    <w:rsid w:val="006176F1"/>
    <w:rsid w:val="00617AC3"/>
    <w:rsid w:val="00617CC3"/>
    <w:rsid w:val="00617FC8"/>
    <w:rsid w:val="00620B7E"/>
    <w:rsid w:val="00622EE8"/>
    <w:rsid w:val="0062631C"/>
    <w:rsid w:val="0062645C"/>
    <w:rsid w:val="0062660E"/>
    <w:rsid w:val="00627A3E"/>
    <w:rsid w:val="00627BB5"/>
    <w:rsid w:val="0063034B"/>
    <w:rsid w:val="00630514"/>
    <w:rsid w:val="00630F8E"/>
    <w:rsid w:val="006313C6"/>
    <w:rsid w:val="00633AC5"/>
    <w:rsid w:val="00634A71"/>
    <w:rsid w:val="00634BF1"/>
    <w:rsid w:val="00636BE8"/>
    <w:rsid w:val="006377A6"/>
    <w:rsid w:val="00637A3D"/>
    <w:rsid w:val="00637DBA"/>
    <w:rsid w:val="006411EF"/>
    <w:rsid w:val="006413FA"/>
    <w:rsid w:val="00642161"/>
    <w:rsid w:val="00643BFB"/>
    <w:rsid w:val="00644917"/>
    <w:rsid w:val="00644F38"/>
    <w:rsid w:val="00647476"/>
    <w:rsid w:val="00651B1F"/>
    <w:rsid w:val="00652B8C"/>
    <w:rsid w:val="00652D46"/>
    <w:rsid w:val="006537F3"/>
    <w:rsid w:val="00654462"/>
    <w:rsid w:val="00654E06"/>
    <w:rsid w:val="00655E05"/>
    <w:rsid w:val="006577CD"/>
    <w:rsid w:val="00660DB2"/>
    <w:rsid w:val="006630C4"/>
    <w:rsid w:val="00663160"/>
    <w:rsid w:val="00667D75"/>
    <w:rsid w:val="006730B5"/>
    <w:rsid w:val="006734AE"/>
    <w:rsid w:val="00673650"/>
    <w:rsid w:val="00673E46"/>
    <w:rsid w:val="006748B8"/>
    <w:rsid w:val="0067545D"/>
    <w:rsid w:val="0067602D"/>
    <w:rsid w:val="00676A96"/>
    <w:rsid w:val="00676DC3"/>
    <w:rsid w:val="006775C3"/>
    <w:rsid w:val="00682722"/>
    <w:rsid w:val="00682EAD"/>
    <w:rsid w:val="006833DF"/>
    <w:rsid w:val="00684418"/>
    <w:rsid w:val="00684762"/>
    <w:rsid w:val="00684793"/>
    <w:rsid w:val="0068541D"/>
    <w:rsid w:val="006859C7"/>
    <w:rsid w:val="00686AA9"/>
    <w:rsid w:val="00687FD6"/>
    <w:rsid w:val="0069095B"/>
    <w:rsid w:val="0069097F"/>
    <w:rsid w:val="00690ABA"/>
    <w:rsid w:val="00692243"/>
    <w:rsid w:val="0069255E"/>
    <w:rsid w:val="00692852"/>
    <w:rsid w:val="0069290A"/>
    <w:rsid w:val="0069328C"/>
    <w:rsid w:val="00694F90"/>
    <w:rsid w:val="00695FBA"/>
    <w:rsid w:val="006965E4"/>
    <w:rsid w:val="006965EA"/>
    <w:rsid w:val="00697207"/>
    <w:rsid w:val="006974BE"/>
    <w:rsid w:val="0069775A"/>
    <w:rsid w:val="00697813"/>
    <w:rsid w:val="006A0918"/>
    <w:rsid w:val="006A0A65"/>
    <w:rsid w:val="006A190E"/>
    <w:rsid w:val="006A35DE"/>
    <w:rsid w:val="006A3EE8"/>
    <w:rsid w:val="006A4B1D"/>
    <w:rsid w:val="006A4C8A"/>
    <w:rsid w:val="006A5EE2"/>
    <w:rsid w:val="006A6477"/>
    <w:rsid w:val="006A72BF"/>
    <w:rsid w:val="006A72FB"/>
    <w:rsid w:val="006B03F2"/>
    <w:rsid w:val="006B3212"/>
    <w:rsid w:val="006B37DC"/>
    <w:rsid w:val="006B48D9"/>
    <w:rsid w:val="006B4A55"/>
    <w:rsid w:val="006B4F68"/>
    <w:rsid w:val="006B5851"/>
    <w:rsid w:val="006B6420"/>
    <w:rsid w:val="006C0592"/>
    <w:rsid w:val="006C0CEA"/>
    <w:rsid w:val="006C1F8C"/>
    <w:rsid w:val="006C22DB"/>
    <w:rsid w:val="006C272E"/>
    <w:rsid w:val="006C366D"/>
    <w:rsid w:val="006C5479"/>
    <w:rsid w:val="006C67F0"/>
    <w:rsid w:val="006C6EC1"/>
    <w:rsid w:val="006C7093"/>
    <w:rsid w:val="006D0A9A"/>
    <w:rsid w:val="006D11DE"/>
    <w:rsid w:val="006D13B5"/>
    <w:rsid w:val="006D2CA5"/>
    <w:rsid w:val="006D36C7"/>
    <w:rsid w:val="006D4C3E"/>
    <w:rsid w:val="006D5054"/>
    <w:rsid w:val="006D533B"/>
    <w:rsid w:val="006D550E"/>
    <w:rsid w:val="006D5A86"/>
    <w:rsid w:val="006D7597"/>
    <w:rsid w:val="006D7C61"/>
    <w:rsid w:val="006E02D9"/>
    <w:rsid w:val="006E0E10"/>
    <w:rsid w:val="006E12FF"/>
    <w:rsid w:val="006E1640"/>
    <w:rsid w:val="006E1E82"/>
    <w:rsid w:val="006E1F38"/>
    <w:rsid w:val="006E24F8"/>
    <w:rsid w:val="006E31CE"/>
    <w:rsid w:val="006E322F"/>
    <w:rsid w:val="006E3241"/>
    <w:rsid w:val="006E3E30"/>
    <w:rsid w:val="006E579F"/>
    <w:rsid w:val="006E58D2"/>
    <w:rsid w:val="006E5C03"/>
    <w:rsid w:val="006E607E"/>
    <w:rsid w:val="006E6703"/>
    <w:rsid w:val="006F0782"/>
    <w:rsid w:val="006F2230"/>
    <w:rsid w:val="006F2A46"/>
    <w:rsid w:val="006F39D4"/>
    <w:rsid w:val="006F59CB"/>
    <w:rsid w:val="006F6842"/>
    <w:rsid w:val="006F71FD"/>
    <w:rsid w:val="006F7AFE"/>
    <w:rsid w:val="00701DDB"/>
    <w:rsid w:val="0070229B"/>
    <w:rsid w:val="00702ACE"/>
    <w:rsid w:val="00702C60"/>
    <w:rsid w:val="00704A16"/>
    <w:rsid w:val="00704C4C"/>
    <w:rsid w:val="00706C5D"/>
    <w:rsid w:val="0070746A"/>
    <w:rsid w:val="00710656"/>
    <w:rsid w:val="00710B33"/>
    <w:rsid w:val="007122A7"/>
    <w:rsid w:val="00712D5B"/>
    <w:rsid w:val="00713AD4"/>
    <w:rsid w:val="00713E0A"/>
    <w:rsid w:val="007144A1"/>
    <w:rsid w:val="0071714D"/>
    <w:rsid w:val="00717466"/>
    <w:rsid w:val="007176BB"/>
    <w:rsid w:val="00720E85"/>
    <w:rsid w:val="00720EBF"/>
    <w:rsid w:val="00720EE6"/>
    <w:rsid w:val="00724B83"/>
    <w:rsid w:val="00726350"/>
    <w:rsid w:val="007271E0"/>
    <w:rsid w:val="00727636"/>
    <w:rsid w:val="00730DEB"/>
    <w:rsid w:val="0073148D"/>
    <w:rsid w:val="0073229F"/>
    <w:rsid w:val="00732922"/>
    <w:rsid w:val="00732B2E"/>
    <w:rsid w:val="00733520"/>
    <w:rsid w:val="007342BE"/>
    <w:rsid w:val="00735F43"/>
    <w:rsid w:val="00736586"/>
    <w:rsid w:val="0073715C"/>
    <w:rsid w:val="007371B0"/>
    <w:rsid w:val="00737E66"/>
    <w:rsid w:val="007410B3"/>
    <w:rsid w:val="0074176D"/>
    <w:rsid w:val="007432CC"/>
    <w:rsid w:val="00743CDE"/>
    <w:rsid w:val="00743DAF"/>
    <w:rsid w:val="0074408A"/>
    <w:rsid w:val="0074425A"/>
    <w:rsid w:val="00744623"/>
    <w:rsid w:val="00744964"/>
    <w:rsid w:val="00744F6F"/>
    <w:rsid w:val="00747266"/>
    <w:rsid w:val="0075087C"/>
    <w:rsid w:val="00751022"/>
    <w:rsid w:val="0075130B"/>
    <w:rsid w:val="0075162E"/>
    <w:rsid w:val="007527F3"/>
    <w:rsid w:val="00753CD6"/>
    <w:rsid w:val="00754034"/>
    <w:rsid w:val="00754D4C"/>
    <w:rsid w:val="00756556"/>
    <w:rsid w:val="007571F0"/>
    <w:rsid w:val="007573B1"/>
    <w:rsid w:val="00757B49"/>
    <w:rsid w:val="00760CE2"/>
    <w:rsid w:val="007618C4"/>
    <w:rsid w:val="00761960"/>
    <w:rsid w:val="007641A0"/>
    <w:rsid w:val="007641B9"/>
    <w:rsid w:val="00765A56"/>
    <w:rsid w:val="00767980"/>
    <w:rsid w:val="0077052E"/>
    <w:rsid w:val="00770A9B"/>
    <w:rsid w:val="00770B19"/>
    <w:rsid w:val="00770B50"/>
    <w:rsid w:val="00771BAF"/>
    <w:rsid w:val="0077270E"/>
    <w:rsid w:val="00772771"/>
    <w:rsid w:val="00772EF9"/>
    <w:rsid w:val="0077463F"/>
    <w:rsid w:val="00774E29"/>
    <w:rsid w:val="00775C96"/>
    <w:rsid w:val="0077757E"/>
    <w:rsid w:val="007821E4"/>
    <w:rsid w:val="007836EA"/>
    <w:rsid w:val="00784357"/>
    <w:rsid w:val="00784CDA"/>
    <w:rsid w:val="00785A62"/>
    <w:rsid w:val="00785C2A"/>
    <w:rsid w:val="0078654C"/>
    <w:rsid w:val="007875CB"/>
    <w:rsid w:val="00787E10"/>
    <w:rsid w:val="007906C4"/>
    <w:rsid w:val="00791845"/>
    <w:rsid w:val="0079309D"/>
    <w:rsid w:val="007940EA"/>
    <w:rsid w:val="00796036"/>
    <w:rsid w:val="0079613F"/>
    <w:rsid w:val="007967E8"/>
    <w:rsid w:val="00797109"/>
    <w:rsid w:val="00797915"/>
    <w:rsid w:val="00797B06"/>
    <w:rsid w:val="007A1C42"/>
    <w:rsid w:val="007A1F19"/>
    <w:rsid w:val="007A2170"/>
    <w:rsid w:val="007A22BF"/>
    <w:rsid w:val="007A2474"/>
    <w:rsid w:val="007A2CD1"/>
    <w:rsid w:val="007A3323"/>
    <w:rsid w:val="007A34A0"/>
    <w:rsid w:val="007A41F3"/>
    <w:rsid w:val="007A43E9"/>
    <w:rsid w:val="007A5051"/>
    <w:rsid w:val="007B0904"/>
    <w:rsid w:val="007B0DB9"/>
    <w:rsid w:val="007B17D1"/>
    <w:rsid w:val="007B1877"/>
    <w:rsid w:val="007B38DE"/>
    <w:rsid w:val="007B3A33"/>
    <w:rsid w:val="007B492A"/>
    <w:rsid w:val="007B5293"/>
    <w:rsid w:val="007B5C59"/>
    <w:rsid w:val="007B5E58"/>
    <w:rsid w:val="007B5FB3"/>
    <w:rsid w:val="007B6219"/>
    <w:rsid w:val="007B72B8"/>
    <w:rsid w:val="007B736E"/>
    <w:rsid w:val="007B7A58"/>
    <w:rsid w:val="007C124A"/>
    <w:rsid w:val="007C138F"/>
    <w:rsid w:val="007C21B5"/>
    <w:rsid w:val="007C3F10"/>
    <w:rsid w:val="007C5550"/>
    <w:rsid w:val="007C6200"/>
    <w:rsid w:val="007C6A17"/>
    <w:rsid w:val="007C6C67"/>
    <w:rsid w:val="007D116B"/>
    <w:rsid w:val="007D23E2"/>
    <w:rsid w:val="007D3AA5"/>
    <w:rsid w:val="007D40B2"/>
    <w:rsid w:val="007D5919"/>
    <w:rsid w:val="007D6089"/>
    <w:rsid w:val="007D6E59"/>
    <w:rsid w:val="007D75B2"/>
    <w:rsid w:val="007D76FD"/>
    <w:rsid w:val="007E11DD"/>
    <w:rsid w:val="007E223C"/>
    <w:rsid w:val="007E2314"/>
    <w:rsid w:val="007E3180"/>
    <w:rsid w:val="007E3671"/>
    <w:rsid w:val="007E42A4"/>
    <w:rsid w:val="007E49DF"/>
    <w:rsid w:val="007E4BD2"/>
    <w:rsid w:val="007E599A"/>
    <w:rsid w:val="007E5DED"/>
    <w:rsid w:val="007E605E"/>
    <w:rsid w:val="007E68F5"/>
    <w:rsid w:val="007E69B0"/>
    <w:rsid w:val="007F0259"/>
    <w:rsid w:val="007F1954"/>
    <w:rsid w:val="007F1CA7"/>
    <w:rsid w:val="007F2621"/>
    <w:rsid w:val="007F3567"/>
    <w:rsid w:val="007F363B"/>
    <w:rsid w:val="007F4DFD"/>
    <w:rsid w:val="007F5A1B"/>
    <w:rsid w:val="007F77C5"/>
    <w:rsid w:val="008008AF"/>
    <w:rsid w:val="00801393"/>
    <w:rsid w:val="00802F88"/>
    <w:rsid w:val="00804B82"/>
    <w:rsid w:val="00804D54"/>
    <w:rsid w:val="008056BA"/>
    <w:rsid w:val="00806FA1"/>
    <w:rsid w:val="00807B2E"/>
    <w:rsid w:val="00810E22"/>
    <w:rsid w:val="0081237A"/>
    <w:rsid w:val="0081293E"/>
    <w:rsid w:val="008132AC"/>
    <w:rsid w:val="00813C58"/>
    <w:rsid w:val="00815465"/>
    <w:rsid w:val="00816543"/>
    <w:rsid w:val="00817678"/>
    <w:rsid w:val="008178E7"/>
    <w:rsid w:val="00817C2D"/>
    <w:rsid w:val="00817E9A"/>
    <w:rsid w:val="008207B6"/>
    <w:rsid w:val="00820B9A"/>
    <w:rsid w:val="00822170"/>
    <w:rsid w:val="008234A0"/>
    <w:rsid w:val="00823508"/>
    <w:rsid w:val="00823617"/>
    <w:rsid w:val="0082454F"/>
    <w:rsid w:val="00824FC8"/>
    <w:rsid w:val="00826019"/>
    <w:rsid w:val="0082648C"/>
    <w:rsid w:val="00826E17"/>
    <w:rsid w:val="00827513"/>
    <w:rsid w:val="00830220"/>
    <w:rsid w:val="008306BD"/>
    <w:rsid w:val="008307E2"/>
    <w:rsid w:val="00830C31"/>
    <w:rsid w:val="00831A80"/>
    <w:rsid w:val="00833743"/>
    <w:rsid w:val="0083391E"/>
    <w:rsid w:val="008340A4"/>
    <w:rsid w:val="00834B74"/>
    <w:rsid w:val="00834EC1"/>
    <w:rsid w:val="00835296"/>
    <w:rsid w:val="00835400"/>
    <w:rsid w:val="0083577C"/>
    <w:rsid w:val="00835F3D"/>
    <w:rsid w:val="00836151"/>
    <w:rsid w:val="00837AAE"/>
    <w:rsid w:val="0084020B"/>
    <w:rsid w:val="008410A0"/>
    <w:rsid w:val="00841926"/>
    <w:rsid w:val="008425D9"/>
    <w:rsid w:val="008435B3"/>
    <w:rsid w:val="00843A3A"/>
    <w:rsid w:val="00843C9E"/>
    <w:rsid w:val="00845197"/>
    <w:rsid w:val="00845AF0"/>
    <w:rsid w:val="008460C0"/>
    <w:rsid w:val="00846842"/>
    <w:rsid w:val="00847079"/>
    <w:rsid w:val="00847B51"/>
    <w:rsid w:val="00851CDD"/>
    <w:rsid w:val="00851F7A"/>
    <w:rsid w:val="00853568"/>
    <w:rsid w:val="0085488B"/>
    <w:rsid w:val="00855833"/>
    <w:rsid w:val="008571EC"/>
    <w:rsid w:val="00857A4D"/>
    <w:rsid w:val="00857CCF"/>
    <w:rsid w:val="0086017D"/>
    <w:rsid w:val="0086332A"/>
    <w:rsid w:val="00864859"/>
    <w:rsid w:val="00865BE3"/>
    <w:rsid w:val="008666AF"/>
    <w:rsid w:val="00867A94"/>
    <w:rsid w:val="0087135F"/>
    <w:rsid w:val="00872386"/>
    <w:rsid w:val="00872A47"/>
    <w:rsid w:val="00872D94"/>
    <w:rsid w:val="00873561"/>
    <w:rsid w:val="00880364"/>
    <w:rsid w:val="00880392"/>
    <w:rsid w:val="00881316"/>
    <w:rsid w:val="00882E6A"/>
    <w:rsid w:val="008832AC"/>
    <w:rsid w:val="008834D5"/>
    <w:rsid w:val="00883B90"/>
    <w:rsid w:val="0088462C"/>
    <w:rsid w:val="00884AEE"/>
    <w:rsid w:val="00885AD3"/>
    <w:rsid w:val="00886244"/>
    <w:rsid w:val="008864A4"/>
    <w:rsid w:val="00887068"/>
    <w:rsid w:val="00891032"/>
    <w:rsid w:val="00891592"/>
    <w:rsid w:val="00891A5F"/>
    <w:rsid w:val="00891AAA"/>
    <w:rsid w:val="00891E9E"/>
    <w:rsid w:val="008921FC"/>
    <w:rsid w:val="008923AF"/>
    <w:rsid w:val="008925A3"/>
    <w:rsid w:val="0089429C"/>
    <w:rsid w:val="00896C24"/>
    <w:rsid w:val="008976EB"/>
    <w:rsid w:val="00897A71"/>
    <w:rsid w:val="008A13E3"/>
    <w:rsid w:val="008A2F68"/>
    <w:rsid w:val="008A410A"/>
    <w:rsid w:val="008A4D76"/>
    <w:rsid w:val="008A4EDA"/>
    <w:rsid w:val="008A58F0"/>
    <w:rsid w:val="008A629C"/>
    <w:rsid w:val="008A7D79"/>
    <w:rsid w:val="008B0203"/>
    <w:rsid w:val="008B0E8C"/>
    <w:rsid w:val="008B189C"/>
    <w:rsid w:val="008B2ADF"/>
    <w:rsid w:val="008B4FA6"/>
    <w:rsid w:val="008B5282"/>
    <w:rsid w:val="008B5694"/>
    <w:rsid w:val="008B657C"/>
    <w:rsid w:val="008B7C17"/>
    <w:rsid w:val="008C168C"/>
    <w:rsid w:val="008C2D01"/>
    <w:rsid w:val="008C30CD"/>
    <w:rsid w:val="008C328C"/>
    <w:rsid w:val="008C40E6"/>
    <w:rsid w:val="008C442D"/>
    <w:rsid w:val="008C4CCE"/>
    <w:rsid w:val="008C614C"/>
    <w:rsid w:val="008C722A"/>
    <w:rsid w:val="008C79C5"/>
    <w:rsid w:val="008D0774"/>
    <w:rsid w:val="008D0F7A"/>
    <w:rsid w:val="008D301F"/>
    <w:rsid w:val="008D318C"/>
    <w:rsid w:val="008D386B"/>
    <w:rsid w:val="008D3B5C"/>
    <w:rsid w:val="008D3FE3"/>
    <w:rsid w:val="008D63C4"/>
    <w:rsid w:val="008D68E4"/>
    <w:rsid w:val="008D6994"/>
    <w:rsid w:val="008D6E13"/>
    <w:rsid w:val="008E0506"/>
    <w:rsid w:val="008E0CFF"/>
    <w:rsid w:val="008E31E1"/>
    <w:rsid w:val="008E3C4B"/>
    <w:rsid w:val="008E5260"/>
    <w:rsid w:val="008E5D35"/>
    <w:rsid w:val="008E5D6B"/>
    <w:rsid w:val="008E743D"/>
    <w:rsid w:val="008E74D4"/>
    <w:rsid w:val="008E76F0"/>
    <w:rsid w:val="008F10C8"/>
    <w:rsid w:val="008F15FE"/>
    <w:rsid w:val="008F1D49"/>
    <w:rsid w:val="008F2D29"/>
    <w:rsid w:val="008F5187"/>
    <w:rsid w:val="008F549A"/>
    <w:rsid w:val="008F54F0"/>
    <w:rsid w:val="008F60D8"/>
    <w:rsid w:val="008F7F58"/>
    <w:rsid w:val="00901B42"/>
    <w:rsid w:val="00901DD9"/>
    <w:rsid w:val="00902727"/>
    <w:rsid w:val="00902823"/>
    <w:rsid w:val="0090312B"/>
    <w:rsid w:val="00907944"/>
    <w:rsid w:val="00913307"/>
    <w:rsid w:val="00914CBD"/>
    <w:rsid w:val="009170DF"/>
    <w:rsid w:val="0091736D"/>
    <w:rsid w:val="009203D2"/>
    <w:rsid w:val="00920689"/>
    <w:rsid w:val="00920BD2"/>
    <w:rsid w:val="00920F68"/>
    <w:rsid w:val="00920FBC"/>
    <w:rsid w:val="009223E7"/>
    <w:rsid w:val="0092253E"/>
    <w:rsid w:val="00922E85"/>
    <w:rsid w:val="0092524E"/>
    <w:rsid w:val="009264B2"/>
    <w:rsid w:val="00927835"/>
    <w:rsid w:val="00927C31"/>
    <w:rsid w:val="0093037A"/>
    <w:rsid w:val="009308E2"/>
    <w:rsid w:val="009309FB"/>
    <w:rsid w:val="00931BC3"/>
    <w:rsid w:val="00931E2C"/>
    <w:rsid w:val="00934E1E"/>
    <w:rsid w:val="0093612C"/>
    <w:rsid w:val="009366C6"/>
    <w:rsid w:val="00936D6A"/>
    <w:rsid w:val="0093729E"/>
    <w:rsid w:val="00937754"/>
    <w:rsid w:val="0093787A"/>
    <w:rsid w:val="00937E9E"/>
    <w:rsid w:val="00940EDA"/>
    <w:rsid w:val="00941540"/>
    <w:rsid w:val="0094154D"/>
    <w:rsid w:val="00942197"/>
    <w:rsid w:val="009455D9"/>
    <w:rsid w:val="00946B61"/>
    <w:rsid w:val="00947510"/>
    <w:rsid w:val="009475B0"/>
    <w:rsid w:val="0095155F"/>
    <w:rsid w:val="0095183C"/>
    <w:rsid w:val="00953332"/>
    <w:rsid w:val="00954429"/>
    <w:rsid w:val="009563CE"/>
    <w:rsid w:val="00957B70"/>
    <w:rsid w:val="00960791"/>
    <w:rsid w:val="00961966"/>
    <w:rsid w:val="0096299A"/>
    <w:rsid w:val="009630DC"/>
    <w:rsid w:val="00965B50"/>
    <w:rsid w:val="0096697E"/>
    <w:rsid w:val="00966B62"/>
    <w:rsid w:val="009722A8"/>
    <w:rsid w:val="009732CE"/>
    <w:rsid w:val="00973382"/>
    <w:rsid w:val="009739C2"/>
    <w:rsid w:val="00974993"/>
    <w:rsid w:val="00975D04"/>
    <w:rsid w:val="00976328"/>
    <w:rsid w:val="0097680D"/>
    <w:rsid w:val="009779CF"/>
    <w:rsid w:val="00977C26"/>
    <w:rsid w:val="009814F3"/>
    <w:rsid w:val="00982438"/>
    <w:rsid w:val="0098404C"/>
    <w:rsid w:val="009845E2"/>
    <w:rsid w:val="00984CDB"/>
    <w:rsid w:val="00985283"/>
    <w:rsid w:val="00985AE6"/>
    <w:rsid w:val="00985C07"/>
    <w:rsid w:val="009862F3"/>
    <w:rsid w:val="0098663E"/>
    <w:rsid w:val="009902FD"/>
    <w:rsid w:val="00990D73"/>
    <w:rsid w:val="009918B5"/>
    <w:rsid w:val="00992FEB"/>
    <w:rsid w:val="00993B89"/>
    <w:rsid w:val="00994626"/>
    <w:rsid w:val="009948E2"/>
    <w:rsid w:val="009951DF"/>
    <w:rsid w:val="009955A9"/>
    <w:rsid w:val="00995890"/>
    <w:rsid w:val="00995992"/>
    <w:rsid w:val="009971A2"/>
    <w:rsid w:val="00997AF2"/>
    <w:rsid w:val="00997FC4"/>
    <w:rsid w:val="009A03E5"/>
    <w:rsid w:val="009A09E1"/>
    <w:rsid w:val="009A0F3B"/>
    <w:rsid w:val="009A1BB4"/>
    <w:rsid w:val="009A1BEC"/>
    <w:rsid w:val="009A1E87"/>
    <w:rsid w:val="009A2628"/>
    <w:rsid w:val="009A2C4A"/>
    <w:rsid w:val="009A2E0F"/>
    <w:rsid w:val="009A3200"/>
    <w:rsid w:val="009A4959"/>
    <w:rsid w:val="009A4FE4"/>
    <w:rsid w:val="009A61A6"/>
    <w:rsid w:val="009A6FA5"/>
    <w:rsid w:val="009A7777"/>
    <w:rsid w:val="009B03C3"/>
    <w:rsid w:val="009B03E5"/>
    <w:rsid w:val="009B0897"/>
    <w:rsid w:val="009B0FD4"/>
    <w:rsid w:val="009B120F"/>
    <w:rsid w:val="009B1D23"/>
    <w:rsid w:val="009B216E"/>
    <w:rsid w:val="009B3204"/>
    <w:rsid w:val="009B4A73"/>
    <w:rsid w:val="009B4E35"/>
    <w:rsid w:val="009B6834"/>
    <w:rsid w:val="009B6D21"/>
    <w:rsid w:val="009B79E4"/>
    <w:rsid w:val="009B7B6D"/>
    <w:rsid w:val="009B7BD9"/>
    <w:rsid w:val="009B7ED6"/>
    <w:rsid w:val="009C0AD4"/>
    <w:rsid w:val="009C6528"/>
    <w:rsid w:val="009C7DD5"/>
    <w:rsid w:val="009D08A6"/>
    <w:rsid w:val="009D0F55"/>
    <w:rsid w:val="009D166A"/>
    <w:rsid w:val="009D1B3F"/>
    <w:rsid w:val="009D215B"/>
    <w:rsid w:val="009D3499"/>
    <w:rsid w:val="009D37B4"/>
    <w:rsid w:val="009D4BBE"/>
    <w:rsid w:val="009D6F1C"/>
    <w:rsid w:val="009D736A"/>
    <w:rsid w:val="009D7831"/>
    <w:rsid w:val="009D7BDA"/>
    <w:rsid w:val="009E1FB1"/>
    <w:rsid w:val="009E227D"/>
    <w:rsid w:val="009E2C24"/>
    <w:rsid w:val="009E4327"/>
    <w:rsid w:val="009E464C"/>
    <w:rsid w:val="009E5019"/>
    <w:rsid w:val="009E564F"/>
    <w:rsid w:val="009E6D3B"/>
    <w:rsid w:val="009E71C5"/>
    <w:rsid w:val="009E76BC"/>
    <w:rsid w:val="009F0A1A"/>
    <w:rsid w:val="009F36AB"/>
    <w:rsid w:val="009F5104"/>
    <w:rsid w:val="009F5448"/>
    <w:rsid w:val="009F5948"/>
    <w:rsid w:val="009F59FF"/>
    <w:rsid w:val="009F62DC"/>
    <w:rsid w:val="009F7355"/>
    <w:rsid w:val="009F73FC"/>
    <w:rsid w:val="009F74D5"/>
    <w:rsid w:val="00A019B1"/>
    <w:rsid w:val="00A02249"/>
    <w:rsid w:val="00A023F7"/>
    <w:rsid w:val="00A03C89"/>
    <w:rsid w:val="00A049F3"/>
    <w:rsid w:val="00A04C66"/>
    <w:rsid w:val="00A04F1B"/>
    <w:rsid w:val="00A0501B"/>
    <w:rsid w:val="00A05191"/>
    <w:rsid w:val="00A0560A"/>
    <w:rsid w:val="00A05C6D"/>
    <w:rsid w:val="00A10D6E"/>
    <w:rsid w:val="00A11840"/>
    <w:rsid w:val="00A12B82"/>
    <w:rsid w:val="00A132E3"/>
    <w:rsid w:val="00A14947"/>
    <w:rsid w:val="00A16777"/>
    <w:rsid w:val="00A16CDE"/>
    <w:rsid w:val="00A17F7A"/>
    <w:rsid w:val="00A21CB8"/>
    <w:rsid w:val="00A225D4"/>
    <w:rsid w:val="00A22C66"/>
    <w:rsid w:val="00A239EF"/>
    <w:rsid w:val="00A250B9"/>
    <w:rsid w:val="00A259A1"/>
    <w:rsid w:val="00A25DF7"/>
    <w:rsid w:val="00A262B4"/>
    <w:rsid w:val="00A3000A"/>
    <w:rsid w:val="00A301C8"/>
    <w:rsid w:val="00A31B26"/>
    <w:rsid w:val="00A32A83"/>
    <w:rsid w:val="00A332B5"/>
    <w:rsid w:val="00A338AE"/>
    <w:rsid w:val="00A33E24"/>
    <w:rsid w:val="00A35525"/>
    <w:rsid w:val="00A3626F"/>
    <w:rsid w:val="00A368DB"/>
    <w:rsid w:val="00A37135"/>
    <w:rsid w:val="00A37A17"/>
    <w:rsid w:val="00A37F69"/>
    <w:rsid w:val="00A420C4"/>
    <w:rsid w:val="00A423AA"/>
    <w:rsid w:val="00A438E7"/>
    <w:rsid w:val="00A45302"/>
    <w:rsid w:val="00A4631A"/>
    <w:rsid w:val="00A50F97"/>
    <w:rsid w:val="00A515E2"/>
    <w:rsid w:val="00A53435"/>
    <w:rsid w:val="00A53EC6"/>
    <w:rsid w:val="00A55C0F"/>
    <w:rsid w:val="00A56127"/>
    <w:rsid w:val="00A562B9"/>
    <w:rsid w:val="00A60544"/>
    <w:rsid w:val="00A6184C"/>
    <w:rsid w:val="00A62A2A"/>
    <w:rsid w:val="00A63BD7"/>
    <w:rsid w:val="00A641A0"/>
    <w:rsid w:val="00A64FF2"/>
    <w:rsid w:val="00A65887"/>
    <w:rsid w:val="00A66C85"/>
    <w:rsid w:val="00A67BB5"/>
    <w:rsid w:val="00A67EE2"/>
    <w:rsid w:val="00A70DF3"/>
    <w:rsid w:val="00A71C51"/>
    <w:rsid w:val="00A7257E"/>
    <w:rsid w:val="00A727B6"/>
    <w:rsid w:val="00A760E2"/>
    <w:rsid w:val="00A81B30"/>
    <w:rsid w:val="00A828FA"/>
    <w:rsid w:val="00A8306C"/>
    <w:rsid w:val="00A830B8"/>
    <w:rsid w:val="00A84BFE"/>
    <w:rsid w:val="00A856F4"/>
    <w:rsid w:val="00A8598F"/>
    <w:rsid w:val="00A86B81"/>
    <w:rsid w:val="00A86F1E"/>
    <w:rsid w:val="00A8713F"/>
    <w:rsid w:val="00A8759B"/>
    <w:rsid w:val="00A90BA1"/>
    <w:rsid w:val="00A92F51"/>
    <w:rsid w:val="00A95532"/>
    <w:rsid w:val="00A95F8E"/>
    <w:rsid w:val="00A964FD"/>
    <w:rsid w:val="00A96A61"/>
    <w:rsid w:val="00A96B2E"/>
    <w:rsid w:val="00A96C8B"/>
    <w:rsid w:val="00A978C3"/>
    <w:rsid w:val="00A9797A"/>
    <w:rsid w:val="00A97A9A"/>
    <w:rsid w:val="00AA0456"/>
    <w:rsid w:val="00AA057B"/>
    <w:rsid w:val="00AA0671"/>
    <w:rsid w:val="00AA19D4"/>
    <w:rsid w:val="00AA2531"/>
    <w:rsid w:val="00AA2B07"/>
    <w:rsid w:val="00AA31EF"/>
    <w:rsid w:val="00AA37C6"/>
    <w:rsid w:val="00AA3DC4"/>
    <w:rsid w:val="00AA423C"/>
    <w:rsid w:val="00AA46E7"/>
    <w:rsid w:val="00AA59D4"/>
    <w:rsid w:val="00AB0B11"/>
    <w:rsid w:val="00AB1486"/>
    <w:rsid w:val="00AB18F0"/>
    <w:rsid w:val="00AB1E09"/>
    <w:rsid w:val="00AB1F41"/>
    <w:rsid w:val="00AB31F5"/>
    <w:rsid w:val="00AB5052"/>
    <w:rsid w:val="00AB52F4"/>
    <w:rsid w:val="00AB5330"/>
    <w:rsid w:val="00AB6709"/>
    <w:rsid w:val="00AB7747"/>
    <w:rsid w:val="00AC14CE"/>
    <w:rsid w:val="00AC1C9A"/>
    <w:rsid w:val="00AC2A56"/>
    <w:rsid w:val="00AC2E61"/>
    <w:rsid w:val="00AC37F3"/>
    <w:rsid w:val="00AC4A61"/>
    <w:rsid w:val="00AC6AC7"/>
    <w:rsid w:val="00AC7294"/>
    <w:rsid w:val="00AD055E"/>
    <w:rsid w:val="00AD1CA2"/>
    <w:rsid w:val="00AD24B0"/>
    <w:rsid w:val="00AD2D16"/>
    <w:rsid w:val="00AD4215"/>
    <w:rsid w:val="00AD47A7"/>
    <w:rsid w:val="00AD5E36"/>
    <w:rsid w:val="00AE0F7C"/>
    <w:rsid w:val="00AE1A63"/>
    <w:rsid w:val="00AE76D8"/>
    <w:rsid w:val="00AF0986"/>
    <w:rsid w:val="00AF0CBF"/>
    <w:rsid w:val="00AF15BB"/>
    <w:rsid w:val="00AF257F"/>
    <w:rsid w:val="00AF33CF"/>
    <w:rsid w:val="00AF4D50"/>
    <w:rsid w:val="00AF6120"/>
    <w:rsid w:val="00AF6179"/>
    <w:rsid w:val="00AF72FB"/>
    <w:rsid w:val="00B01293"/>
    <w:rsid w:val="00B04F44"/>
    <w:rsid w:val="00B1295A"/>
    <w:rsid w:val="00B13331"/>
    <w:rsid w:val="00B1570F"/>
    <w:rsid w:val="00B16E6D"/>
    <w:rsid w:val="00B204A2"/>
    <w:rsid w:val="00B2083C"/>
    <w:rsid w:val="00B20A45"/>
    <w:rsid w:val="00B20F45"/>
    <w:rsid w:val="00B20F77"/>
    <w:rsid w:val="00B22B2E"/>
    <w:rsid w:val="00B22C5C"/>
    <w:rsid w:val="00B24F30"/>
    <w:rsid w:val="00B25479"/>
    <w:rsid w:val="00B2661C"/>
    <w:rsid w:val="00B26FF3"/>
    <w:rsid w:val="00B270E2"/>
    <w:rsid w:val="00B31ABF"/>
    <w:rsid w:val="00B33598"/>
    <w:rsid w:val="00B33BE3"/>
    <w:rsid w:val="00B34715"/>
    <w:rsid w:val="00B35D9F"/>
    <w:rsid w:val="00B370DF"/>
    <w:rsid w:val="00B37DE0"/>
    <w:rsid w:val="00B40BFD"/>
    <w:rsid w:val="00B418BD"/>
    <w:rsid w:val="00B418FA"/>
    <w:rsid w:val="00B42785"/>
    <w:rsid w:val="00B4300B"/>
    <w:rsid w:val="00B43192"/>
    <w:rsid w:val="00B4479F"/>
    <w:rsid w:val="00B449CD"/>
    <w:rsid w:val="00B46251"/>
    <w:rsid w:val="00B467F5"/>
    <w:rsid w:val="00B505C4"/>
    <w:rsid w:val="00B530D3"/>
    <w:rsid w:val="00B53842"/>
    <w:rsid w:val="00B539BF"/>
    <w:rsid w:val="00B53B5D"/>
    <w:rsid w:val="00B55075"/>
    <w:rsid w:val="00B554AB"/>
    <w:rsid w:val="00B57248"/>
    <w:rsid w:val="00B579DD"/>
    <w:rsid w:val="00B57BD7"/>
    <w:rsid w:val="00B57CF5"/>
    <w:rsid w:val="00B6055E"/>
    <w:rsid w:val="00B60C8E"/>
    <w:rsid w:val="00B60FBF"/>
    <w:rsid w:val="00B61629"/>
    <w:rsid w:val="00B623E7"/>
    <w:rsid w:val="00B6317D"/>
    <w:rsid w:val="00B64D51"/>
    <w:rsid w:val="00B650E5"/>
    <w:rsid w:val="00B65EBD"/>
    <w:rsid w:val="00B661F2"/>
    <w:rsid w:val="00B66E82"/>
    <w:rsid w:val="00B67700"/>
    <w:rsid w:val="00B73CFD"/>
    <w:rsid w:val="00B74038"/>
    <w:rsid w:val="00B742A6"/>
    <w:rsid w:val="00B746CF"/>
    <w:rsid w:val="00B74856"/>
    <w:rsid w:val="00B74F8D"/>
    <w:rsid w:val="00B76020"/>
    <w:rsid w:val="00B7723F"/>
    <w:rsid w:val="00B80534"/>
    <w:rsid w:val="00B80592"/>
    <w:rsid w:val="00B80629"/>
    <w:rsid w:val="00B812FB"/>
    <w:rsid w:val="00B8169D"/>
    <w:rsid w:val="00B81B62"/>
    <w:rsid w:val="00B8277E"/>
    <w:rsid w:val="00B8433C"/>
    <w:rsid w:val="00B865FE"/>
    <w:rsid w:val="00B86665"/>
    <w:rsid w:val="00B87491"/>
    <w:rsid w:val="00B9030A"/>
    <w:rsid w:val="00B92E48"/>
    <w:rsid w:val="00B931F0"/>
    <w:rsid w:val="00B94DDF"/>
    <w:rsid w:val="00B95C5D"/>
    <w:rsid w:val="00B96CE4"/>
    <w:rsid w:val="00BA29E9"/>
    <w:rsid w:val="00BA2E9E"/>
    <w:rsid w:val="00BA3702"/>
    <w:rsid w:val="00BA3970"/>
    <w:rsid w:val="00BA47EC"/>
    <w:rsid w:val="00BA5D6F"/>
    <w:rsid w:val="00BA7142"/>
    <w:rsid w:val="00BA784F"/>
    <w:rsid w:val="00BB0856"/>
    <w:rsid w:val="00BB15A3"/>
    <w:rsid w:val="00BB15CC"/>
    <w:rsid w:val="00BB237C"/>
    <w:rsid w:val="00BB2414"/>
    <w:rsid w:val="00BB2CCF"/>
    <w:rsid w:val="00BB3290"/>
    <w:rsid w:val="00BB3632"/>
    <w:rsid w:val="00BB3ACC"/>
    <w:rsid w:val="00BB41A3"/>
    <w:rsid w:val="00BB49D4"/>
    <w:rsid w:val="00BB5667"/>
    <w:rsid w:val="00BB59E0"/>
    <w:rsid w:val="00BB5B92"/>
    <w:rsid w:val="00BB6721"/>
    <w:rsid w:val="00BB67EB"/>
    <w:rsid w:val="00BB6BCE"/>
    <w:rsid w:val="00BB73E1"/>
    <w:rsid w:val="00BB7525"/>
    <w:rsid w:val="00BB76C7"/>
    <w:rsid w:val="00BB7723"/>
    <w:rsid w:val="00BC1748"/>
    <w:rsid w:val="00BC17CB"/>
    <w:rsid w:val="00BC2881"/>
    <w:rsid w:val="00BC31E9"/>
    <w:rsid w:val="00BC32DC"/>
    <w:rsid w:val="00BC35B6"/>
    <w:rsid w:val="00BC6216"/>
    <w:rsid w:val="00BC6C81"/>
    <w:rsid w:val="00BC7082"/>
    <w:rsid w:val="00BC71FA"/>
    <w:rsid w:val="00BC7960"/>
    <w:rsid w:val="00BD1213"/>
    <w:rsid w:val="00BD1B51"/>
    <w:rsid w:val="00BD313A"/>
    <w:rsid w:val="00BD3B5A"/>
    <w:rsid w:val="00BD4016"/>
    <w:rsid w:val="00BD4596"/>
    <w:rsid w:val="00BE01D1"/>
    <w:rsid w:val="00BE1405"/>
    <w:rsid w:val="00BE18CD"/>
    <w:rsid w:val="00BE2CF9"/>
    <w:rsid w:val="00BE30C6"/>
    <w:rsid w:val="00BE312D"/>
    <w:rsid w:val="00BE41A9"/>
    <w:rsid w:val="00BF0B91"/>
    <w:rsid w:val="00BF112E"/>
    <w:rsid w:val="00BF163D"/>
    <w:rsid w:val="00BF1677"/>
    <w:rsid w:val="00BF1C1C"/>
    <w:rsid w:val="00BF1C20"/>
    <w:rsid w:val="00BF2DF8"/>
    <w:rsid w:val="00BF2E53"/>
    <w:rsid w:val="00BF37D1"/>
    <w:rsid w:val="00BF4505"/>
    <w:rsid w:val="00BF47FB"/>
    <w:rsid w:val="00BF4FA1"/>
    <w:rsid w:val="00BF7F7C"/>
    <w:rsid w:val="00C0146B"/>
    <w:rsid w:val="00C01AE1"/>
    <w:rsid w:val="00C037C6"/>
    <w:rsid w:val="00C03F9E"/>
    <w:rsid w:val="00C063F5"/>
    <w:rsid w:val="00C064DB"/>
    <w:rsid w:val="00C06C5E"/>
    <w:rsid w:val="00C10578"/>
    <w:rsid w:val="00C106F7"/>
    <w:rsid w:val="00C1102F"/>
    <w:rsid w:val="00C11F34"/>
    <w:rsid w:val="00C1203A"/>
    <w:rsid w:val="00C135BC"/>
    <w:rsid w:val="00C14776"/>
    <w:rsid w:val="00C15C95"/>
    <w:rsid w:val="00C168D2"/>
    <w:rsid w:val="00C16B69"/>
    <w:rsid w:val="00C16C09"/>
    <w:rsid w:val="00C1712F"/>
    <w:rsid w:val="00C17C41"/>
    <w:rsid w:val="00C2032E"/>
    <w:rsid w:val="00C20EFD"/>
    <w:rsid w:val="00C21812"/>
    <w:rsid w:val="00C21907"/>
    <w:rsid w:val="00C2386F"/>
    <w:rsid w:val="00C2465E"/>
    <w:rsid w:val="00C24B41"/>
    <w:rsid w:val="00C255B9"/>
    <w:rsid w:val="00C255DE"/>
    <w:rsid w:val="00C2596A"/>
    <w:rsid w:val="00C27537"/>
    <w:rsid w:val="00C328E4"/>
    <w:rsid w:val="00C328FE"/>
    <w:rsid w:val="00C33507"/>
    <w:rsid w:val="00C341D2"/>
    <w:rsid w:val="00C369AF"/>
    <w:rsid w:val="00C40663"/>
    <w:rsid w:val="00C413AF"/>
    <w:rsid w:val="00C417ED"/>
    <w:rsid w:val="00C42CA9"/>
    <w:rsid w:val="00C43057"/>
    <w:rsid w:val="00C43BB1"/>
    <w:rsid w:val="00C4409D"/>
    <w:rsid w:val="00C449D0"/>
    <w:rsid w:val="00C44D7C"/>
    <w:rsid w:val="00C44E19"/>
    <w:rsid w:val="00C44E72"/>
    <w:rsid w:val="00C45A06"/>
    <w:rsid w:val="00C464A2"/>
    <w:rsid w:val="00C465F9"/>
    <w:rsid w:val="00C47E5B"/>
    <w:rsid w:val="00C5087D"/>
    <w:rsid w:val="00C51565"/>
    <w:rsid w:val="00C51D6A"/>
    <w:rsid w:val="00C52654"/>
    <w:rsid w:val="00C52B18"/>
    <w:rsid w:val="00C52BEE"/>
    <w:rsid w:val="00C53476"/>
    <w:rsid w:val="00C53681"/>
    <w:rsid w:val="00C53989"/>
    <w:rsid w:val="00C5583A"/>
    <w:rsid w:val="00C56DBF"/>
    <w:rsid w:val="00C57E3A"/>
    <w:rsid w:val="00C60702"/>
    <w:rsid w:val="00C60836"/>
    <w:rsid w:val="00C60C72"/>
    <w:rsid w:val="00C6153A"/>
    <w:rsid w:val="00C61E4B"/>
    <w:rsid w:val="00C635CF"/>
    <w:rsid w:val="00C645A3"/>
    <w:rsid w:val="00C64BFF"/>
    <w:rsid w:val="00C653FF"/>
    <w:rsid w:val="00C704E9"/>
    <w:rsid w:val="00C71007"/>
    <w:rsid w:val="00C7116F"/>
    <w:rsid w:val="00C7184D"/>
    <w:rsid w:val="00C727A6"/>
    <w:rsid w:val="00C72807"/>
    <w:rsid w:val="00C728A8"/>
    <w:rsid w:val="00C72E02"/>
    <w:rsid w:val="00C74994"/>
    <w:rsid w:val="00C760AE"/>
    <w:rsid w:val="00C763C9"/>
    <w:rsid w:val="00C76669"/>
    <w:rsid w:val="00C767D6"/>
    <w:rsid w:val="00C76C74"/>
    <w:rsid w:val="00C76D07"/>
    <w:rsid w:val="00C76EC2"/>
    <w:rsid w:val="00C77330"/>
    <w:rsid w:val="00C80057"/>
    <w:rsid w:val="00C815B7"/>
    <w:rsid w:val="00C8165D"/>
    <w:rsid w:val="00C816D7"/>
    <w:rsid w:val="00C82232"/>
    <w:rsid w:val="00C82913"/>
    <w:rsid w:val="00C85621"/>
    <w:rsid w:val="00C872C4"/>
    <w:rsid w:val="00C90D12"/>
    <w:rsid w:val="00C91F03"/>
    <w:rsid w:val="00C92D29"/>
    <w:rsid w:val="00C93397"/>
    <w:rsid w:val="00C94FC1"/>
    <w:rsid w:val="00C95594"/>
    <w:rsid w:val="00C9647A"/>
    <w:rsid w:val="00C972B1"/>
    <w:rsid w:val="00CA148E"/>
    <w:rsid w:val="00CA1CD7"/>
    <w:rsid w:val="00CA2CCE"/>
    <w:rsid w:val="00CA2D57"/>
    <w:rsid w:val="00CA43FD"/>
    <w:rsid w:val="00CA49BC"/>
    <w:rsid w:val="00CA500C"/>
    <w:rsid w:val="00CA7EF8"/>
    <w:rsid w:val="00CB005F"/>
    <w:rsid w:val="00CB0C1E"/>
    <w:rsid w:val="00CB0DCA"/>
    <w:rsid w:val="00CB33AA"/>
    <w:rsid w:val="00CB396E"/>
    <w:rsid w:val="00CB43D0"/>
    <w:rsid w:val="00CB58C2"/>
    <w:rsid w:val="00CB59FC"/>
    <w:rsid w:val="00CB70F4"/>
    <w:rsid w:val="00CB7BFD"/>
    <w:rsid w:val="00CB7FCB"/>
    <w:rsid w:val="00CC09A2"/>
    <w:rsid w:val="00CC0A02"/>
    <w:rsid w:val="00CC13F9"/>
    <w:rsid w:val="00CC192D"/>
    <w:rsid w:val="00CC432B"/>
    <w:rsid w:val="00CC489B"/>
    <w:rsid w:val="00CC4FCF"/>
    <w:rsid w:val="00CC5E39"/>
    <w:rsid w:val="00CC5F4E"/>
    <w:rsid w:val="00CD2625"/>
    <w:rsid w:val="00CD2BCD"/>
    <w:rsid w:val="00CD361F"/>
    <w:rsid w:val="00CD3A4C"/>
    <w:rsid w:val="00CD4FBA"/>
    <w:rsid w:val="00CD539F"/>
    <w:rsid w:val="00CD5A4B"/>
    <w:rsid w:val="00CD5CE7"/>
    <w:rsid w:val="00CD71BF"/>
    <w:rsid w:val="00CE09EF"/>
    <w:rsid w:val="00CE0AEB"/>
    <w:rsid w:val="00CE0EDE"/>
    <w:rsid w:val="00CE10E9"/>
    <w:rsid w:val="00CE2910"/>
    <w:rsid w:val="00CE474E"/>
    <w:rsid w:val="00CE5393"/>
    <w:rsid w:val="00CE53F1"/>
    <w:rsid w:val="00CE6C03"/>
    <w:rsid w:val="00CE7291"/>
    <w:rsid w:val="00CF087C"/>
    <w:rsid w:val="00CF0B2B"/>
    <w:rsid w:val="00CF0C3E"/>
    <w:rsid w:val="00CF36BE"/>
    <w:rsid w:val="00CF3DD7"/>
    <w:rsid w:val="00CF3DD9"/>
    <w:rsid w:val="00CF4693"/>
    <w:rsid w:val="00CF4A7B"/>
    <w:rsid w:val="00CF530A"/>
    <w:rsid w:val="00CF6000"/>
    <w:rsid w:val="00CF6EEB"/>
    <w:rsid w:val="00D003F3"/>
    <w:rsid w:val="00D00ADB"/>
    <w:rsid w:val="00D01049"/>
    <w:rsid w:val="00D02809"/>
    <w:rsid w:val="00D02E51"/>
    <w:rsid w:val="00D0364F"/>
    <w:rsid w:val="00D04A3C"/>
    <w:rsid w:val="00D05438"/>
    <w:rsid w:val="00D06834"/>
    <w:rsid w:val="00D06C9B"/>
    <w:rsid w:val="00D07640"/>
    <w:rsid w:val="00D0779D"/>
    <w:rsid w:val="00D10DFD"/>
    <w:rsid w:val="00D11626"/>
    <w:rsid w:val="00D118F6"/>
    <w:rsid w:val="00D12B14"/>
    <w:rsid w:val="00D16075"/>
    <w:rsid w:val="00D16291"/>
    <w:rsid w:val="00D17E2B"/>
    <w:rsid w:val="00D20720"/>
    <w:rsid w:val="00D2089B"/>
    <w:rsid w:val="00D22758"/>
    <w:rsid w:val="00D229B8"/>
    <w:rsid w:val="00D2364C"/>
    <w:rsid w:val="00D24406"/>
    <w:rsid w:val="00D24B9D"/>
    <w:rsid w:val="00D258BC"/>
    <w:rsid w:val="00D259B1"/>
    <w:rsid w:val="00D27046"/>
    <w:rsid w:val="00D27164"/>
    <w:rsid w:val="00D2750A"/>
    <w:rsid w:val="00D27F3B"/>
    <w:rsid w:val="00D3038F"/>
    <w:rsid w:val="00D308ED"/>
    <w:rsid w:val="00D31683"/>
    <w:rsid w:val="00D317EB"/>
    <w:rsid w:val="00D31E38"/>
    <w:rsid w:val="00D327F9"/>
    <w:rsid w:val="00D355ED"/>
    <w:rsid w:val="00D357AD"/>
    <w:rsid w:val="00D35831"/>
    <w:rsid w:val="00D36D86"/>
    <w:rsid w:val="00D373D9"/>
    <w:rsid w:val="00D4051D"/>
    <w:rsid w:val="00D410F8"/>
    <w:rsid w:val="00D415CA"/>
    <w:rsid w:val="00D428AA"/>
    <w:rsid w:val="00D450FD"/>
    <w:rsid w:val="00D466E3"/>
    <w:rsid w:val="00D4727B"/>
    <w:rsid w:val="00D47C54"/>
    <w:rsid w:val="00D47EAB"/>
    <w:rsid w:val="00D50A34"/>
    <w:rsid w:val="00D51F8C"/>
    <w:rsid w:val="00D53EFA"/>
    <w:rsid w:val="00D57432"/>
    <w:rsid w:val="00D57966"/>
    <w:rsid w:val="00D6065E"/>
    <w:rsid w:val="00D60EA4"/>
    <w:rsid w:val="00D6141B"/>
    <w:rsid w:val="00D62F37"/>
    <w:rsid w:val="00D65461"/>
    <w:rsid w:val="00D66865"/>
    <w:rsid w:val="00D668C7"/>
    <w:rsid w:val="00D66B23"/>
    <w:rsid w:val="00D71D4E"/>
    <w:rsid w:val="00D72493"/>
    <w:rsid w:val="00D734F0"/>
    <w:rsid w:val="00D751D4"/>
    <w:rsid w:val="00D751EC"/>
    <w:rsid w:val="00D753D7"/>
    <w:rsid w:val="00D75A39"/>
    <w:rsid w:val="00D75F4F"/>
    <w:rsid w:val="00D7602F"/>
    <w:rsid w:val="00D7616E"/>
    <w:rsid w:val="00D76D01"/>
    <w:rsid w:val="00D80445"/>
    <w:rsid w:val="00D8084D"/>
    <w:rsid w:val="00D812F1"/>
    <w:rsid w:val="00D82DE2"/>
    <w:rsid w:val="00D83BEA"/>
    <w:rsid w:val="00D84EFE"/>
    <w:rsid w:val="00D8579F"/>
    <w:rsid w:val="00D85E47"/>
    <w:rsid w:val="00D86921"/>
    <w:rsid w:val="00D87497"/>
    <w:rsid w:val="00D87669"/>
    <w:rsid w:val="00D87ABC"/>
    <w:rsid w:val="00D90946"/>
    <w:rsid w:val="00D91439"/>
    <w:rsid w:val="00D91CC2"/>
    <w:rsid w:val="00D91EC2"/>
    <w:rsid w:val="00D920FA"/>
    <w:rsid w:val="00D923B4"/>
    <w:rsid w:val="00D92CE5"/>
    <w:rsid w:val="00D939AC"/>
    <w:rsid w:val="00D944EB"/>
    <w:rsid w:val="00D94A5C"/>
    <w:rsid w:val="00D94A7C"/>
    <w:rsid w:val="00D95896"/>
    <w:rsid w:val="00D96AD1"/>
    <w:rsid w:val="00DA1A95"/>
    <w:rsid w:val="00DA223A"/>
    <w:rsid w:val="00DA2771"/>
    <w:rsid w:val="00DA29CD"/>
    <w:rsid w:val="00DA465C"/>
    <w:rsid w:val="00DA4C53"/>
    <w:rsid w:val="00DA6A8D"/>
    <w:rsid w:val="00DA6E37"/>
    <w:rsid w:val="00DB1034"/>
    <w:rsid w:val="00DB195C"/>
    <w:rsid w:val="00DB1A93"/>
    <w:rsid w:val="00DB2758"/>
    <w:rsid w:val="00DB2983"/>
    <w:rsid w:val="00DB4287"/>
    <w:rsid w:val="00DB5558"/>
    <w:rsid w:val="00DB556E"/>
    <w:rsid w:val="00DB5C59"/>
    <w:rsid w:val="00DB7C92"/>
    <w:rsid w:val="00DC11E0"/>
    <w:rsid w:val="00DC1257"/>
    <w:rsid w:val="00DC2077"/>
    <w:rsid w:val="00DC2765"/>
    <w:rsid w:val="00DC2A9E"/>
    <w:rsid w:val="00DC3DC0"/>
    <w:rsid w:val="00DC48CF"/>
    <w:rsid w:val="00DC5B2B"/>
    <w:rsid w:val="00DC5D79"/>
    <w:rsid w:val="00DC72E1"/>
    <w:rsid w:val="00DD318D"/>
    <w:rsid w:val="00DD4141"/>
    <w:rsid w:val="00DD6319"/>
    <w:rsid w:val="00DD75D4"/>
    <w:rsid w:val="00DD7ECC"/>
    <w:rsid w:val="00DD7F5E"/>
    <w:rsid w:val="00DE0DBD"/>
    <w:rsid w:val="00DE103E"/>
    <w:rsid w:val="00DE10AF"/>
    <w:rsid w:val="00DE1F50"/>
    <w:rsid w:val="00DE1FF5"/>
    <w:rsid w:val="00DE2EA0"/>
    <w:rsid w:val="00DE39F0"/>
    <w:rsid w:val="00DE5470"/>
    <w:rsid w:val="00DE7791"/>
    <w:rsid w:val="00DF0052"/>
    <w:rsid w:val="00DF0337"/>
    <w:rsid w:val="00DF2C96"/>
    <w:rsid w:val="00DF2E12"/>
    <w:rsid w:val="00DF4346"/>
    <w:rsid w:val="00DF514A"/>
    <w:rsid w:val="00DF6690"/>
    <w:rsid w:val="00DF66B4"/>
    <w:rsid w:val="00DF6804"/>
    <w:rsid w:val="00E0166B"/>
    <w:rsid w:val="00E03090"/>
    <w:rsid w:val="00E032E5"/>
    <w:rsid w:val="00E0343F"/>
    <w:rsid w:val="00E0358D"/>
    <w:rsid w:val="00E03E41"/>
    <w:rsid w:val="00E04323"/>
    <w:rsid w:val="00E0459E"/>
    <w:rsid w:val="00E04D38"/>
    <w:rsid w:val="00E04E52"/>
    <w:rsid w:val="00E0648B"/>
    <w:rsid w:val="00E0675C"/>
    <w:rsid w:val="00E070A2"/>
    <w:rsid w:val="00E074A8"/>
    <w:rsid w:val="00E10570"/>
    <w:rsid w:val="00E10FCD"/>
    <w:rsid w:val="00E11031"/>
    <w:rsid w:val="00E12676"/>
    <w:rsid w:val="00E12AE8"/>
    <w:rsid w:val="00E12C6A"/>
    <w:rsid w:val="00E12FA7"/>
    <w:rsid w:val="00E136BD"/>
    <w:rsid w:val="00E13F54"/>
    <w:rsid w:val="00E13F95"/>
    <w:rsid w:val="00E14427"/>
    <w:rsid w:val="00E154B1"/>
    <w:rsid w:val="00E154C3"/>
    <w:rsid w:val="00E15847"/>
    <w:rsid w:val="00E158AD"/>
    <w:rsid w:val="00E15B4A"/>
    <w:rsid w:val="00E206AA"/>
    <w:rsid w:val="00E2071E"/>
    <w:rsid w:val="00E21238"/>
    <w:rsid w:val="00E21322"/>
    <w:rsid w:val="00E21E06"/>
    <w:rsid w:val="00E22603"/>
    <w:rsid w:val="00E22903"/>
    <w:rsid w:val="00E258F6"/>
    <w:rsid w:val="00E26026"/>
    <w:rsid w:val="00E262B6"/>
    <w:rsid w:val="00E2656A"/>
    <w:rsid w:val="00E26A04"/>
    <w:rsid w:val="00E26AA0"/>
    <w:rsid w:val="00E305C0"/>
    <w:rsid w:val="00E308BC"/>
    <w:rsid w:val="00E31691"/>
    <w:rsid w:val="00E321E4"/>
    <w:rsid w:val="00E32438"/>
    <w:rsid w:val="00E3296E"/>
    <w:rsid w:val="00E32C34"/>
    <w:rsid w:val="00E32D72"/>
    <w:rsid w:val="00E336F0"/>
    <w:rsid w:val="00E352E8"/>
    <w:rsid w:val="00E364CB"/>
    <w:rsid w:val="00E36C84"/>
    <w:rsid w:val="00E3756C"/>
    <w:rsid w:val="00E37F5D"/>
    <w:rsid w:val="00E40BE8"/>
    <w:rsid w:val="00E40D4A"/>
    <w:rsid w:val="00E412D0"/>
    <w:rsid w:val="00E42966"/>
    <w:rsid w:val="00E42D77"/>
    <w:rsid w:val="00E4420D"/>
    <w:rsid w:val="00E4547A"/>
    <w:rsid w:val="00E46422"/>
    <w:rsid w:val="00E46812"/>
    <w:rsid w:val="00E46FDD"/>
    <w:rsid w:val="00E472E5"/>
    <w:rsid w:val="00E47414"/>
    <w:rsid w:val="00E517D4"/>
    <w:rsid w:val="00E52AB9"/>
    <w:rsid w:val="00E53E2A"/>
    <w:rsid w:val="00E54C08"/>
    <w:rsid w:val="00E55D0E"/>
    <w:rsid w:val="00E56322"/>
    <w:rsid w:val="00E5639F"/>
    <w:rsid w:val="00E572F6"/>
    <w:rsid w:val="00E57498"/>
    <w:rsid w:val="00E60714"/>
    <w:rsid w:val="00E60982"/>
    <w:rsid w:val="00E609CF"/>
    <w:rsid w:val="00E60BF2"/>
    <w:rsid w:val="00E61ABA"/>
    <w:rsid w:val="00E61AF1"/>
    <w:rsid w:val="00E61D83"/>
    <w:rsid w:val="00E620AC"/>
    <w:rsid w:val="00E62541"/>
    <w:rsid w:val="00E62C62"/>
    <w:rsid w:val="00E64A56"/>
    <w:rsid w:val="00E654C1"/>
    <w:rsid w:val="00E654E5"/>
    <w:rsid w:val="00E659DB"/>
    <w:rsid w:val="00E65D97"/>
    <w:rsid w:val="00E65F8E"/>
    <w:rsid w:val="00E7028B"/>
    <w:rsid w:val="00E70709"/>
    <w:rsid w:val="00E7074A"/>
    <w:rsid w:val="00E71536"/>
    <w:rsid w:val="00E7154A"/>
    <w:rsid w:val="00E715AB"/>
    <w:rsid w:val="00E71D74"/>
    <w:rsid w:val="00E71E77"/>
    <w:rsid w:val="00E72A5A"/>
    <w:rsid w:val="00E72C09"/>
    <w:rsid w:val="00E73354"/>
    <w:rsid w:val="00E75332"/>
    <w:rsid w:val="00E75C4B"/>
    <w:rsid w:val="00E75E4A"/>
    <w:rsid w:val="00E76159"/>
    <w:rsid w:val="00E76470"/>
    <w:rsid w:val="00E768A1"/>
    <w:rsid w:val="00E7727B"/>
    <w:rsid w:val="00E808C4"/>
    <w:rsid w:val="00E81A86"/>
    <w:rsid w:val="00E8210F"/>
    <w:rsid w:val="00E821DE"/>
    <w:rsid w:val="00E84089"/>
    <w:rsid w:val="00E843A6"/>
    <w:rsid w:val="00E84D02"/>
    <w:rsid w:val="00E84E9A"/>
    <w:rsid w:val="00E8665C"/>
    <w:rsid w:val="00E8764D"/>
    <w:rsid w:val="00E91C2D"/>
    <w:rsid w:val="00E9242D"/>
    <w:rsid w:val="00E932AF"/>
    <w:rsid w:val="00E93DA3"/>
    <w:rsid w:val="00E967D9"/>
    <w:rsid w:val="00E9782D"/>
    <w:rsid w:val="00EA13EF"/>
    <w:rsid w:val="00EA30C7"/>
    <w:rsid w:val="00EA37A6"/>
    <w:rsid w:val="00EA3A54"/>
    <w:rsid w:val="00EA403B"/>
    <w:rsid w:val="00EA4DBD"/>
    <w:rsid w:val="00EA5CEE"/>
    <w:rsid w:val="00EA631C"/>
    <w:rsid w:val="00EA7939"/>
    <w:rsid w:val="00EB0B7B"/>
    <w:rsid w:val="00EB0CA7"/>
    <w:rsid w:val="00EB157E"/>
    <w:rsid w:val="00EB1651"/>
    <w:rsid w:val="00EB2404"/>
    <w:rsid w:val="00EB45C8"/>
    <w:rsid w:val="00EB5255"/>
    <w:rsid w:val="00EB5C47"/>
    <w:rsid w:val="00EB67F4"/>
    <w:rsid w:val="00EC0142"/>
    <w:rsid w:val="00EC075C"/>
    <w:rsid w:val="00EC15D0"/>
    <w:rsid w:val="00EC1AFB"/>
    <w:rsid w:val="00EC2682"/>
    <w:rsid w:val="00EC5274"/>
    <w:rsid w:val="00EC6111"/>
    <w:rsid w:val="00EC6BCB"/>
    <w:rsid w:val="00EC7D39"/>
    <w:rsid w:val="00ED0160"/>
    <w:rsid w:val="00ED0639"/>
    <w:rsid w:val="00ED1C30"/>
    <w:rsid w:val="00ED1D1D"/>
    <w:rsid w:val="00ED288B"/>
    <w:rsid w:val="00ED7280"/>
    <w:rsid w:val="00EE24DE"/>
    <w:rsid w:val="00EE2D95"/>
    <w:rsid w:val="00EE36C4"/>
    <w:rsid w:val="00EE4321"/>
    <w:rsid w:val="00EE546E"/>
    <w:rsid w:val="00EE5D0B"/>
    <w:rsid w:val="00EE72E5"/>
    <w:rsid w:val="00EF0756"/>
    <w:rsid w:val="00EF0800"/>
    <w:rsid w:val="00EF0DBA"/>
    <w:rsid w:val="00EF0EC5"/>
    <w:rsid w:val="00EF193F"/>
    <w:rsid w:val="00EF3FFE"/>
    <w:rsid w:val="00EF4755"/>
    <w:rsid w:val="00EF510E"/>
    <w:rsid w:val="00EF5309"/>
    <w:rsid w:val="00EF6F4B"/>
    <w:rsid w:val="00EF7135"/>
    <w:rsid w:val="00EF7226"/>
    <w:rsid w:val="00EF793E"/>
    <w:rsid w:val="00F01F0D"/>
    <w:rsid w:val="00F027DB"/>
    <w:rsid w:val="00F02F2F"/>
    <w:rsid w:val="00F0474D"/>
    <w:rsid w:val="00F06168"/>
    <w:rsid w:val="00F062D4"/>
    <w:rsid w:val="00F06A6C"/>
    <w:rsid w:val="00F06FDC"/>
    <w:rsid w:val="00F07D14"/>
    <w:rsid w:val="00F10496"/>
    <w:rsid w:val="00F11A64"/>
    <w:rsid w:val="00F14A7A"/>
    <w:rsid w:val="00F17505"/>
    <w:rsid w:val="00F17DB1"/>
    <w:rsid w:val="00F17DB4"/>
    <w:rsid w:val="00F214AD"/>
    <w:rsid w:val="00F21D6E"/>
    <w:rsid w:val="00F21F9C"/>
    <w:rsid w:val="00F21FF8"/>
    <w:rsid w:val="00F2275D"/>
    <w:rsid w:val="00F22985"/>
    <w:rsid w:val="00F23D2F"/>
    <w:rsid w:val="00F250F5"/>
    <w:rsid w:val="00F30DF0"/>
    <w:rsid w:val="00F31CC2"/>
    <w:rsid w:val="00F31ED0"/>
    <w:rsid w:val="00F3383E"/>
    <w:rsid w:val="00F3530F"/>
    <w:rsid w:val="00F35E5B"/>
    <w:rsid w:val="00F360FC"/>
    <w:rsid w:val="00F419B5"/>
    <w:rsid w:val="00F42756"/>
    <w:rsid w:val="00F42822"/>
    <w:rsid w:val="00F43F3D"/>
    <w:rsid w:val="00F4401F"/>
    <w:rsid w:val="00F445FB"/>
    <w:rsid w:val="00F446CD"/>
    <w:rsid w:val="00F447B3"/>
    <w:rsid w:val="00F44D08"/>
    <w:rsid w:val="00F45043"/>
    <w:rsid w:val="00F465A7"/>
    <w:rsid w:val="00F46851"/>
    <w:rsid w:val="00F47447"/>
    <w:rsid w:val="00F50B7C"/>
    <w:rsid w:val="00F5106C"/>
    <w:rsid w:val="00F51450"/>
    <w:rsid w:val="00F51AE4"/>
    <w:rsid w:val="00F51C1C"/>
    <w:rsid w:val="00F51EE2"/>
    <w:rsid w:val="00F52323"/>
    <w:rsid w:val="00F5285E"/>
    <w:rsid w:val="00F53A07"/>
    <w:rsid w:val="00F54D3A"/>
    <w:rsid w:val="00F54F63"/>
    <w:rsid w:val="00F550E6"/>
    <w:rsid w:val="00F56030"/>
    <w:rsid w:val="00F576FB"/>
    <w:rsid w:val="00F605C7"/>
    <w:rsid w:val="00F6111F"/>
    <w:rsid w:val="00F63F30"/>
    <w:rsid w:val="00F64F65"/>
    <w:rsid w:val="00F66060"/>
    <w:rsid w:val="00F6696A"/>
    <w:rsid w:val="00F71CE5"/>
    <w:rsid w:val="00F7251B"/>
    <w:rsid w:val="00F7288B"/>
    <w:rsid w:val="00F729AA"/>
    <w:rsid w:val="00F72C28"/>
    <w:rsid w:val="00F74345"/>
    <w:rsid w:val="00F76426"/>
    <w:rsid w:val="00F77E47"/>
    <w:rsid w:val="00F807A7"/>
    <w:rsid w:val="00F80A0A"/>
    <w:rsid w:val="00F822D5"/>
    <w:rsid w:val="00F827DE"/>
    <w:rsid w:val="00F82B19"/>
    <w:rsid w:val="00F83417"/>
    <w:rsid w:val="00F845F5"/>
    <w:rsid w:val="00F84C19"/>
    <w:rsid w:val="00F84F9E"/>
    <w:rsid w:val="00F866C3"/>
    <w:rsid w:val="00F86D56"/>
    <w:rsid w:val="00F90C87"/>
    <w:rsid w:val="00F9212D"/>
    <w:rsid w:val="00F92835"/>
    <w:rsid w:val="00F93360"/>
    <w:rsid w:val="00F9381E"/>
    <w:rsid w:val="00F943BD"/>
    <w:rsid w:val="00F94E7D"/>
    <w:rsid w:val="00F9557A"/>
    <w:rsid w:val="00F965DA"/>
    <w:rsid w:val="00F96F50"/>
    <w:rsid w:val="00FA0007"/>
    <w:rsid w:val="00FA02A4"/>
    <w:rsid w:val="00FA2957"/>
    <w:rsid w:val="00FA406A"/>
    <w:rsid w:val="00FA49A4"/>
    <w:rsid w:val="00FA505D"/>
    <w:rsid w:val="00FA513C"/>
    <w:rsid w:val="00FA53BE"/>
    <w:rsid w:val="00FA646F"/>
    <w:rsid w:val="00FA6ECE"/>
    <w:rsid w:val="00FA7171"/>
    <w:rsid w:val="00FB0145"/>
    <w:rsid w:val="00FB4CB8"/>
    <w:rsid w:val="00FB503A"/>
    <w:rsid w:val="00FB516C"/>
    <w:rsid w:val="00FB56CD"/>
    <w:rsid w:val="00FC0791"/>
    <w:rsid w:val="00FC0DCF"/>
    <w:rsid w:val="00FC1C52"/>
    <w:rsid w:val="00FC1FE1"/>
    <w:rsid w:val="00FC229F"/>
    <w:rsid w:val="00FC2984"/>
    <w:rsid w:val="00FC5EA2"/>
    <w:rsid w:val="00FC62C9"/>
    <w:rsid w:val="00FD0236"/>
    <w:rsid w:val="00FD14D6"/>
    <w:rsid w:val="00FD18F4"/>
    <w:rsid w:val="00FD2026"/>
    <w:rsid w:val="00FD2445"/>
    <w:rsid w:val="00FD2DC5"/>
    <w:rsid w:val="00FD54DB"/>
    <w:rsid w:val="00FD5669"/>
    <w:rsid w:val="00FD619F"/>
    <w:rsid w:val="00FE1671"/>
    <w:rsid w:val="00FE1F1B"/>
    <w:rsid w:val="00FE21C5"/>
    <w:rsid w:val="00FE3B1B"/>
    <w:rsid w:val="00FE3F92"/>
    <w:rsid w:val="00FE4C2A"/>
    <w:rsid w:val="00FE6B77"/>
    <w:rsid w:val="00FE7477"/>
    <w:rsid w:val="00FF01C4"/>
    <w:rsid w:val="00FF024F"/>
    <w:rsid w:val="00FF02DE"/>
    <w:rsid w:val="00FF0D2A"/>
    <w:rsid w:val="00FF4A44"/>
    <w:rsid w:val="00FF4BA7"/>
    <w:rsid w:val="00FF776F"/>
    <w:rsid w:val="00FF7806"/>
    <w:rsid w:val="01290F7E"/>
    <w:rsid w:val="013A7508"/>
    <w:rsid w:val="015D1E09"/>
    <w:rsid w:val="01BD5B5D"/>
    <w:rsid w:val="023342E3"/>
    <w:rsid w:val="025A388F"/>
    <w:rsid w:val="02697903"/>
    <w:rsid w:val="02D705E3"/>
    <w:rsid w:val="02F96569"/>
    <w:rsid w:val="030B6598"/>
    <w:rsid w:val="030D6B4E"/>
    <w:rsid w:val="036D7B71"/>
    <w:rsid w:val="03AA3837"/>
    <w:rsid w:val="03BF5B1F"/>
    <w:rsid w:val="03CE055B"/>
    <w:rsid w:val="03E25F57"/>
    <w:rsid w:val="03EA7B21"/>
    <w:rsid w:val="040B0D14"/>
    <w:rsid w:val="040E3D13"/>
    <w:rsid w:val="04160E19"/>
    <w:rsid w:val="04162720"/>
    <w:rsid w:val="04221DEB"/>
    <w:rsid w:val="043D4D5D"/>
    <w:rsid w:val="04457214"/>
    <w:rsid w:val="04667DE1"/>
    <w:rsid w:val="04AC7F7B"/>
    <w:rsid w:val="04C4204D"/>
    <w:rsid w:val="04FB1F9E"/>
    <w:rsid w:val="05687CD1"/>
    <w:rsid w:val="05B178CA"/>
    <w:rsid w:val="05F83EAE"/>
    <w:rsid w:val="062A086E"/>
    <w:rsid w:val="06330C24"/>
    <w:rsid w:val="063E7D85"/>
    <w:rsid w:val="06567A33"/>
    <w:rsid w:val="06884B85"/>
    <w:rsid w:val="068E4EAD"/>
    <w:rsid w:val="06EA381B"/>
    <w:rsid w:val="06F21F49"/>
    <w:rsid w:val="07293586"/>
    <w:rsid w:val="07295285"/>
    <w:rsid w:val="07636392"/>
    <w:rsid w:val="07770C56"/>
    <w:rsid w:val="0778511C"/>
    <w:rsid w:val="0780281E"/>
    <w:rsid w:val="07991F77"/>
    <w:rsid w:val="07BD302C"/>
    <w:rsid w:val="07BF387E"/>
    <w:rsid w:val="082B2AAF"/>
    <w:rsid w:val="083157AF"/>
    <w:rsid w:val="08485614"/>
    <w:rsid w:val="0849392A"/>
    <w:rsid w:val="087D1CE6"/>
    <w:rsid w:val="08955AD0"/>
    <w:rsid w:val="08A549F1"/>
    <w:rsid w:val="08E81D8D"/>
    <w:rsid w:val="091D0DD3"/>
    <w:rsid w:val="092217DD"/>
    <w:rsid w:val="092F02C1"/>
    <w:rsid w:val="093A1B39"/>
    <w:rsid w:val="093A7294"/>
    <w:rsid w:val="09633D75"/>
    <w:rsid w:val="096473AA"/>
    <w:rsid w:val="0966746C"/>
    <w:rsid w:val="09727371"/>
    <w:rsid w:val="09903C9B"/>
    <w:rsid w:val="09E37CC7"/>
    <w:rsid w:val="09FE2FD0"/>
    <w:rsid w:val="0A263993"/>
    <w:rsid w:val="0A2D3AC2"/>
    <w:rsid w:val="0A2E30DF"/>
    <w:rsid w:val="0A501172"/>
    <w:rsid w:val="0A734F0F"/>
    <w:rsid w:val="0A79663D"/>
    <w:rsid w:val="0A8867FB"/>
    <w:rsid w:val="0A8A2498"/>
    <w:rsid w:val="0A9F78D3"/>
    <w:rsid w:val="0AA755DF"/>
    <w:rsid w:val="0B120D44"/>
    <w:rsid w:val="0B2B04B1"/>
    <w:rsid w:val="0B2D7324"/>
    <w:rsid w:val="0B3E4AF6"/>
    <w:rsid w:val="0B52745A"/>
    <w:rsid w:val="0B62773F"/>
    <w:rsid w:val="0B6E638C"/>
    <w:rsid w:val="0B957346"/>
    <w:rsid w:val="0BBD044F"/>
    <w:rsid w:val="0BC651AA"/>
    <w:rsid w:val="0BCF09E4"/>
    <w:rsid w:val="0BD27BF6"/>
    <w:rsid w:val="0BE4393B"/>
    <w:rsid w:val="0C197F77"/>
    <w:rsid w:val="0C2E61BB"/>
    <w:rsid w:val="0C303DDF"/>
    <w:rsid w:val="0C3B3C7D"/>
    <w:rsid w:val="0C3D5C93"/>
    <w:rsid w:val="0C9910B8"/>
    <w:rsid w:val="0CAB2EAE"/>
    <w:rsid w:val="0CAF1838"/>
    <w:rsid w:val="0CE01F0B"/>
    <w:rsid w:val="0D1D1C73"/>
    <w:rsid w:val="0D3F2ADE"/>
    <w:rsid w:val="0D5B1396"/>
    <w:rsid w:val="0D621C7D"/>
    <w:rsid w:val="0D6C40D7"/>
    <w:rsid w:val="0D777F05"/>
    <w:rsid w:val="0DB10A51"/>
    <w:rsid w:val="0DB86859"/>
    <w:rsid w:val="0DDC29CF"/>
    <w:rsid w:val="0DE016F7"/>
    <w:rsid w:val="0DF51FE3"/>
    <w:rsid w:val="0E15041A"/>
    <w:rsid w:val="0E245887"/>
    <w:rsid w:val="0E453D42"/>
    <w:rsid w:val="0E73034D"/>
    <w:rsid w:val="0E7B4336"/>
    <w:rsid w:val="0E832E57"/>
    <w:rsid w:val="0E9C09EC"/>
    <w:rsid w:val="0ECD1F7D"/>
    <w:rsid w:val="0EF16C12"/>
    <w:rsid w:val="0F012B9B"/>
    <w:rsid w:val="0F016425"/>
    <w:rsid w:val="0F13775A"/>
    <w:rsid w:val="0F1A028E"/>
    <w:rsid w:val="0F330968"/>
    <w:rsid w:val="0F5B1796"/>
    <w:rsid w:val="0F5F45FE"/>
    <w:rsid w:val="0F822E6A"/>
    <w:rsid w:val="0F8712C2"/>
    <w:rsid w:val="0F9A112B"/>
    <w:rsid w:val="0FE62487"/>
    <w:rsid w:val="100F743E"/>
    <w:rsid w:val="102A7B27"/>
    <w:rsid w:val="1047721D"/>
    <w:rsid w:val="105E12DB"/>
    <w:rsid w:val="106D1753"/>
    <w:rsid w:val="106D2F64"/>
    <w:rsid w:val="10B63710"/>
    <w:rsid w:val="10E063A0"/>
    <w:rsid w:val="10F10820"/>
    <w:rsid w:val="10FA2C0C"/>
    <w:rsid w:val="11091B11"/>
    <w:rsid w:val="111C2F7A"/>
    <w:rsid w:val="112B3750"/>
    <w:rsid w:val="11373F0E"/>
    <w:rsid w:val="11665CA1"/>
    <w:rsid w:val="118B7310"/>
    <w:rsid w:val="11C048A3"/>
    <w:rsid w:val="11CF4E41"/>
    <w:rsid w:val="11D64C17"/>
    <w:rsid w:val="12044FAB"/>
    <w:rsid w:val="125B6C0C"/>
    <w:rsid w:val="127A7296"/>
    <w:rsid w:val="128B7C77"/>
    <w:rsid w:val="12B26709"/>
    <w:rsid w:val="132772E9"/>
    <w:rsid w:val="133C28BD"/>
    <w:rsid w:val="133D55CE"/>
    <w:rsid w:val="13474CC3"/>
    <w:rsid w:val="134E6761"/>
    <w:rsid w:val="137666E0"/>
    <w:rsid w:val="138D1EF9"/>
    <w:rsid w:val="13951726"/>
    <w:rsid w:val="139A6B95"/>
    <w:rsid w:val="13FC61B5"/>
    <w:rsid w:val="140B63F8"/>
    <w:rsid w:val="14167A5A"/>
    <w:rsid w:val="14396509"/>
    <w:rsid w:val="145B1315"/>
    <w:rsid w:val="14C83213"/>
    <w:rsid w:val="14DD2C3C"/>
    <w:rsid w:val="14E32AC2"/>
    <w:rsid w:val="14E43B15"/>
    <w:rsid w:val="150006F9"/>
    <w:rsid w:val="150F7187"/>
    <w:rsid w:val="152F3C74"/>
    <w:rsid w:val="15445EE3"/>
    <w:rsid w:val="157F3A02"/>
    <w:rsid w:val="15A703A2"/>
    <w:rsid w:val="15B825AF"/>
    <w:rsid w:val="15E51D87"/>
    <w:rsid w:val="15FE3438"/>
    <w:rsid w:val="16087E1D"/>
    <w:rsid w:val="163953FC"/>
    <w:rsid w:val="16412CB1"/>
    <w:rsid w:val="16526DEE"/>
    <w:rsid w:val="16665BA1"/>
    <w:rsid w:val="167618E8"/>
    <w:rsid w:val="167D03D0"/>
    <w:rsid w:val="1697523C"/>
    <w:rsid w:val="17034E81"/>
    <w:rsid w:val="17125CEF"/>
    <w:rsid w:val="17701D14"/>
    <w:rsid w:val="17735226"/>
    <w:rsid w:val="177A45B1"/>
    <w:rsid w:val="177E0271"/>
    <w:rsid w:val="17921AB8"/>
    <w:rsid w:val="17CE30C4"/>
    <w:rsid w:val="17D87BA1"/>
    <w:rsid w:val="17D9363D"/>
    <w:rsid w:val="17EB698F"/>
    <w:rsid w:val="17EF4F49"/>
    <w:rsid w:val="189F624C"/>
    <w:rsid w:val="18B52FA9"/>
    <w:rsid w:val="19214221"/>
    <w:rsid w:val="19614D0C"/>
    <w:rsid w:val="19D1771F"/>
    <w:rsid w:val="19D41982"/>
    <w:rsid w:val="19DD7E74"/>
    <w:rsid w:val="19F52CAF"/>
    <w:rsid w:val="1A1C66C0"/>
    <w:rsid w:val="1A3E3BAF"/>
    <w:rsid w:val="1A42393B"/>
    <w:rsid w:val="1AA3038A"/>
    <w:rsid w:val="1AAD45DE"/>
    <w:rsid w:val="1AD63654"/>
    <w:rsid w:val="1ADE34AA"/>
    <w:rsid w:val="1AF00425"/>
    <w:rsid w:val="1AFF2A2E"/>
    <w:rsid w:val="1B046F80"/>
    <w:rsid w:val="1B2D759B"/>
    <w:rsid w:val="1B3267B5"/>
    <w:rsid w:val="1B40161D"/>
    <w:rsid w:val="1B441859"/>
    <w:rsid w:val="1B63483B"/>
    <w:rsid w:val="1B6606B1"/>
    <w:rsid w:val="1B904708"/>
    <w:rsid w:val="1B950AAD"/>
    <w:rsid w:val="1BA6544E"/>
    <w:rsid w:val="1BAC40F2"/>
    <w:rsid w:val="1BC21019"/>
    <w:rsid w:val="1BE71D5D"/>
    <w:rsid w:val="1C153640"/>
    <w:rsid w:val="1C1A70C6"/>
    <w:rsid w:val="1C4C2F59"/>
    <w:rsid w:val="1C5E7925"/>
    <w:rsid w:val="1C632B49"/>
    <w:rsid w:val="1C6F14EE"/>
    <w:rsid w:val="1CA4789C"/>
    <w:rsid w:val="1CFD070F"/>
    <w:rsid w:val="1CFF73D1"/>
    <w:rsid w:val="1D2223BB"/>
    <w:rsid w:val="1D2C1A71"/>
    <w:rsid w:val="1D4C4116"/>
    <w:rsid w:val="1D4C443F"/>
    <w:rsid w:val="1D5F6196"/>
    <w:rsid w:val="1D6132A5"/>
    <w:rsid w:val="1D8658DB"/>
    <w:rsid w:val="1D8E56D5"/>
    <w:rsid w:val="1E0370FB"/>
    <w:rsid w:val="1E3F0536"/>
    <w:rsid w:val="1E6037E4"/>
    <w:rsid w:val="1E7A43DA"/>
    <w:rsid w:val="1E8227AD"/>
    <w:rsid w:val="1E991488"/>
    <w:rsid w:val="1E9C4C8B"/>
    <w:rsid w:val="1ED57D2E"/>
    <w:rsid w:val="1EDE7747"/>
    <w:rsid w:val="1F3117D9"/>
    <w:rsid w:val="1F4051CF"/>
    <w:rsid w:val="1F5A2208"/>
    <w:rsid w:val="1F7156F7"/>
    <w:rsid w:val="1F836BC3"/>
    <w:rsid w:val="1FB96ABE"/>
    <w:rsid w:val="1FC16830"/>
    <w:rsid w:val="1FCC2F8A"/>
    <w:rsid w:val="1FD92024"/>
    <w:rsid w:val="1FE7539E"/>
    <w:rsid w:val="1FF35A9C"/>
    <w:rsid w:val="201C37F2"/>
    <w:rsid w:val="20671BE0"/>
    <w:rsid w:val="20963CB8"/>
    <w:rsid w:val="20A81A1B"/>
    <w:rsid w:val="20B07FB6"/>
    <w:rsid w:val="20B521B6"/>
    <w:rsid w:val="20B646FB"/>
    <w:rsid w:val="20C866F4"/>
    <w:rsid w:val="20D364EF"/>
    <w:rsid w:val="20E4667C"/>
    <w:rsid w:val="20F279E4"/>
    <w:rsid w:val="210807DB"/>
    <w:rsid w:val="21100236"/>
    <w:rsid w:val="213B74B1"/>
    <w:rsid w:val="21443B48"/>
    <w:rsid w:val="215A2310"/>
    <w:rsid w:val="216576F5"/>
    <w:rsid w:val="218E7147"/>
    <w:rsid w:val="219B091A"/>
    <w:rsid w:val="21A326A4"/>
    <w:rsid w:val="21A838DA"/>
    <w:rsid w:val="21DE318A"/>
    <w:rsid w:val="21EF5B80"/>
    <w:rsid w:val="22032E04"/>
    <w:rsid w:val="22035C82"/>
    <w:rsid w:val="22423E39"/>
    <w:rsid w:val="22576990"/>
    <w:rsid w:val="228D1A12"/>
    <w:rsid w:val="229337BF"/>
    <w:rsid w:val="22AE6EB6"/>
    <w:rsid w:val="22D622C7"/>
    <w:rsid w:val="22F47480"/>
    <w:rsid w:val="23996427"/>
    <w:rsid w:val="23C860B3"/>
    <w:rsid w:val="23DE1C48"/>
    <w:rsid w:val="23F104A3"/>
    <w:rsid w:val="240210CD"/>
    <w:rsid w:val="246427CD"/>
    <w:rsid w:val="24692C9A"/>
    <w:rsid w:val="24993148"/>
    <w:rsid w:val="24A86B2E"/>
    <w:rsid w:val="24B53B64"/>
    <w:rsid w:val="24BF09F7"/>
    <w:rsid w:val="24EA2059"/>
    <w:rsid w:val="24F15531"/>
    <w:rsid w:val="24F83FA2"/>
    <w:rsid w:val="251F10C7"/>
    <w:rsid w:val="252D53FE"/>
    <w:rsid w:val="25457290"/>
    <w:rsid w:val="256F0049"/>
    <w:rsid w:val="257F1724"/>
    <w:rsid w:val="25EC2D81"/>
    <w:rsid w:val="26115753"/>
    <w:rsid w:val="26137703"/>
    <w:rsid w:val="26396FB4"/>
    <w:rsid w:val="264C30AD"/>
    <w:rsid w:val="26AA51CD"/>
    <w:rsid w:val="26EB3E67"/>
    <w:rsid w:val="27254C5E"/>
    <w:rsid w:val="273924B6"/>
    <w:rsid w:val="275102E5"/>
    <w:rsid w:val="277057A2"/>
    <w:rsid w:val="277718B8"/>
    <w:rsid w:val="27CF75F8"/>
    <w:rsid w:val="27E06619"/>
    <w:rsid w:val="27F03E2A"/>
    <w:rsid w:val="27F83520"/>
    <w:rsid w:val="2854284F"/>
    <w:rsid w:val="289C4ED9"/>
    <w:rsid w:val="28D95648"/>
    <w:rsid w:val="28E87E39"/>
    <w:rsid w:val="290763A8"/>
    <w:rsid w:val="29206EB8"/>
    <w:rsid w:val="295259E3"/>
    <w:rsid w:val="29595666"/>
    <w:rsid w:val="296D1601"/>
    <w:rsid w:val="29874881"/>
    <w:rsid w:val="298A7967"/>
    <w:rsid w:val="29E325E0"/>
    <w:rsid w:val="2A452503"/>
    <w:rsid w:val="2A7103F0"/>
    <w:rsid w:val="2AC522CE"/>
    <w:rsid w:val="2AC62F20"/>
    <w:rsid w:val="2B1E0CAF"/>
    <w:rsid w:val="2B2A4CD8"/>
    <w:rsid w:val="2B832A70"/>
    <w:rsid w:val="2B8B5A60"/>
    <w:rsid w:val="2B936FA7"/>
    <w:rsid w:val="2BA936A8"/>
    <w:rsid w:val="2BE57233"/>
    <w:rsid w:val="2C002162"/>
    <w:rsid w:val="2C111BA1"/>
    <w:rsid w:val="2C315A5A"/>
    <w:rsid w:val="2C4B1C25"/>
    <w:rsid w:val="2C6235AD"/>
    <w:rsid w:val="2C7C56D2"/>
    <w:rsid w:val="2C833CDD"/>
    <w:rsid w:val="2C8C558F"/>
    <w:rsid w:val="2C8F58F5"/>
    <w:rsid w:val="2C995D5E"/>
    <w:rsid w:val="2C9F3729"/>
    <w:rsid w:val="2CA349DC"/>
    <w:rsid w:val="2CAE7772"/>
    <w:rsid w:val="2CD67F39"/>
    <w:rsid w:val="2D0951FE"/>
    <w:rsid w:val="2D1C3E8C"/>
    <w:rsid w:val="2D2307FE"/>
    <w:rsid w:val="2D3B66A8"/>
    <w:rsid w:val="2D441F06"/>
    <w:rsid w:val="2D510490"/>
    <w:rsid w:val="2D7A01B7"/>
    <w:rsid w:val="2D915768"/>
    <w:rsid w:val="2D9E56F5"/>
    <w:rsid w:val="2DC17BD8"/>
    <w:rsid w:val="2DC815E1"/>
    <w:rsid w:val="2DFA04B5"/>
    <w:rsid w:val="2E03471A"/>
    <w:rsid w:val="2E086E1B"/>
    <w:rsid w:val="2E101BF4"/>
    <w:rsid w:val="2E556EA4"/>
    <w:rsid w:val="2E567211"/>
    <w:rsid w:val="2E5977D4"/>
    <w:rsid w:val="2E6311D0"/>
    <w:rsid w:val="2E667F96"/>
    <w:rsid w:val="2E8226AB"/>
    <w:rsid w:val="2EAB2F15"/>
    <w:rsid w:val="2EBE469D"/>
    <w:rsid w:val="2F33480C"/>
    <w:rsid w:val="2F9A6CEB"/>
    <w:rsid w:val="2FD065E6"/>
    <w:rsid w:val="2FD96870"/>
    <w:rsid w:val="303E567B"/>
    <w:rsid w:val="304E7CC9"/>
    <w:rsid w:val="30580BC9"/>
    <w:rsid w:val="306D74E0"/>
    <w:rsid w:val="3083358B"/>
    <w:rsid w:val="30AB07C8"/>
    <w:rsid w:val="30BF3E1C"/>
    <w:rsid w:val="30DE4672"/>
    <w:rsid w:val="311E2ED7"/>
    <w:rsid w:val="31452518"/>
    <w:rsid w:val="315619EE"/>
    <w:rsid w:val="315C449C"/>
    <w:rsid w:val="318E5797"/>
    <w:rsid w:val="318F040B"/>
    <w:rsid w:val="318F1FBE"/>
    <w:rsid w:val="31A00015"/>
    <w:rsid w:val="31B82709"/>
    <w:rsid w:val="31D05482"/>
    <w:rsid w:val="32186134"/>
    <w:rsid w:val="32195D2C"/>
    <w:rsid w:val="32400B34"/>
    <w:rsid w:val="324F39D5"/>
    <w:rsid w:val="325624F0"/>
    <w:rsid w:val="325677A6"/>
    <w:rsid w:val="325E1022"/>
    <w:rsid w:val="32601BAD"/>
    <w:rsid w:val="32891103"/>
    <w:rsid w:val="329E6876"/>
    <w:rsid w:val="32A04386"/>
    <w:rsid w:val="32B4017D"/>
    <w:rsid w:val="333015F2"/>
    <w:rsid w:val="334B6320"/>
    <w:rsid w:val="33925C3D"/>
    <w:rsid w:val="33947D60"/>
    <w:rsid w:val="33993702"/>
    <w:rsid w:val="33BE3BF0"/>
    <w:rsid w:val="33D44600"/>
    <w:rsid w:val="33D934D4"/>
    <w:rsid w:val="33E30F28"/>
    <w:rsid w:val="33FE2F6A"/>
    <w:rsid w:val="3404167E"/>
    <w:rsid w:val="340E07E5"/>
    <w:rsid w:val="34235BF7"/>
    <w:rsid w:val="34374741"/>
    <w:rsid w:val="346534AA"/>
    <w:rsid w:val="34E414F8"/>
    <w:rsid w:val="358C5FA8"/>
    <w:rsid w:val="359F2285"/>
    <w:rsid w:val="35C15DF1"/>
    <w:rsid w:val="36074A7F"/>
    <w:rsid w:val="361845E0"/>
    <w:rsid w:val="362464E4"/>
    <w:rsid w:val="368400BE"/>
    <w:rsid w:val="36923549"/>
    <w:rsid w:val="36B75FBF"/>
    <w:rsid w:val="36BD0C45"/>
    <w:rsid w:val="36EE608B"/>
    <w:rsid w:val="37152977"/>
    <w:rsid w:val="371804F5"/>
    <w:rsid w:val="373B350A"/>
    <w:rsid w:val="3760442F"/>
    <w:rsid w:val="37E00298"/>
    <w:rsid w:val="37EF0C0E"/>
    <w:rsid w:val="381036D7"/>
    <w:rsid w:val="384D772E"/>
    <w:rsid w:val="385B0E4C"/>
    <w:rsid w:val="385E26EA"/>
    <w:rsid w:val="38663962"/>
    <w:rsid w:val="3873043E"/>
    <w:rsid w:val="3892387A"/>
    <w:rsid w:val="3895564A"/>
    <w:rsid w:val="38B302F9"/>
    <w:rsid w:val="38E5599A"/>
    <w:rsid w:val="38F12CD3"/>
    <w:rsid w:val="38F94775"/>
    <w:rsid w:val="391060DB"/>
    <w:rsid w:val="392254C6"/>
    <w:rsid w:val="39266EAF"/>
    <w:rsid w:val="392971ED"/>
    <w:rsid w:val="39325651"/>
    <w:rsid w:val="39A425D1"/>
    <w:rsid w:val="39C048AB"/>
    <w:rsid w:val="39C54627"/>
    <w:rsid w:val="39F62503"/>
    <w:rsid w:val="3A0B68A2"/>
    <w:rsid w:val="3A4E65B2"/>
    <w:rsid w:val="3A6164C2"/>
    <w:rsid w:val="3A872856"/>
    <w:rsid w:val="3AF018B9"/>
    <w:rsid w:val="3B230473"/>
    <w:rsid w:val="3B3763D1"/>
    <w:rsid w:val="3BF33A92"/>
    <w:rsid w:val="3BF97579"/>
    <w:rsid w:val="3C2F6E1E"/>
    <w:rsid w:val="3C4F64BA"/>
    <w:rsid w:val="3C62362B"/>
    <w:rsid w:val="3C8F6164"/>
    <w:rsid w:val="3C972F51"/>
    <w:rsid w:val="3CA41A0E"/>
    <w:rsid w:val="3CDA245A"/>
    <w:rsid w:val="3D1E06B7"/>
    <w:rsid w:val="3D3F1112"/>
    <w:rsid w:val="3D913DAB"/>
    <w:rsid w:val="3DDC62A4"/>
    <w:rsid w:val="3DE868F3"/>
    <w:rsid w:val="3E435F9D"/>
    <w:rsid w:val="3E8C7C1C"/>
    <w:rsid w:val="3EA76E25"/>
    <w:rsid w:val="3EB02FC3"/>
    <w:rsid w:val="3EC939B1"/>
    <w:rsid w:val="3EDA0523"/>
    <w:rsid w:val="3F656CDA"/>
    <w:rsid w:val="3FDE5AE7"/>
    <w:rsid w:val="3FF1419F"/>
    <w:rsid w:val="3FFB06AA"/>
    <w:rsid w:val="4007415D"/>
    <w:rsid w:val="407A6407"/>
    <w:rsid w:val="40A767E3"/>
    <w:rsid w:val="40B55BE0"/>
    <w:rsid w:val="41067A28"/>
    <w:rsid w:val="411B6C2F"/>
    <w:rsid w:val="412A504D"/>
    <w:rsid w:val="41396295"/>
    <w:rsid w:val="41774B2D"/>
    <w:rsid w:val="418F7BE5"/>
    <w:rsid w:val="419572C7"/>
    <w:rsid w:val="41A53BAA"/>
    <w:rsid w:val="41C2393E"/>
    <w:rsid w:val="41D35F26"/>
    <w:rsid w:val="4200449D"/>
    <w:rsid w:val="423A3BCC"/>
    <w:rsid w:val="424E57D2"/>
    <w:rsid w:val="425F766F"/>
    <w:rsid w:val="426210ED"/>
    <w:rsid w:val="42802DC0"/>
    <w:rsid w:val="42880EAC"/>
    <w:rsid w:val="42B26C49"/>
    <w:rsid w:val="42E24939"/>
    <w:rsid w:val="42E63E00"/>
    <w:rsid w:val="42E84EF0"/>
    <w:rsid w:val="431A2344"/>
    <w:rsid w:val="43217976"/>
    <w:rsid w:val="433A6FE6"/>
    <w:rsid w:val="43480868"/>
    <w:rsid w:val="4350713C"/>
    <w:rsid w:val="436653E0"/>
    <w:rsid w:val="43770999"/>
    <w:rsid w:val="43B71B72"/>
    <w:rsid w:val="43C4431A"/>
    <w:rsid w:val="43D23C67"/>
    <w:rsid w:val="43E00914"/>
    <w:rsid w:val="43E53A57"/>
    <w:rsid w:val="43EF3D80"/>
    <w:rsid w:val="440F6DEB"/>
    <w:rsid w:val="447C21D5"/>
    <w:rsid w:val="44B951CC"/>
    <w:rsid w:val="44CD14E0"/>
    <w:rsid w:val="44DD3524"/>
    <w:rsid w:val="44F10582"/>
    <w:rsid w:val="44F20B0B"/>
    <w:rsid w:val="452E5F4C"/>
    <w:rsid w:val="45612018"/>
    <w:rsid w:val="45761C87"/>
    <w:rsid w:val="458946E9"/>
    <w:rsid w:val="45A47C0E"/>
    <w:rsid w:val="45C17590"/>
    <w:rsid w:val="45DC2FBC"/>
    <w:rsid w:val="460A1E2C"/>
    <w:rsid w:val="46253ED0"/>
    <w:rsid w:val="46532C26"/>
    <w:rsid w:val="46577FD6"/>
    <w:rsid w:val="467539CB"/>
    <w:rsid w:val="46790DB6"/>
    <w:rsid w:val="46832BC7"/>
    <w:rsid w:val="46B246B9"/>
    <w:rsid w:val="46D955A7"/>
    <w:rsid w:val="47133957"/>
    <w:rsid w:val="47557D06"/>
    <w:rsid w:val="476B131A"/>
    <w:rsid w:val="476D688B"/>
    <w:rsid w:val="47786CD0"/>
    <w:rsid w:val="47A07E0C"/>
    <w:rsid w:val="47B67960"/>
    <w:rsid w:val="47BD685E"/>
    <w:rsid w:val="47E04740"/>
    <w:rsid w:val="4841626C"/>
    <w:rsid w:val="48521648"/>
    <w:rsid w:val="4870272E"/>
    <w:rsid w:val="48C01258"/>
    <w:rsid w:val="49315151"/>
    <w:rsid w:val="497F6965"/>
    <w:rsid w:val="499A6821"/>
    <w:rsid w:val="49C36851"/>
    <w:rsid w:val="49DC7715"/>
    <w:rsid w:val="49F1506C"/>
    <w:rsid w:val="49FB6ADD"/>
    <w:rsid w:val="4A023139"/>
    <w:rsid w:val="4A035649"/>
    <w:rsid w:val="4A0529BC"/>
    <w:rsid w:val="4A0E7B55"/>
    <w:rsid w:val="4A1C1C8B"/>
    <w:rsid w:val="4A301A0D"/>
    <w:rsid w:val="4A3518BF"/>
    <w:rsid w:val="4A5F6A3D"/>
    <w:rsid w:val="4A7B576F"/>
    <w:rsid w:val="4AB140CE"/>
    <w:rsid w:val="4AB819E1"/>
    <w:rsid w:val="4AC543A1"/>
    <w:rsid w:val="4AE44383"/>
    <w:rsid w:val="4AE64EED"/>
    <w:rsid w:val="4AF561A9"/>
    <w:rsid w:val="4B0A4692"/>
    <w:rsid w:val="4B270A60"/>
    <w:rsid w:val="4B3D2633"/>
    <w:rsid w:val="4B4212BF"/>
    <w:rsid w:val="4B511C11"/>
    <w:rsid w:val="4B55097D"/>
    <w:rsid w:val="4B647077"/>
    <w:rsid w:val="4B85255E"/>
    <w:rsid w:val="4BA84B1C"/>
    <w:rsid w:val="4BC33354"/>
    <w:rsid w:val="4BD05255"/>
    <w:rsid w:val="4BED451D"/>
    <w:rsid w:val="4C4A0649"/>
    <w:rsid w:val="4C7564F1"/>
    <w:rsid w:val="4C7E3C61"/>
    <w:rsid w:val="4C7E5ECA"/>
    <w:rsid w:val="4C876AA5"/>
    <w:rsid w:val="4C944958"/>
    <w:rsid w:val="4CE541DA"/>
    <w:rsid w:val="4D0E00FB"/>
    <w:rsid w:val="4D176606"/>
    <w:rsid w:val="4D1E18AA"/>
    <w:rsid w:val="4D2D32B1"/>
    <w:rsid w:val="4D357A66"/>
    <w:rsid w:val="4D752874"/>
    <w:rsid w:val="4D7C6D74"/>
    <w:rsid w:val="4D9E4BF3"/>
    <w:rsid w:val="4DC4528E"/>
    <w:rsid w:val="4DD95AC2"/>
    <w:rsid w:val="4DDB7637"/>
    <w:rsid w:val="4DEC4FB0"/>
    <w:rsid w:val="4E075D8A"/>
    <w:rsid w:val="4E2B3A93"/>
    <w:rsid w:val="4E9C58C3"/>
    <w:rsid w:val="4EAC46BA"/>
    <w:rsid w:val="4EC00FAD"/>
    <w:rsid w:val="4EC32CAC"/>
    <w:rsid w:val="4EFE2872"/>
    <w:rsid w:val="4F0C7FA9"/>
    <w:rsid w:val="4F2002A2"/>
    <w:rsid w:val="4F9843DC"/>
    <w:rsid w:val="4FAB08DA"/>
    <w:rsid w:val="4FC62A8C"/>
    <w:rsid w:val="4FD4493A"/>
    <w:rsid w:val="4FDC066D"/>
    <w:rsid w:val="4FE20F0D"/>
    <w:rsid w:val="4FE51552"/>
    <w:rsid w:val="502A7A0B"/>
    <w:rsid w:val="50504C4B"/>
    <w:rsid w:val="50527F26"/>
    <w:rsid w:val="505779BC"/>
    <w:rsid w:val="505D4B05"/>
    <w:rsid w:val="50715259"/>
    <w:rsid w:val="509C6E7C"/>
    <w:rsid w:val="50AA076B"/>
    <w:rsid w:val="50AA195C"/>
    <w:rsid w:val="50B455BD"/>
    <w:rsid w:val="511469E4"/>
    <w:rsid w:val="5150714B"/>
    <w:rsid w:val="5162104E"/>
    <w:rsid w:val="5190287A"/>
    <w:rsid w:val="51AE0F7B"/>
    <w:rsid w:val="52971029"/>
    <w:rsid w:val="52A76E76"/>
    <w:rsid w:val="52AA2CA4"/>
    <w:rsid w:val="52AE3BC4"/>
    <w:rsid w:val="52E15E82"/>
    <w:rsid w:val="52F54395"/>
    <w:rsid w:val="52FD1026"/>
    <w:rsid w:val="53052BED"/>
    <w:rsid w:val="534132A4"/>
    <w:rsid w:val="535D5631"/>
    <w:rsid w:val="536E2CA2"/>
    <w:rsid w:val="53A039CC"/>
    <w:rsid w:val="53A1505A"/>
    <w:rsid w:val="53F64ED8"/>
    <w:rsid w:val="53F9421E"/>
    <w:rsid w:val="54063E08"/>
    <w:rsid w:val="540F2041"/>
    <w:rsid w:val="542F3072"/>
    <w:rsid w:val="543437E8"/>
    <w:rsid w:val="543B4194"/>
    <w:rsid w:val="544F3B03"/>
    <w:rsid w:val="54653C42"/>
    <w:rsid w:val="54762E41"/>
    <w:rsid w:val="54F73313"/>
    <w:rsid w:val="54F80955"/>
    <w:rsid w:val="551114EB"/>
    <w:rsid w:val="551D4FCF"/>
    <w:rsid w:val="554B6D60"/>
    <w:rsid w:val="555170A7"/>
    <w:rsid w:val="5563538C"/>
    <w:rsid w:val="55774424"/>
    <w:rsid w:val="557828BF"/>
    <w:rsid w:val="5587536D"/>
    <w:rsid w:val="559B174B"/>
    <w:rsid w:val="55CE0CF4"/>
    <w:rsid w:val="55F33BA2"/>
    <w:rsid w:val="560F5511"/>
    <w:rsid w:val="562C50A5"/>
    <w:rsid w:val="563A336C"/>
    <w:rsid w:val="56694513"/>
    <w:rsid w:val="56A80939"/>
    <w:rsid w:val="56B22A9C"/>
    <w:rsid w:val="56FF57CA"/>
    <w:rsid w:val="57182145"/>
    <w:rsid w:val="5722092E"/>
    <w:rsid w:val="574E563A"/>
    <w:rsid w:val="57943658"/>
    <w:rsid w:val="57AA0A80"/>
    <w:rsid w:val="57B72A76"/>
    <w:rsid w:val="57B878D7"/>
    <w:rsid w:val="57B96953"/>
    <w:rsid w:val="57C3426C"/>
    <w:rsid w:val="57CE1F93"/>
    <w:rsid w:val="57D0177D"/>
    <w:rsid w:val="584D616C"/>
    <w:rsid w:val="588743D1"/>
    <w:rsid w:val="5887701A"/>
    <w:rsid w:val="58925070"/>
    <w:rsid w:val="58B67496"/>
    <w:rsid w:val="58C27B16"/>
    <w:rsid w:val="590B7824"/>
    <w:rsid w:val="592F73BF"/>
    <w:rsid w:val="59633BAD"/>
    <w:rsid w:val="59AE516F"/>
    <w:rsid w:val="59C0439F"/>
    <w:rsid w:val="5A1D6589"/>
    <w:rsid w:val="5A295543"/>
    <w:rsid w:val="5A2B0EBD"/>
    <w:rsid w:val="5A3B4946"/>
    <w:rsid w:val="5A607552"/>
    <w:rsid w:val="5A720BC4"/>
    <w:rsid w:val="5A847BB4"/>
    <w:rsid w:val="5AB87F28"/>
    <w:rsid w:val="5ABE2233"/>
    <w:rsid w:val="5ACA7612"/>
    <w:rsid w:val="5AD95FE2"/>
    <w:rsid w:val="5AE32D1C"/>
    <w:rsid w:val="5AEE28B7"/>
    <w:rsid w:val="5B084200"/>
    <w:rsid w:val="5B1F4698"/>
    <w:rsid w:val="5B4C2D28"/>
    <w:rsid w:val="5B541260"/>
    <w:rsid w:val="5B6A2D43"/>
    <w:rsid w:val="5B7D7233"/>
    <w:rsid w:val="5B8830EB"/>
    <w:rsid w:val="5B8A2650"/>
    <w:rsid w:val="5B902100"/>
    <w:rsid w:val="5BAD419F"/>
    <w:rsid w:val="5BD818EA"/>
    <w:rsid w:val="5BDF5D95"/>
    <w:rsid w:val="5BE63B09"/>
    <w:rsid w:val="5BFE7528"/>
    <w:rsid w:val="5C26551A"/>
    <w:rsid w:val="5CBF5DB0"/>
    <w:rsid w:val="5CFD571E"/>
    <w:rsid w:val="5D055F8D"/>
    <w:rsid w:val="5D5201C0"/>
    <w:rsid w:val="5D6B0331"/>
    <w:rsid w:val="5DCA76F7"/>
    <w:rsid w:val="5E0A1CE6"/>
    <w:rsid w:val="5E2467F1"/>
    <w:rsid w:val="5E50427B"/>
    <w:rsid w:val="5E543924"/>
    <w:rsid w:val="5E685B79"/>
    <w:rsid w:val="5E82554B"/>
    <w:rsid w:val="5EC811C2"/>
    <w:rsid w:val="5EFB65EB"/>
    <w:rsid w:val="5F1A2B43"/>
    <w:rsid w:val="5F1E3278"/>
    <w:rsid w:val="5F2A32FA"/>
    <w:rsid w:val="5F394913"/>
    <w:rsid w:val="5F9A7BFD"/>
    <w:rsid w:val="5FAD306B"/>
    <w:rsid w:val="5FAE013D"/>
    <w:rsid w:val="5FB837BB"/>
    <w:rsid w:val="5FBE4115"/>
    <w:rsid w:val="600610A4"/>
    <w:rsid w:val="606149E9"/>
    <w:rsid w:val="60786E03"/>
    <w:rsid w:val="607E307A"/>
    <w:rsid w:val="60A800F7"/>
    <w:rsid w:val="60CC405A"/>
    <w:rsid w:val="60DC5A85"/>
    <w:rsid w:val="60F11E42"/>
    <w:rsid w:val="61031248"/>
    <w:rsid w:val="617D17A4"/>
    <w:rsid w:val="6187730A"/>
    <w:rsid w:val="61C81924"/>
    <w:rsid w:val="61DC5C3E"/>
    <w:rsid w:val="61E215D8"/>
    <w:rsid w:val="62075A9D"/>
    <w:rsid w:val="621B3775"/>
    <w:rsid w:val="621D108A"/>
    <w:rsid w:val="62364782"/>
    <w:rsid w:val="62711C59"/>
    <w:rsid w:val="62A3302E"/>
    <w:rsid w:val="62A84C5F"/>
    <w:rsid w:val="62AD6846"/>
    <w:rsid w:val="63170071"/>
    <w:rsid w:val="63431860"/>
    <w:rsid w:val="636649C5"/>
    <w:rsid w:val="638C0891"/>
    <w:rsid w:val="6394356A"/>
    <w:rsid w:val="63C61B2C"/>
    <w:rsid w:val="63D40BE9"/>
    <w:rsid w:val="63E85902"/>
    <w:rsid w:val="64102431"/>
    <w:rsid w:val="6429260C"/>
    <w:rsid w:val="643E5896"/>
    <w:rsid w:val="64422A55"/>
    <w:rsid w:val="645D5C0E"/>
    <w:rsid w:val="64630F05"/>
    <w:rsid w:val="649D588A"/>
    <w:rsid w:val="64A5243A"/>
    <w:rsid w:val="64BC7893"/>
    <w:rsid w:val="64CD176A"/>
    <w:rsid w:val="64F10045"/>
    <w:rsid w:val="64F3532A"/>
    <w:rsid w:val="64F501B1"/>
    <w:rsid w:val="64F531DE"/>
    <w:rsid w:val="64FB7191"/>
    <w:rsid w:val="650C08DA"/>
    <w:rsid w:val="65373578"/>
    <w:rsid w:val="65413F44"/>
    <w:rsid w:val="65817895"/>
    <w:rsid w:val="65A4248C"/>
    <w:rsid w:val="65B155C8"/>
    <w:rsid w:val="65B408B6"/>
    <w:rsid w:val="65CC1584"/>
    <w:rsid w:val="662330F4"/>
    <w:rsid w:val="66717017"/>
    <w:rsid w:val="66922C07"/>
    <w:rsid w:val="66972236"/>
    <w:rsid w:val="671F124A"/>
    <w:rsid w:val="67676A37"/>
    <w:rsid w:val="677A33C6"/>
    <w:rsid w:val="67F867E0"/>
    <w:rsid w:val="681F6961"/>
    <w:rsid w:val="682E182A"/>
    <w:rsid w:val="68610A2F"/>
    <w:rsid w:val="687221D0"/>
    <w:rsid w:val="68805514"/>
    <w:rsid w:val="68866F70"/>
    <w:rsid w:val="68C6321F"/>
    <w:rsid w:val="68F771DC"/>
    <w:rsid w:val="69047A53"/>
    <w:rsid w:val="69095579"/>
    <w:rsid w:val="692135F9"/>
    <w:rsid w:val="69262583"/>
    <w:rsid w:val="69316E2F"/>
    <w:rsid w:val="694E2071"/>
    <w:rsid w:val="69766163"/>
    <w:rsid w:val="697A3B33"/>
    <w:rsid w:val="697B2CD9"/>
    <w:rsid w:val="69860835"/>
    <w:rsid w:val="69945B39"/>
    <w:rsid w:val="699D36FA"/>
    <w:rsid w:val="69D44760"/>
    <w:rsid w:val="6A4315BC"/>
    <w:rsid w:val="6A520EC7"/>
    <w:rsid w:val="6A531B93"/>
    <w:rsid w:val="6A554E4C"/>
    <w:rsid w:val="6A5D2AF8"/>
    <w:rsid w:val="6A7F3BC1"/>
    <w:rsid w:val="6AB94E66"/>
    <w:rsid w:val="6ADF17B4"/>
    <w:rsid w:val="6AE306AA"/>
    <w:rsid w:val="6AF87E20"/>
    <w:rsid w:val="6B1A3132"/>
    <w:rsid w:val="6B322639"/>
    <w:rsid w:val="6B754ED8"/>
    <w:rsid w:val="6B840687"/>
    <w:rsid w:val="6BA8011A"/>
    <w:rsid w:val="6BB02C64"/>
    <w:rsid w:val="6C3118E9"/>
    <w:rsid w:val="6C504EFF"/>
    <w:rsid w:val="6C532C31"/>
    <w:rsid w:val="6C636C38"/>
    <w:rsid w:val="6C8A131B"/>
    <w:rsid w:val="6C8B0885"/>
    <w:rsid w:val="6C985C47"/>
    <w:rsid w:val="6D2C3DDA"/>
    <w:rsid w:val="6D3E7C18"/>
    <w:rsid w:val="6D8E6C1E"/>
    <w:rsid w:val="6DB34098"/>
    <w:rsid w:val="6DB545B6"/>
    <w:rsid w:val="6DB77A02"/>
    <w:rsid w:val="6DE02FB4"/>
    <w:rsid w:val="6E0D71B4"/>
    <w:rsid w:val="6E140883"/>
    <w:rsid w:val="6E514CED"/>
    <w:rsid w:val="6E5C751F"/>
    <w:rsid w:val="6E66587A"/>
    <w:rsid w:val="6E833FDF"/>
    <w:rsid w:val="6E8A3647"/>
    <w:rsid w:val="6EAB02AC"/>
    <w:rsid w:val="6EB563D5"/>
    <w:rsid w:val="6EC110A0"/>
    <w:rsid w:val="6ED92677"/>
    <w:rsid w:val="6F225983"/>
    <w:rsid w:val="6F385E1D"/>
    <w:rsid w:val="6F4078DF"/>
    <w:rsid w:val="6F4209C6"/>
    <w:rsid w:val="6F5F4B7F"/>
    <w:rsid w:val="6F757D88"/>
    <w:rsid w:val="6F7A23E2"/>
    <w:rsid w:val="6F7D02DB"/>
    <w:rsid w:val="6FB81EA5"/>
    <w:rsid w:val="6FFC5590"/>
    <w:rsid w:val="6FFE28A3"/>
    <w:rsid w:val="70104BF1"/>
    <w:rsid w:val="703B2D36"/>
    <w:rsid w:val="70446D77"/>
    <w:rsid w:val="706D1DD0"/>
    <w:rsid w:val="70856B87"/>
    <w:rsid w:val="709A2BA9"/>
    <w:rsid w:val="709F32C5"/>
    <w:rsid w:val="70C963E8"/>
    <w:rsid w:val="70D527EE"/>
    <w:rsid w:val="70F2437E"/>
    <w:rsid w:val="71133784"/>
    <w:rsid w:val="711A294B"/>
    <w:rsid w:val="71531B3C"/>
    <w:rsid w:val="715859D7"/>
    <w:rsid w:val="715B5300"/>
    <w:rsid w:val="716D6F1F"/>
    <w:rsid w:val="71D27F8A"/>
    <w:rsid w:val="71EC73E2"/>
    <w:rsid w:val="7202673C"/>
    <w:rsid w:val="72190E55"/>
    <w:rsid w:val="723C0CD9"/>
    <w:rsid w:val="72553024"/>
    <w:rsid w:val="728A578C"/>
    <w:rsid w:val="73122968"/>
    <w:rsid w:val="731F5D5E"/>
    <w:rsid w:val="736325FA"/>
    <w:rsid w:val="73633A87"/>
    <w:rsid w:val="736C390E"/>
    <w:rsid w:val="737C2005"/>
    <w:rsid w:val="737C34B6"/>
    <w:rsid w:val="73C51AD5"/>
    <w:rsid w:val="73FC4241"/>
    <w:rsid w:val="741E4ACB"/>
    <w:rsid w:val="741E793C"/>
    <w:rsid w:val="745B7B21"/>
    <w:rsid w:val="745E3944"/>
    <w:rsid w:val="746E562F"/>
    <w:rsid w:val="748759BE"/>
    <w:rsid w:val="74BF319B"/>
    <w:rsid w:val="74D63AA0"/>
    <w:rsid w:val="75291729"/>
    <w:rsid w:val="754F71E0"/>
    <w:rsid w:val="75691363"/>
    <w:rsid w:val="759251A6"/>
    <w:rsid w:val="75B710B1"/>
    <w:rsid w:val="75CE6D45"/>
    <w:rsid w:val="75EF2D13"/>
    <w:rsid w:val="7635099D"/>
    <w:rsid w:val="76407334"/>
    <w:rsid w:val="767C76DD"/>
    <w:rsid w:val="769218F6"/>
    <w:rsid w:val="76C31D59"/>
    <w:rsid w:val="76F04716"/>
    <w:rsid w:val="77020109"/>
    <w:rsid w:val="77377DED"/>
    <w:rsid w:val="77762421"/>
    <w:rsid w:val="779C5A93"/>
    <w:rsid w:val="77AF72C1"/>
    <w:rsid w:val="77B56B1F"/>
    <w:rsid w:val="77E75CED"/>
    <w:rsid w:val="77FC5FED"/>
    <w:rsid w:val="78015F2F"/>
    <w:rsid w:val="780F09F4"/>
    <w:rsid w:val="78111A60"/>
    <w:rsid w:val="7839648A"/>
    <w:rsid w:val="78532FC3"/>
    <w:rsid w:val="7860333A"/>
    <w:rsid w:val="786426FE"/>
    <w:rsid w:val="78702385"/>
    <w:rsid w:val="78984061"/>
    <w:rsid w:val="78A90480"/>
    <w:rsid w:val="78AC64FE"/>
    <w:rsid w:val="79521386"/>
    <w:rsid w:val="795A75B2"/>
    <w:rsid w:val="7960267F"/>
    <w:rsid w:val="79BC42B3"/>
    <w:rsid w:val="7A1A0240"/>
    <w:rsid w:val="7A364017"/>
    <w:rsid w:val="7A624B2D"/>
    <w:rsid w:val="7A664E53"/>
    <w:rsid w:val="7A725721"/>
    <w:rsid w:val="7A8265E1"/>
    <w:rsid w:val="7AAC2A0A"/>
    <w:rsid w:val="7AF63F8F"/>
    <w:rsid w:val="7B234AF2"/>
    <w:rsid w:val="7B686D42"/>
    <w:rsid w:val="7B841746"/>
    <w:rsid w:val="7B8849B9"/>
    <w:rsid w:val="7BB20BED"/>
    <w:rsid w:val="7BEC7148"/>
    <w:rsid w:val="7C1053CB"/>
    <w:rsid w:val="7C21011D"/>
    <w:rsid w:val="7C5C66CD"/>
    <w:rsid w:val="7C6C5AC7"/>
    <w:rsid w:val="7C8E41ED"/>
    <w:rsid w:val="7CC6544B"/>
    <w:rsid w:val="7CF602B8"/>
    <w:rsid w:val="7D0239FF"/>
    <w:rsid w:val="7D052701"/>
    <w:rsid w:val="7D0F6B89"/>
    <w:rsid w:val="7D124CFF"/>
    <w:rsid w:val="7D415991"/>
    <w:rsid w:val="7D5E40CD"/>
    <w:rsid w:val="7D9D293A"/>
    <w:rsid w:val="7DCD56F2"/>
    <w:rsid w:val="7DE24FAD"/>
    <w:rsid w:val="7E0345BF"/>
    <w:rsid w:val="7E325589"/>
    <w:rsid w:val="7E70748C"/>
    <w:rsid w:val="7E885398"/>
    <w:rsid w:val="7F001CE7"/>
    <w:rsid w:val="7F321638"/>
    <w:rsid w:val="7F860968"/>
    <w:rsid w:val="7FAC0CF8"/>
    <w:rsid w:val="7FBD5861"/>
    <w:rsid w:val="7FCA19E0"/>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99"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3"/>
    <w:basedOn w:val="1"/>
    <w:next w:val="1"/>
    <w:autoRedefine/>
    <w:qFormat/>
    <w:locked/>
    <w:uiPriority w:val="0"/>
    <w:pPr>
      <w:keepNext/>
      <w:keepLines/>
      <w:numPr>
        <w:ilvl w:val="2"/>
        <w:numId w:val="1"/>
      </w:numPr>
      <w:spacing w:before="260" w:after="260" w:line="416" w:lineRule="auto"/>
      <w:outlineLvl w:val="2"/>
    </w:pPr>
    <w:rPr>
      <w:b/>
      <w:bCs/>
      <w:sz w:val="32"/>
      <w:szCs w:val="32"/>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locked/>
    <w:uiPriority w:val="0"/>
    <w:pPr>
      <w:ind w:firstLine="420" w:firstLineChars="200"/>
    </w:pPr>
    <w:rPr>
      <w:rFonts w:ascii="Times New Roman" w:hAnsi="Times New Roman" w:eastAsia="仿宋_GB2312"/>
    </w:rPr>
  </w:style>
  <w:style w:type="paragraph" w:styleId="5">
    <w:name w:val="Document Map"/>
    <w:basedOn w:val="1"/>
    <w:link w:val="33"/>
    <w:autoRedefine/>
    <w:qFormat/>
    <w:locked/>
    <w:uiPriority w:val="0"/>
    <w:rPr>
      <w:rFonts w:ascii="宋体"/>
      <w:sz w:val="18"/>
      <w:szCs w:val="18"/>
    </w:rPr>
  </w:style>
  <w:style w:type="paragraph" w:styleId="6">
    <w:name w:val="annotation text"/>
    <w:basedOn w:val="1"/>
    <w:link w:val="34"/>
    <w:autoRedefine/>
    <w:semiHidden/>
    <w:qFormat/>
    <w:uiPriority w:val="0"/>
    <w:pPr>
      <w:jc w:val="left"/>
    </w:pPr>
    <w:rPr>
      <w:kern w:val="0"/>
      <w:sz w:val="24"/>
      <w:szCs w:val="20"/>
    </w:rPr>
  </w:style>
  <w:style w:type="paragraph" w:styleId="7">
    <w:name w:val="Body Text"/>
    <w:basedOn w:val="1"/>
    <w:next w:val="1"/>
    <w:link w:val="35"/>
    <w:autoRedefine/>
    <w:qFormat/>
    <w:uiPriority w:val="0"/>
    <w:pPr>
      <w:widowControl/>
      <w:snapToGrid w:val="0"/>
      <w:spacing w:before="60" w:after="160" w:line="259" w:lineRule="auto"/>
      <w:ind w:right="113"/>
    </w:pPr>
    <w:rPr>
      <w:kern w:val="0"/>
      <w:sz w:val="18"/>
      <w:szCs w:val="20"/>
    </w:rPr>
  </w:style>
  <w:style w:type="paragraph" w:styleId="8">
    <w:name w:val="Body Text Indent"/>
    <w:basedOn w:val="1"/>
    <w:next w:val="1"/>
    <w:link w:val="36"/>
    <w:autoRedefine/>
    <w:qFormat/>
    <w:uiPriority w:val="0"/>
    <w:pPr>
      <w:spacing w:after="120"/>
      <w:ind w:left="420" w:leftChars="200"/>
    </w:pPr>
    <w:rPr>
      <w:kern w:val="0"/>
      <w:sz w:val="24"/>
      <w:szCs w:val="20"/>
    </w:rPr>
  </w:style>
  <w:style w:type="paragraph" w:styleId="9">
    <w:name w:val="Block Text"/>
    <w:basedOn w:val="1"/>
    <w:autoRedefine/>
    <w:qFormat/>
    <w:locked/>
    <w:uiPriority w:val="99"/>
    <w:pPr>
      <w:spacing w:after="120"/>
      <w:ind w:left="1440" w:leftChars="700" w:right="1440" w:rightChars="700"/>
    </w:pPr>
  </w:style>
  <w:style w:type="paragraph" w:styleId="10">
    <w:name w:val="Plain Text"/>
    <w:basedOn w:val="1"/>
    <w:autoRedefine/>
    <w:qFormat/>
    <w:locked/>
    <w:uiPriority w:val="0"/>
    <w:pPr>
      <w:widowControl/>
      <w:jc w:val="left"/>
    </w:pPr>
    <w:rPr>
      <w:rFonts w:ascii="宋体" w:hAnsi="Courier New"/>
      <w:kern w:val="0"/>
      <w:szCs w:val="20"/>
    </w:rPr>
  </w:style>
  <w:style w:type="paragraph" w:styleId="11">
    <w:name w:val="List Bullet 5"/>
    <w:basedOn w:val="1"/>
    <w:autoRedefine/>
    <w:qFormat/>
    <w:locked/>
    <w:uiPriority w:val="0"/>
    <w:pPr>
      <w:numPr>
        <w:ilvl w:val="0"/>
        <w:numId w:val="2"/>
      </w:numPr>
    </w:pPr>
  </w:style>
  <w:style w:type="paragraph" w:styleId="12">
    <w:name w:val="Date"/>
    <w:basedOn w:val="1"/>
    <w:next w:val="1"/>
    <w:link w:val="37"/>
    <w:autoRedefine/>
    <w:qFormat/>
    <w:uiPriority w:val="0"/>
    <w:pPr>
      <w:ind w:left="100" w:leftChars="2500"/>
    </w:pPr>
    <w:rPr>
      <w:kern w:val="0"/>
      <w:sz w:val="24"/>
      <w:szCs w:val="20"/>
    </w:rPr>
  </w:style>
  <w:style w:type="paragraph" w:styleId="13">
    <w:name w:val="Body Text Indent 2"/>
    <w:basedOn w:val="1"/>
    <w:autoRedefine/>
    <w:qFormat/>
    <w:locked/>
    <w:uiPriority w:val="0"/>
    <w:pPr>
      <w:spacing w:after="120" w:line="480" w:lineRule="auto"/>
      <w:ind w:left="420" w:leftChars="200"/>
    </w:pPr>
  </w:style>
  <w:style w:type="paragraph" w:styleId="14">
    <w:name w:val="Balloon Text"/>
    <w:basedOn w:val="1"/>
    <w:link w:val="38"/>
    <w:autoRedefine/>
    <w:semiHidden/>
    <w:qFormat/>
    <w:uiPriority w:val="0"/>
    <w:rPr>
      <w:kern w:val="0"/>
      <w:sz w:val="18"/>
      <w:szCs w:val="20"/>
    </w:rPr>
  </w:style>
  <w:style w:type="paragraph" w:styleId="15">
    <w:name w:val="footer"/>
    <w:basedOn w:val="1"/>
    <w:link w:val="39"/>
    <w:autoRedefine/>
    <w:qFormat/>
    <w:uiPriority w:val="99"/>
    <w:pPr>
      <w:tabs>
        <w:tab w:val="center" w:pos="4153"/>
        <w:tab w:val="right" w:pos="8306"/>
      </w:tabs>
      <w:snapToGrid w:val="0"/>
      <w:jc w:val="left"/>
    </w:pPr>
    <w:rPr>
      <w:kern w:val="0"/>
      <w:sz w:val="18"/>
      <w:szCs w:val="20"/>
    </w:rPr>
  </w:style>
  <w:style w:type="paragraph" w:styleId="16">
    <w:name w:val="header"/>
    <w:basedOn w:val="1"/>
    <w:link w:val="40"/>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2"/>
    <w:basedOn w:val="1"/>
    <w:next w:val="1"/>
    <w:autoRedefine/>
    <w:qFormat/>
    <w:locked/>
    <w:uiPriority w:val="0"/>
    <w:pPr>
      <w:tabs>
        <w:tab w:val="left" w:pos="1260"/>
        <w:tab w:val="right" w:leader="dot" w:pos="8296"/>
      </w:tabs>
      <w:spacing w:line="360" w:lineRule="exact"/>
      <w:ind w:left="420" w:leftChars="200"/>
    </w:pPr>
  </w:style>
  <w:style w:type="paragraph" w:styleId="18">
    <w:name w:val="Normal (Web)"/>
    <w:basedOn w:val="1"/>
    <w:link w:val="41"/>
    <w:autoRedefine/>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6"/>
    <w:next w:val="6"/>
    <w:link w:val="42"/>
    <w:autoRedefine/>
    <w:semiHidden/>
    <w:qFormat/>
    <w:uiPriority w:val="0"/>
    <w:rPr>
      <w:b/>
      <w:kern w:val="2"/>
    </w:rPr>
  </w:style>
  <w:style w:type="paragraph" w:styleId="20">
    <w:name w:val="Body Text First Indent"/>
    <w:basedOn w:val="7"/>
    <w:next w:val="1"/>
    <w:link w:val="43"/>
    <w:autoRedefine/>
    <w:qFormat/>
    <w:locked/>
    <w:uiPriority w:val="0"/>
    <w:pPr>
      <w:snapToGrid/>
      <w:spacing w:after="120" w:afterLines="0" w:line="240" w:lineRule="auto"/>
      <w:ind w:firstLine="420" w:firstLineChars="100"/>
    </w:pPr>
    <w:rPr>
      <w:sz w:val="21"/>
    </w:rPr>
  </w:style>
  <w:style w:type="paragraph" w:styleId="21">
    <w:name w:val="Body Text First Indent 2"/>
    <w:basedOn w:val="8"/>
    <w:next w:val="20"/>
    <w:autoRedefine/>
    <w:unhideWhenUsed/>
    <w:qFormat/>
    <w:locked/>
    <w:uiPriority w:val="99"/>
    <w:pPr>
      <w:spacing w:after="120"/>
      <w:ind w:left="420" w:leftChars="200" w:firstLine="420" w:firstLineChars="200"/>
    </w:pPr>
    <w:rPr>
      <w:rFonts w:ascii="Times New Roman" w:eastAsia="宋体"/>
    </w:rPr>
  </w:style>
  <w:style w:type="table" w:styleId="23">
    <w:name w:val="Table Grid"/>
    <w:basedOn w:val="22"/>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locked/>
    <w:uiPriority w:val="0"/>
    <w:rPr>
      <w:b/>
      <w:bCs/>
    </w:rPr>
  </w:style>
  <w:style w:type="character" w:styleId="26">
    <w:name w:val="page number"/>
    <w:autoRedefine/>
    <w:qFormat/>
    <w:locked/>
    <w:uiPriority w:val="0"/>
  </w:style>
  <w:style w:type="character" w:styleId="27">
    <w:name w:val="Emphasis"/>
    <w:autoRedefine/>
    <w:qFormat/>
    <w:locked/>
    <w:uiPriority w:val="0"/>
    <w:rPr>
      <w:i/>
    </w:rPr>
  </w:style>
  <w:style w:type="character" w:styleId="28">
    <w:name w:val="Hyperlink"/>
    <w:autoRedefine/>
    <w:qFormat/>
    <w:locked/>
    <w:uiPriority w:val="0"/>
    <w:rPr>
      <w:color w:val="0000FF"/>
      <w:u w:val="single"/>
    </w:rPr>
  </w:style>
  <w:style w:type="character" w:styleId="29">
    <w:name w:val="annotation reference"/>
    <w:autoRedefine/>
    <w:semiHidden/>
    <w:qFormat/>
    <w:uiPriority w:val="0"/>
    <w:rPr>
      <w:sz w:val="21"/>
    </w:rPr>
  </w:style>
  <w:style w:type="paragraph" w:customStyle="1" w:styleId="30">
    <w:name w:val="li_正文"/>
    <w:basedOn w:val="1"/>
    <w:autoRedefine/>
    <w:qFormat/>
    <w:uiPriority w:val="0"/>
    <w:pPr>
      <w:tabs>
        <w:tab w:val="left" w:pos="2574"/>
      </w:tabs>
      <w:overflowPunct w:val="0"/>
      <w:topLinePunct/>
      <w:ind w:firstLine="480" w:firstLineChars="200"/>
      <w:jc w:val="left"/>
    </w:pPr>
    <w:rPr>
      <w:sz w:val="28"/>
      <w:szCs w:val="28"/>
    </w:rPr>
  </w:style>
  <w:style w:type="paragraph" w:customStyle="1" w:styleId="31">
    <w:name w:val="Default"/>
    <w:basedOn w:val="32"/>
    <w:autoRedefine/>
    <w:qFormat/>
    <w:uiPriority w:val="0"/>
    <w:pPr>
      <w:widowControl w:val="0"/>
      <w:autoSpaceDE w:val="0"/>
      <w:autoSpaceDN w:val="0"/>
      <w:adjustRightInd w:val="0"/>
    </w:pPr>
    <w:rPr>
      <w:rFonts w:ascii="黑体" w:eastAsia="黑体" w:cs="黑体"/>
      <w:color w:val="000000"/>
      <w:sz w:val="24"/>
      <w:szCs w:val="24"/>
      <w:lang w:val="en-US" w:eastAsia="zh-CN" w:bidi="ar-SA"/>
    </w:rPr>
  </w:style>
  <w:style w:type="paragraph" w:customStyle="1" w:styleId="32">
    <w:name w:val="纯文本1"/>
    <w:basedOn w:val="1"/>
    <w:autoRedefine/>
    <w:qFormat/>
    <w:uiPriority w:val="0"/>
    <w:pPr>
      <w:adjustRightInd w:val="0"/>
    </w:pPr>
    <w:rPr>
      <w:rFonts w:hAnsi="Courier New"/>
      <w:szCs w:val="20"/>
    </w:rPr>
  </w:style>
  <w:style w:type="character" w:customStyle="1" w:styleId="33">
    <w:name w:val="文档结构图 Char"/>
    <w:basedOn w:val="24"/>
    <w:link w:val="5"/>
    <w:autoRedefine/>
    <w:qFormat/>
    <w:uiPriority w:val="0"/>
    <w:rPr>
      <w:rFonts w:ascii="宋体"/>
      <w:kern w:val="2"/>
      <w:sz w:val="18"/>
      <w:szCs w:val="18"/>
    </w:rPr>
  </w:style>
  <w:style w:type="character" w:customStyle="1" w:styleId="34">
    <w:name w:val="批注文字 Char2"/>
    <w:link w:val="6"/>
    <w:autoRedefine/>
    <w:qFormat/>
    <w:locked/>
    <w:uiPriority w:val="0"/>
    <w:rPr>
      <w:rFonts w:ascii="Times New Roman" w:hAnsi="Times New Roman" w:eastAsia="宋体"/>
      <w:sz w:val="24"/>
    </w:rPr>
  </w:style>
  <w:style w:type="character" w:customStyle="1" w:styleId="35">
    <w:name w:val="正文文本 Char1"/>
    <w:link w:val="7"/>
    <w:autoRedefine/>
    <w:qFormat/>
    <w:locked/>
    <w:uiPriority w:val="0"/>
    <w:rPr>
      <w:sz w:val="18"/>
    </w:rPr>
  </w:style>
  <w:style w:type="character" w:customStyle="1" w:styleId="36">
    <w:name w:val="正文文本缩进 Char"/>
    <w:link w:val="8"/>
    <w:autoRedefine/>
    <w:semiHidden/>
    <w:qFormat/>
    <w:locked/>
    <w:uiPriority w:val="0"/>
    <w:rPr>
      <w:rFonts w:ascii="Times New Roman" w:hAnsi="Times New Roman" w:eastAsia="宋体"/>
      <w:sz w:val="24"/>
    </w:rPr>
  </w:style>
  <w:style w:type="character" w:customStyle="1" w:styleId="37">
    <w:name w:val="日期 Char1"/>
    <w:link w:val="12"/>
    <w:autoRedefine/>
    <w:qFormat/>
    <w:locked/>
    <w:uiPriority w:val="0"/>
    <w:rPr>
      <w:rFonts w:ascii="Times New Roman" w:hAnsi="Times New Roman" w:eastAsia="宋体"/>
      <w:sz w:val="24"/>
    </w:rPr>
  </w:style>
  <w:style w:type="character" w:customStyle="1" w:styleId="38">
    <w:name w:val="批注框文本 Char"/>
    <w:link w:val="14"/>
    <w:autoRedefine/>
    <w:semiHidden/>
    <w:qFormat/>
    <w:locked/>
    <w:uiPriority w:val="0"/>
    <w:rPr>
      <w:rFonts w:ascii="Times New Roman" w:hAnsi="Times New Roman" w:eastAsia="宋体"/>
      <w:sz w:val="18"/>
    </w:rPr>
  </w:style>
  <w:style w:type="character" w:customStyle="1" w:styleId="39">
    <w:name w:val="页脚 Char1"/>
    <w:link w:val="15"/>
    <w:autoRedefine/>
    <w:qFormat/>
    <w:locked/>
    <w:uiPriority w:val="99"/>
    <w:rPr>
      <w:sz w:val="18"/>
    </w:rPr>
  </w:style>
  <w:style w:type="character" w:customStyle="1" w:styleId="40">
    <w:name w:val="页眉 Char1"/>
    <w:link w:val="16"/>
    <w:autoRedefine/>
    <w:qFormat/>
    <w:locked/>
    <w:uiPriority w:val="0"/>
    <w:rPr>
      <w:sz w:val="18"/>
    </w:rPr>
  </w:style>
  <w:style w:type="character" w:customStyle="1" w:styleId="41">
    <w:name w:val="普通(网站) Char1"/>
    <w:link w:val="18"/>
    <w:autoRedefine/>
    <w:qFormat/>
    <w:locked/>
    <w:uiPriority w:val="0"/>
    <w:rPr>
      <w:rFonts w:ascii="宋体" w:hAnsi="宋体" w:eastAsia="宋体"/>
      <w:sz w:val="24"/>
    </w:rPr>
  </w:style>
  <w:style w:type="character" w:customStyle="1" w:styleId="42">
    <w:name w:val="批注主题 Char"/>
    <w:link w:val="19"/>
    <w:autoRedefine/>
    <w:semiHidden/>
    <w:qFormat/>
    <w:locked/>
    <w:uiPriority w:val="0"/>
    <w:rPr>
      <w:rFonts w:ascii="Times New Roman" w:hAnsi="Times New Roman" w:eastAsia="宋体"/>
      <w:b/>
      <w:kern w:val="2"/>
      <w:sz w:val="24"/>
    </w:rPr>
  </w:style>
  <w:style w:type="character" w:customStyle="1" w:styleId="43">
    <w:name w:val="正文首行缩进 Char"/>
    <w:link w:val="20"/>
    <w:autoRedefine/>
    <w:qFormat/>
    <w:uiPriority w:val="0"/>
    <w:rPr>
      <w:sz w:val="21"/>
    </w:rPr>
  </w:style>
  <w:style w:type="paragraph" w:customStyle="1" w:styleId="44">
    <w:name w:val="BodyText"/>
    <w:basedOn w:val="1"/>
    <w:autoRedefine/>
    <w:qFormat/>
    <w:uiPriority w:val="0"/>
    <w:pPr>
      <w:spacing w:after="120"/>
      <w:jc w:val="both"/>
      <w:textAlignment w:val="baseline"/>
    </w:pPr>
  </w:style>
  <w:style w:type="character" w:customStyle="1" w:styleId="45">
    <w:name w:val="批注文字 字符1"/>
    <w:autoRedefine/>
    <w:semiHidden/>
    <w:qFormat/>
    <w:uiPriority w:val="0"/>
    <w:rPr>
      <w:rFonts w:ascii="Times New Roman" w:hAnsi="Times New Roman" w:eastAsia="宋体"/>
      <w:sz w:val="24"/>
    </w:rPr>
  </w:style>
  <w:style w:type="character" w:customStyle="1" w:styleId="46">
    <w:name w:val="日期 字符"/>
    <w:autoRedefine/>
    <w:semiHidden/>
    <w:qFormat/>
    <w:uiPriority w:val="0"/>
    <w:rPr>
      <w:rFonts w:ascii="Times New Roman" w:hAnsi="Times New Roman" w:eastAsia="宋体"/>
      <w:sz w:val="24"/>
    </w:rPr>
  </w:style>
  <w:style w:type="character" w:customStyle="1" w:styleId="47">
    <w:name w:val="正文文本 字符1"/>
    <w:autoRedefine/>
    <w:semiHidden/>
    <w:qFormat/>
    <w:uiPriority w:val="0"/>
    <w:rPr>
      <w:rFonts w:ascii="Times New Roman" w:hAnsi="Times New Roman" w:eastAsia="宋体"/>
      <w:sz w:val="24"/>
    </w:rPr>
  </w:style>
  <w:style w:type="character" w:customStyle="1" w:styleId="48">
    <w:name w:val="表格 Char"/>
    <w:link w:val="49"/>
    <w:autoRedefine/>
    <w:qFormat/>
    <w:locked/>
    <w:uiPriority w:val="0"/>
    <w:rPr>
      <w:rFonts w:ascii="宋体"/>
      <w:sz w:val="21"/>
    </w:rPr>
  </w:style>
  <w:style w:type="paragraph" w:customStyle="1" w:styleId="49">
    <w:name w:val="表格"/>
    <w:basedOn w:val="1"/>
    <w:next w:val="1"/>
    <w:link w:val="48"/>
    <w:autoRedefine/>
    <w:qFormat/>
    <w:uiPriority w:val="0"/>
    <w:pPr>
      <w:adjustRightInd w:val="0"/>
      <w:snapToGrid w:val="0"/>
      <w:spacing w:beforeLines="10" w:afterLines="10" w:line="259" w:lineRule="auto"/>
      <w:jc w:val="center"/>
    </w:pPr>
    <w:rPr>
      <w:rFonts w:ascii="宋体"/>
      <w:kern w:val="0"/>
      <w:szCs w:val="20"/>
    </w:rPr>
  </w:style>
  <w:style w:type="character" w:customStyle="1" w:styleId="50">
    <w:name w:val="页脚 字符"/>
    <w:autoRedefine/>
    <w:qFormat/>
    <w:uiPriority w:val="99"/>
  </w:style>
  <w:style w:type="paragraph" w:customStyle="1" w:styleId="51">
    <w:name w:val="样式 ysl04 + 首行缩进:  2 字符"/>
    <w:basedOn w:val="1"/>
    <w:autoRedefine/>
    <w:qFormat/>
    <w:uiPriority w:val="0"/>
    <w:pPr>
      <w:spacing w:line="360" w:lineRule="auto"/>
      <w:ind w:left="210" w:leftChars="100" w:firstLine="562" w:firstLineChars="200"/>
    </w:pPr>
    <w:rPr>
      <w:rFonts w:ascii="宋体" w:hAnsi="宋体" w:cs="宋体"/>
      <w:bCs/>
      <w:sz w:val="28"/>
      <w:szCs w:val="20"/>
    </w:rPr>
  </w:style>
  <w:style w:type="paragraph" w:customStyle="1" w:styleId="52">
    <w:name w:val="xl27"/>
    <w:basedOn w:val="1"/>
    <w:autoRedefine/>
    <w:qFormat/>
    <w:uiPriority w:val="0"/>
    <w:pPr>
      <w:widowControl/>
      <w:pBdr>
        <w:bottom w:val="single" w:color="auto" w:sz="12" w:space="0"/>
      </w:pBdr>
      <w:spacing w:before="100" w:beforeLines="0" w:after="100" w:afterLines="0"/>
      <w:jc w:val="center"/>
    </w:pPr>
    <w:rPr>
      <w:rFonts w:ascii="宋体" w:hAnsi="宋体"/>
      <w:kern w:val="0"/>
      <w:szCs w:val="20"/>
    </w:rPr>
  </w:style>
  <w:style w:type="paragraph" w:customStyle="1" w:styleId="53">
    <w:name w:val="1111 表格内容"/>
    <w:basedOn w:val="54"/>
    <w:autoRedefine/>
    <w:qFormat/>
    <w:uiPriority w:val="0"/>
    <w:pPr>
      <w:widowControl w:val="0"/>
    </w:pPr>
    <w:rPr>
      <w:rFonts w:cs="Times New Roman"/>
    </w:rPr>
  </w:style>
  <w:style w:type="paragraph" w:customStyle="1" w:styleId="54">
    <w:name w:val="01表格正文"/>
    <w:autoRedefine/>
    <w:qFormat/>
    <w:uiPriority w:val="0"/>
    <w:pPr>
      <w:adjustRightInd w:val="0"/>
      <w:snapToGrid w:val="0"/>
      <w:spacing w:line="320" w:lineRule="exact"/>
      <w:jc w:val="center"/>
    </w:pPr>
    <w:rPr>
      <w:rFonts w:ascii="Times New Roman" w:hAnsi="Times New Roman" w:eastAsia="宋体" w:cs="Times New Roman"/>
      <w:kern w:val="2"/>
      <w:sz w:val="21"/>
      <w:szCs w:val="21"/>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6">
    <w:name w:val="样式 自动设置"/>
    <w:basedOn w:val="1"/>
    <w:link w:val="57"/>
    <w:autoRedefine/>
    <w:qFormat/>
    <w:uiPriority w:val="0"/>
    <w:pPr>
      <w:autoSpaceDE w:val="0"/>
      <w:autoSpaceDN w:val="0"/>
      <w:adjustRightInd w:val="0"/>
      <w:snapToGrid w:val="0"/>
      <w:spacing w:before="50" w:beforeLines="50" w:line="288" w:lineRule="auto"/>
      <w:ind w:firstLine="200" w:firstLineChars="200"/>
    </w:pPr>
    <w:rPr>
      <w:sz w:val="24"/>
    </w:rPr>
  </w:style>
  <w:style w:type="character" w:customStyle="1" w:styleId="57">
    <w:name w:val="样式 自动设置 Char"/>
    <w:link w:val="56"/>
    <w:autoRedefine/>
    <w:qFormat/>
    <w:uiPriority w:val="0"/>
    <w:rPr>
      <w:rFonts w:cs="宋体"/>
      <w:kern w:val="2"/>
      <w:sz w:val="24"/>
      <w:szCs w:val="24"/>
    </w:rPr>
  </w:style>
  <w:style w:type="paragraph" w:customStyle="1" w:styleId="58">
    <w:name w:val="样式 首行缩进:  2 字符1"/>
    <w:basedOn w:val="1"/>
    <w:autoRedefine/>
    <w:qFormat/>
    <w:uiPriority w:val="0"/>
    <w:pPr>
      <w:spacing w:line="420" w:lineRule="exact"/>
      <w:ind w:firstLine="200" w:firstLineChars="200"/>
    </w:pPr>
    <w:rPr>
      <w:rFonts w:cs="宋体"/>
      <w:sz w:val="24"/>
      <w:szCs w:val="20"/>
    </w:rPr>
  </w:style>
  <w:style w:type="paragraph" w:customStyle="1" w:styleId="59">
    <w:name w:val="02表格标题"/>
    <w:basedOn w:val="1"/>
    <w:autoRedefine/>
    <w:qFormat/>
    <w:uiPriority w:val="0"/>
    <w:pPr>
      <w:adjustRightInd w:val="0"/>
      <w:snapToGrid w:val="0"/>
      <w:spacing w:before="50" w:beforeLines="50"/>
      <w:jc w:val="center"/>
    </w:pPr>
    <w:rPr>
      <w:rFonts w:cs="Times New Roman"/>
      <w:b/>
      <w:sz w:val="24"/>
    </w:rPr>
  </w:style>
  <w:style w:type="paragraph" w:customStyle="1" w:styleId="60">
    <w:name w:val="样式 表格 + 黑色"/>
    <w:basedOn w:val="1"/>
    <w:autoRedefine/>
    <w:qFormat/>
    <w:uiPriority w:val="0"/>
    <w:pPr>
      <w:adjustRightInd w:val="0"/>
      <w:snapToGrid w:val="0"/>
      <w:jc w:val="center"/>
    </w:pPr>
    <w:rPr>
      <w:snapToGrid w:val="0"/>
      <w:color w:val="000000"/>
      <w:spacing w:val="-4"/>
      <w:kern w:val="0"/>
      <w:szCs w:val="21"/>
    </w:rPr>
  </w:style>
  <w:style w:type="paragraph" w:customStyle="1" w:styleId="61">
    <w:name w:val="1  正文"/>
    <w:basedOn w:val="1"/>
    <w:autoRedefine/>
    <w:qFormat/>
    <w:uiPriority w:val="0"/>
    <w:pPr>
      <w:spacing w:line="360" w:lineRule="auto"/>
      <w:ind w:firstLine="480" w:firstLineChars="200"/>
    </w:pPr>
    <w:rPr>
      <w:rFonts w:eastAsia="宋体"/>
      <w:sz w:val="24"/>
    </w:rPr>
  </w:style>
  <w:style w:type="paragraph" w:customStyle="1" w:styleId="62">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 w:type="paragraph" w:customStyle="1" w:styleId="63">
    <w:name w:val="图文框"/>
    <w:basedOn w:val="1"/>
    <w:autoRedefine/>
    <w:qFormat/>
    <w:uiPriority w:val="0"/>
    <w:pPr>
      <w:jc w:val="center"/>
    </w:pPr>
    <w:rPr>
      <w:szCs w:val="21"/>
    </w:rPr>
  </w:style>
  <w:style w:type="paragraph" w:customStyle="1" w:styleId="6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表格文字"/>
    <w:basedOn w:val="1"/>
    <w:autoRedefine/>
    <w:qFormat/>
    <w:uiPriority w:val="0"/>
    <w:pPr>
      <w:jc w:val="center"/>
    </w:pPr>
    <w:rPr>
      <w:rFonts w:ascii="仿宋_GB2312" w:hAnsi="Arial Black" w:eastAsia="仿宋_GB2312"/>
      <w:kern w:val="44"/>
      <w:sz w:val="24"/>
    </w:rPr>
  </w:style>
  <w:style w:type="paragraph" w:customStyle="1" w:styleId="66">
    <w:name w:val="图表文字"/>
    <w:basedOn w:val="1"/>
    <w:autoRedefine/>
    <w:qFormat/>
    <w:uiPriority w:val="0"/>
    <w:pPr>
      <w:jc w:val="center"/>
    </w:pPr>
    <w:rPr>
      <w:rFonts w:ascii="仿宋_GB2312" w:eastAsia="仿宋_GB2312"/>
    </w:rPr>
  </w:style>
  <w:style w:type="paragraph" w:customStyle="1" w:styleId="67">
    <w:name w:val="(文字) (文字)"/>
    <w:basedOn w:val="1"/>
    <w:autoRedefine/>
    <w:qFormat/>
    <w:uiPriority w:val="0"/>
  </w:style>
  <w:style w:type="paragraph" w:customStyle="1" w:styleId="68">
    <w:name w:val="列出段落1"/>
    <w:basedOn w:val="1"/>
    <w:autoRedefine/>
    <w:qFormat/>
    <w:uiPriority w:val="0"/>
    <w:pPr>
      <w:ind w:firstLine="420" w:firstLineChars="200"/>
    </w:pPr>
    <w:rPr>
      <w:rFonts w:ascii="Calibri" w:hAnsi="Calibri"/>
      <w:szCs w:val="21"/>
    </w:rPr>
  </w:style>
  <w:style w:type="character" w:customStyle="1" w:styleId="69">
    <w:name w:val="表格中文字 Char Char"/>
    <w:link w:val="70"/>
    <w:autoRedefine/>
    <w:qFormat/>
    <w:uiPriority w:val="0"/>
    <w:rPr>
      <w:kern w:val="18"/>
      <w:sz w:val="21"/>
      <w:szCs w:val="21"/>
    </w:rPr>
  </w:style>
  <w:style w:type="paragraph" w:customStyle="1" w:styleId="70">
    <w:name w:val="表格中文字"/>
    <w:basedOn w:val="1"/>
    <w:link w:val="69"/>
    <w:autoRedefine/>
    <w:qFormat/>
    <w:uiPriority w:val="0"/>
    <w:pPr>
      <w:adjustRightInd w:val="0"/>
      <w:snapToGrid w:val="0"/>
      <w:jc w:val="center"/>
    </w:pPr>
    <w:rPr>
      <w:kern w:val="18"/>
      <w:szCs w:val="21"/>
    </w:rPr>
  </w:style>
  <w:style w:type="paragraph" w:customStyle="1" w:styleId="71">
    <w:name w:val="表头"/>
    <w:basedOn w:val="1"/>
    <w:autoRedefine/>
    <w:qFormat/>
    <w:uiPriority w:val="0"/>
    <w:pPr>
      <w:adjustRightInd w:val="0"/>
      <w:snapToGrid w:val="0"/>
      <w:spacing w:line="300" w:lineRule="atLeast"/>
      <w:textAlignment w:val="baseline"/>
    </w:pPr>
    <w:rPr>
      <w:rFonts w:ascii="宋体" w:hAnsi="宋体" w:eastAsia="黑体"/>
      <w:kern w:val="0"/>
    </w:rPr>
  </w:style>
  <w:style w:type="paragraph" w:customStyle="1" w:styleId="72">
    <w:name w:val="Char"/>
    <w:basedOn w:val="1"/>
    <w:autoRedefine/>
    <w:qFormat/>
    <w:uiPriority w:val="0"/>
  </w:style>
  <w:style w:type="paragraph" w:customStyle="1" w:styleId="73">
    <w:name w:val=" Char Char6"/>
    <w:basedOn w:val="1"/>
    <w:autoRedefine/>
    <w:qFormat/>
    <w:uiPriority w:val="0"/>
    <w:rPr>
      <w:rFonts w:ascii="Tahoma" w:hAnsi="Tahoma"/>
      <w:sz w:val="24"/>
      <w:szCs w:val="20"/>
    </w:rPr>
  </w:style>
  <w:style w:type="character" w:customStyle="1" w:styleId="74">
    <w:name w:val="正文文本 Char"/>
    <w:autoRedefine/>
    <w:qFormat/>
    <w:locked/>
    <w:uiPriority w:val="0"/>
    <w:rPr>
      <w:sz w:val="18"/>
    </w:rPr>
  </w:style>
  <w:style w:type="character" w:customStyle="1" w:styleId="75">
    <w:name w:val="批注文字 Char"/>
    <w:autoRedefine/>
    <w:qFormat/>
    <w:uiPriority w:val="0"/>
    <w:rPr>
      <w:rFonts w:ascii="Times New Roman" w:hAnsi="Times New Roman"/>
      <w:kern w:val="2"/>
      <w:sz w:val="21"/>
      <w:szCs w:val="24"/>
    </w:rPr>
  </w:style>
  <w:style w:type="paragraph" w:customStyle="1" w:styleId="76">
    <w:name w:val="正文 首行缩进:  2 字符"/>
    <w:basedOn w:val="1"/>
    <w:autoRedefine/>
    <w:qFormat/>
    <w:uiPriority w:val="99"/>
    <w:pPr>
      <w:ind w:firstLine="579" w:firstLineChars="200"/>
    </w:pPr>
    <w:rPr>
      <w:rFonts w:cs="宋体"/>
      <w:szCs w:val="20"/>
    </w:rPr>
  </w:style>
  <w:style w:type="paragraph" w:customStyle="1" w:styleId="77">
    <w:name w:val="Table Paragraph"/>
    <w:basedOn w:val="1"/>
    <w:autoRedefine/>
    <w:qFormat/>
    <w:uiPriority w:val="1"/>
    <w:pPr>
      <w:jc w:val="left"/>
    </w:pPr>
    <w:rPr>
      <w:rFonts w:ascii="Calibri" w:hAnsi="Calibri"/>
      <w:kern w:val="0"/>
      <w:sz w:val="22"/>
      <w:szCs w:val="22"/>
      <w:lang w:eastAsia="en-US"/>
    </w:rPr>
  </w:style>
  <w:style w:type="character" w:customStyle="1" w:styleId="78">
    <w:name w:val="批注文字 Char1"/>
    <w:autoRedefine/>
    <w:qFormat/>
    <w:locked/>
    <w:uiPriority w:val="0"/>
    <w:rPr>
      <w:rFonts w:ascii="Times New Roman" w:hAnsi="Times New Roman" w:eastAsia="宋体"/>
      <w:sz w:val="24"/>
    </w:rPr>
  </w:style>
  <w:style w:type="character" w:customStyle="1" w:styleId="79">
    <w:name w:val="日期 Char"/>
    <w:autoRedefine/>
    <w:qFormat/>
    <w:locked/>
    <w:uiPriority w:val="0"/>
    <w:rPr>
      <w:rFonts w:ascii="Times New Roman" w:hAnsi="Times New Roman" w:eastAsia="宋体"/>
      <w:sz w:val="24"/>
    </w:rPr>
  </w:style>
  <w:style w:type="character" w:customStyle="1" w:styleId="80">
    <w:name w:val="页脚 Char"/>
    <w:autoRedefine/>
    <w:qFormat/>
    <w:locked/>
    <w:uiPriority w:val="99"/>
    <w:rPr>
      <w:sz w:val="18"/>
    </w:rPr>
  </w:style>
  <w:style w:type="character" w:customStyle="1" w:styleId="81">
    <w:name w:val="页眉 Char"/>
    <w:autoRedefine/>
    <w:qFormat/>
    <w:locked/>
    <w:uiPriority w:val="0"/>
    <w:rPr>
      <w:sz w:val="18"/>
    </w:rPr>
  </w:style>
  <w:style w:type="character" w:customStyle="1" w:styleId="82">
    <w:name w:val="普通(网站) Char"/>
    <w:autoRedefine/>
    <w:qFormat/>
    <w:locked/>
    <w:uiPriority w:val="0"/>
    <w:rPr>
      <w:rFonts w:ascii="宋体" w:hAnsi="宋体" w:eastAsia="宋体"/>
      <w:sz w:val="24"/>
    </w:rPr>
  </w:style>
  <w:style w:type="paragraph" w:styleId="83">
    <w:name w:val="List Paragraph"/>
    <w:basedOn w:val="1"/>
    <w:autoRedefine/>
    <w:qFormat/>
    <w:uiPriority w:val="1"/>
    <w:pPr>
      <w:autoSpaceDE w:val="0"/>
      <w:autoSpaceDN w:val="0"/>
      <w:adjustRightInd w:val="0"/>
      <w:jc w:val="left"/>
    </w:pPr>
    <w:rPr>
      <w:kern w:val="0"/>
      <w:sz w:val="24"/>
    </w:rPr>
  </w:style>
  <w:style w:type="paragraph" w:customStyle="1" w:styleId="84">
    <w:name w:val="p0"/>
    <w:basedOn w:val="1"/>
    <w:autoRedefine/>
    <w:qFormat/>
    <w:uiPriority w:val="0"/>
    <w:pPr>
      <w:widowControl/>
      <w:snapToGrid w:val="0"/>
      <w:spacing w:line="300" w:lineRule="auto"/>
    </w:pPr>
    <w:rPr>
      <w:rFonts w:ascii="仿宋_GB2312" w:hAnsi="宋体" w:eastAsia="仿宋_GB2312" w:cs="宋体"/>
      <w:kern w:val="0"/>
      <w:sz w:val="28"/>
      <w:szCs w:val="28"/>
    </w:rPr>
  </w:style>
  <w:style w:type="character" w:customStyle="1" w:styleId="85">
    <w:name w:val="NormalCharacter"/>
    <w:link w:val="86"/>
    <w:autoRedefine/>
    <w:semiHidden/>
    <w:qFormat/>
    <w:uiPriority w:val="0"/>
    <w:rPr>
      <w:rFonts w:ascii="Times New Roman" w:hAnsi="Times New Roman"/>
      <w:kern w:val="0"/>
      <w:sz w:val="24"/>
      <w:szCs w:val="20"/>
      <w:lang w:val="en-US" w:eastAsia="zh-CN" w:bidi="ar-SA"/>
    </w:rPr>
  </w:style>
  <w:style w:type="paragraph" w:customStyle="1" w:styleId="86">
    <w:name w:val="UserStyle_75"/>
    <w:basedOn w:val="1"/>
    <w:link w:val="85"/>
    <w:autoRedefine/>
    <w:qFormat/>
    <w:uiPriority w:val="0"/>
    <w:pPr>
      <w:spacing w:line="360" w:lineRule="auto"/>
      <w:jc w:val="both"/>
      <w:textAlignment w:val="baseline"/>
    </w:pPr>
    <w:rPr>
      <w:kern w:val="0"/>
      <w:sz w:val="24"/>
      <w:szCs w:val="20"/>
    </w:rPr>
  </w:style>
  <w:style w:type="paragraph" w:customStyle="1" w:styleId="87">
    <w:name w:val="表表文字"/>
    <w:basedOn w:val="1"/>
    <w:autoRedefine/>
    <w:qFormat/>
    <w:uiPriority w:val="0"/>
    <w:pPr>
      <w:wordWrap w:val="0"/>
      <w:adjustRightInd w:val="0"/>
      <w:snapToGrid w:val="0"/>
      <w:jc w:val="center"/>
    </w:pPr>
    <w:rPr>
      <w:kern w:val="0"/>
      <w:szCs w:val="21"/>
    </w:rPr>
  </w:style>
  <w:style w:type="paragraph" w:customStyle="1" w:styleId="88">
    <w:name w:val="表1"/>
    <w:basedOn w:val="1"/>
    <w:autoRedefine/>
    <w:qFormat/>
    <w:uiPriority w:val="0"/>
    <w:pPr>
      <w:jc w:val="center"/>
    </w:pPr>
    <w:rPr>
      <w:rFonts w:ascii="宋体" w:hAnsi="宋体"/>
      <w:color w:val="000000"/>
    </w:rPr>
  </w:style>
  <w:style w:type="character" w:customStyle="1" w:styleId="89">
    <w:name w:val="text_img"/>
    <w:basedOn w:val="24"/>
    <w:autoRedefine/>
    <w:qFormat/>
    <w:uiPriority w:val="0"/>
  </w:style>
  <w:style w:type="paragraph" w:customStyle="1" w:styleId="90">
    <w:name w:val="样式 样式 样式 四号 左侧:  1.53 厘米 + 首行缩进:  2 字符 + 居中 左侧:  2 字符 首行缩进:  2..."/>
    <w:basedOn w:val="91"/>
    <w:autoRedefine/>
    <w:qFormat/>
    <w:uiPriority w:val="0"/>
    <w:pPr>
      <w:jc w:val="center"/>
    </w:pPr>
  </w:style>
  <w:style w:type="paragraph" w:customStyle="1" w:styleId="91">
    <w:name w:val="样式 样式 四号 左侧:  1.53 厘米 + 首行缩进:  2 字符"/>
    <w:basedOn w:val="92"/>
    <w:autoRedefine/>
    <w:qFormat/>
    <w:uiPriority w:val="0"/>
    <w:pPr>
      <w:ind w:left="200" w:leftChars="200"/>
    </w:pPr>
    <w:rPr>
      <w:szCs w:val="20"/>
    </w:rPr>
  </w:style>
  <w:style w:type="paragraph" w:customStyle="1" w:styleId="92">
    <w:name w:val="样式 四号 左侧:  1.53 厘米"/>
    <w:basedOn w:val="1"/>
    <w:autoRedefine/>
    <w:qFormat/>
    <w:uiPriority w:val="0"/>
    <w:pPr>
      <w:adjustRightInd w:val="0"/>
    </w:pPr>
    <w:rPr>
      <w:w w:val="90"/>
      <w:sz w:val="28"/>
      <w:szCs w:val="28"/>
    </w:rPr>
  </w:style>
  <w:style w:type="paragraph" w:customStyle="1" w:styleId="93">
    <w:name w:val="0正文"/>
    <w:basedOn w:val="8"/>
    <w:autoRedefine/>
    <w:unhideWhenUsed/>
    <w:qFormat/>
    <w:uiPriority w:val="0"/>
    <w:pPr>
      <w:widowControl w:val="0"/>
      <w:spacing w:line="360" w:lineRule="auto"/>
      <w:ind w:firstLine="720" w:firstLineChars="200"/>
    </w:pPr>
    <w:rPr>
      <w:sz w:val="24"/>
      <w:szCs w:val="22"/>
      <w:lang w:val="en-US" w:eastAsia="zh-CN" w:bidi="ar-SA"/>
    </w:rPr>
  </w:style>
  <w:style w:type="paragraph" w:customStyle="1" w:styleId="94">
    <w:name w:val="Z表格标题"/>
    <w:basedOn w:val="1"/>
    <w:next w:val="1"/>
    <w:autoRedefine/>
    <w:qFormat/>
    <w:uiPriority w:val="0"/>
    <w:pPr>
      <w:spacing w:line="400" w:lineRule="exact"/>
      <w:jc w:val="center"/>
    </w:pPr>
    <w:rPr>
      <w:rFonts w:ascii="Times New Roman" w:hAnsi="Times New Roman" w:eastAsia="宋体"/>
      <w:b/>
    </w:rPr>
  </w:style>
  <w:style w:type="paragraph" w:customStyle="1" w:styleId="95">
    <w:name w:val="Z嵌套表格内容"/>
    <w:basedOn w:val="1"/>
    <w:autoRedefine/>
    <w:qFormat/>
    <w:uiPriority w:val="0"/>
    <w:pPr>
      <w:jc w:val="center"/>
    </w:pPr>
    <w:rPr>
      <w:rFonts w:ascii="Times New Roman" w:hAnsi="Times New Roman" w:eastAsia="宋体"/>
      <w:sz w:val="18"/>
    </w:rPr>
  </w:style>
  <w:style w:type="table" w:customStyle="1" w:styleId="96">
    <w:name w:val="maoli1"/>
    <w:basedOn w:val="22"/>
    <w:autoRedefine/>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97">
    <w:name w:val="01正文"/>
    <w:basedOn w:val="98"/>
    <w:autoRedefine/>
    <w:qFormat/>
    <w:uiPriority w:val="0"/>
    <w:pPr>
      <w:autoSpaceDE w:val="0"/>
      <w:autoSpaceDN w:val="0"/>
    </w:pPr>
    <w:rPr>
      <w:lang w:val="zh-CN"/>
    </w:rPr>
  </w:style>
  <w:style w:type="paragraph" w:customStyle="1" w:styleId="98">
    <w:name w:val="LD正文"/>
    <w:basedOn w:val="1"/>
    <w:autoRedefine/>
    <w:qFormat/>
    <w:uiPriority w:val="0"/>
    <w:pPr>
      <w:adjustRightInd w:val="0"/>
      <w:snapToGrid w:val="0"/>
      <w:spacing w:line="360" w:lineRule="auto"/>
      <w:ind w:firstLine="200" w:firstLineChars="200"/>
    </w:pPr>
    <w:rPr>
      <w:kern w:val="0"/>
      <w:sz w:val="24"/>
    </w:rPr>
  </w:style>
  <w:style w:type="paragraph" w:customStyle="1" w:styleId="99">
    <w:name w:val="彩色列表 - 着色 11"/>
    <w:basedOn w:val="1"/>
    <w:autoRedefine/>
    <w:qFormat/>
    <w:uiPriority w:val="34"/>
    <w:pPr>
      <w:ind w:firstLine="420"/>
    </w:pPr>
  </w:style>
  <w:style w:type="paragraph" w:customStyle="1" w:styleId="100">
    <w:name w:val="正文文本1"/>
    <w:autoRedefine/>
    <w:qFormat/>
    <w:uiPriority w:val="0"/>
    <w:pPr>
      <w:widowControl w:val="0"/>
      <w:shd w:val="clear" w:color="auto" w:fill="FFFFFF"/>
      <w:spacing w:after="300" w:line="0" w:lineRule="atLeast"/>
      <w:jc w:val="distribute"/>
    </w:pPr>
    <w:rPr>
      <w:rFonts w:ascii="宋体" w:hAnsi="宋体" w:eastAsia="宋体" w:cs="宋体"/>
      <w:sz w:val="27"/>
      <w:szCs w:val="27"/>
      <w:lang w:val="en-US" w:eastAsia="zh-CN" w:bidi="ar-SA"/>
    </w:rPr>
  </w:style>
  <w:style w:type="character" w:customStyle="1" w:styleId="101">
    <w:name w:val="正文文本 + 10 pt2"/>
    <w:autoRedefine/>
    <w:qFormat/>
    <w:uiPriority w:val="0"/>
    <w:rPr>
      <w:rFonts w:ascii="宋体" w:hAnsi="宋体" w:eastAsia="宋体" w:cs="宋体"/>
      <w:color w:val="000000"/>
      <w:spacing w:val="0"/>
      <w:w w:val="100"/>
      <w:position w:val="0"/>
      <w:sz w:val="20"/>
      <w:szCs w:val="20"/>
      <w:u w:val="none"/>
      <w:lang w:val="zh-CN"/>
    </w:rPr>
  </w:style>
  <w:style w:type="character" w:customStyle="1" w:styleId="102">
    <w:name w:val="正文文本 + 10 pt"/>
    <w:autoRedefine/>
    <w:qFormat/>
    <w:uiPriority w:val="0"/>
    <w:rPr>
      <w:rFonts w:ascii="宋体" w:hAnsi="宋体" w:eastAsia="宋体" w:cs="宋体"/>
      <w:color w:val="000000"/>
      <w:spacing w:val="-20"/>
      <w:w w:val="100"/>
      <w:position w:val="0"/>
      <w:sz w:val="20"/>
      <w:szCs w:val="20"/>
      <w:u w:val="none"/>
      <w:lang w:val="zh-CN"/>
    </w:rPr>
  </w:style>
  <w:style w:type="paragraph" w:customStyle="1" w:styleId="103">
    <w:name w:val="Z正文"/>
    <w:basedOn w:val="1"/>
    <w:autoRedefine/>
    <w:qFormat/>
    <w:uiPriority w:val="0"/>
    <w:pPr>
      <w:spacing w:line="400" w:lineRule="exact"/>
      <w:ind w:firstLine="600" w:firstLineChars="200"/>
    </w:pPr>
    <w:rPr>
      <w:rFonts w:ascii="Times New Roman" w:hAnsi="Times New Roman" w:eastAsia="宋体" w:cs="Times New Roman"/>
      <w:szCs w:val="20"/>
    </w:rPr>
  </w:style>
  <w:style w:type="paragraph" w:customStyle="1" w:styleId="104">
    <w:name w:val="1正文"/>
    <w:basedOn w:val="1"/>
    <w:autoRedefine/>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105">
    <w:name w:val="D正文"/>
    <w:basedOn w:val="106"/>
    <w:autoRedefine/>
    <w:qFormat/>
    <w:uiPriority w:val="0"/>
    <w:pPr>
      <w:spacing w:line="360" w:lineRule="auto"/>
      <w:ind w:firstLine="480"/>
      <w:jc w:val="both"/>
    </w:pPr>
    <w:rPr>
      <w:rFonts w:hAnsi="宋体"/>
      <w:kern w:val="2"/>
      <w:szCs w:val="24"/>
    </w:rPr>
  </w:style>
  <w:style w:type="paragraph" w:customStyle="1" w:styleId="106">
    <w:name w:val="正文对的"/>
    <w:basedOn w:val="10"/>
    <w:autoRedefine/>
    <w:qFormat/>
    <w:uiPriority w:val="0"/>
    <w:pPr>
      <w:spacing w:line="500" w:lineRule="exact"/>
      <w:ind w:firstLine="200" w:firstLineChars="200"/>
    </w:pPr>
    <w:rPr>
      <w:rFonts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8.bin"/><Relationship Id="rId27" Type="http://schemas.openxmlformats.org/officeDocument/2006/relationships/image" Target="media/image12.wmf"/><Relationship Id="rId26" Type="http://schemas.openxmlformats.org/officeDocument/2006/relationships/oleObject" Target="embeddings/oleObject7.bin"/><Relationship Id="rId25" Type="http://schemas.openxmlformats.org/officeDocument/2006/relationships/image" Target="media/image11.wmf"/><Relationship Id="rId24" Type="http://schemas.openxmlformats.org/officeDocument/2006/relationships/oleObject" Target="embeddings/oleObject6.bin"/><Relationship Id="rId23" Type="http://schemas.openxmlformats.org/officeDocument/2006/relationships/image" Target="media/image10.wmf"/><Relationship Id="rId22" Type="http://schemas.openxmlformats.org/officeDocument/2006/relationships/oleObject" Target="embeddings/oleObject5.bin"/><Relationship Id="rId21" Type="http://schemas.openxmlformats.org/officeDocument/2006/relationships/image" Target="media/image9.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wmf"/><Relationship Id="rId17" Type="http://schemas.openxmlformats.org/officeDocument/2006/relationships/oleObject" Target="embeddings/oleObject3.bin"/><Relationship Id="rId16" Type="http://schemas.openxmlformats.org/officeDocument/2006/relationships/image" Target="media/image6.wmf"/><Relationship Id="rId15" Type="http://schemas.openxmlformats.org/officeDocument/2006/relationships/oleObject" Target="embeddings/oleObject2.bin"/><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zMzEzNDI0MjcxIiwKCSJHcm91cElkIiA6ICIxMzkwODA4ODkiLAoJIkltYWdlIiA6ICJpVkJPUncwS0dnb0FBQUFOU1VoRVVnQUFBcWtBQUFISUNBWUFBQUJ0Wm5PbEFBQUFBWE5TUjBJQXJzNGM2UUFBSUFCSlJFRlVlSnpzM1hsOFZOWFpCL0RmYys5a3NyQUdNQzZnUmdVQ0ljdmNpZloxUWF5NEs0clZhb3Qxd2JwYkZYZEVMVll0dFhXclMzM1YrdFlGTjdDS1crdFNwVWhkUUNTekpDRnNVYkNDZ093aGtHM3VmZDQvTWhNbmswbElRcEtad08vNytlU1RtWFB1T2ZlNXlXWHljTzY1NXdK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dGRML0Evb29hTHhLZDJON0FBQUFBRWxGVGtTdVFtQ0MiLAoJIlRoZW1lIiA6ICIiLAoJIlR5cGUiIDogImZsb3ciLAoJIlZlcnNpb24iIDogIiIKfQo="/>
    </extobj>
    <extobj name="ECB019B1-382A-4266-B25C-5B523AA43C14-2">
      <extobjdata type="ECB019B1-382A-4266-B25C-5B523AA43C14" data="ewoJIkZpbGVJZCIgOiAiMzczNjY0NTU1NDc3IiwKCSJHcm91cElkIiA6ICIxMzkwODA4ODkiLAoJIkltYWdlIiA6ICJpVkJPUncwS0dnb0FBQUFOU1VoRVVnQUFCSk1BQUFRQ0NBWUFBQUFZU2JsaUFBQUFBWE5TUjBJQXJzNGM2UUFBSUFCSlJFRlVlSnpzM1htY1U5WDVQL0RQYzVQWmdHRVZFRVU3Q2dvT3pFenVpU2lJdGRRRlc3QzRGTEZLWFVEYzZ0NjZZOFZTbDM1Yjk2cFZYS0h1UlJSRnNXZ0ZVZUdua25zekdSeEJSd0ZCVkJEWkIyYVMzT2YzeHlUVHpFd3lFL2Fsbi9mcjVjdms3RGRwZVptSGM1NER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JGTDhmOU9ZRy92VFZXN1RBQUFBQUVsRlRrU3VRbUNDIiwKCSJUaGVtZSIgOiAiIiwKCSJUeXBlIiA6ICJmbG93IiwKCSJWZXJzaW9uIiA6ICIiCn0K"/>
    </extobj>
    <extobj name="ECB019B1-382A-4266-B25C-5B523AA43C14-3">
      <extobjdata type="ECB019B1-382A-4266-B25C-5B523AA43C14" data="ewoJIkZpbGVJZCIgOiAiMzczNjY3OTM5Nzc1IiwKCSJHcm91cElkIiA6ICIxMzkwODA4ODkiLAoJIkltYWdlIiA6ICJpVkJPUncwS0dnb0FBQUFOU1VoRVVnQUFCRTRBQUFUd0NBWUFBQURxL0FXSkFBQUFBWE5TUjBJQXJzNGM2UUFBSUFCSlJFRlVlSnpzM1hsOFZOWDVQL0RQYys1a0EwSUJjVWViYWhTTVpPYWVNeTY0Vkd0TDNmZDlxMWo5dVhVUnJiYjYxU3JXcnd0MWE2dldwZFZhVzIzclVyVksvYnEwdFlyZDFMbjN6Z1FEYUtxb2FOMUZOZ21adWMvdmowem9NTXhrSVNDb24vZnJ4V3VTczk4UU5QUGtuT2N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Xo5Ly9zVUttMUd4enNZQU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128</Pages>
  <Words>103</Words>
  <Characters>129</Characters>
  <Lines>1113</Lines>
  <Paragraphs>313</Paragraphs>
  <TotalTime>2</TotalTime>
  <ScaleCrop>false</ScaleCrop>
  <LinksUpToDate>false</LinksUpToDate>
  <CharactersWithSpaces>180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2023-02-21T07:38:00Z</dcterms:created>
  <dc:creator>lhj</dc:creator>
  <cp:lastModifiedBy>球球</cp:lastModifiedBy>
  <cp:lastPrinted>2025-06-17T02:30:00Z</cp:lastPrinted>
  <dcterms:modified xsi:type="dcterms:W3CDTF">2025-07-08T06:48:49Z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93BA7A6FE02E4B85AEFB495ED7506EF4_13</vt:lpwstr>
  </property>
  <property fmtid="{D5CDD505-2E9C-101B-9397-08002B2CF9AE}" pid="4" name="KSOTemplateDocerSaveRecord">
    <vt:lpwstr>eyJoZGlkIjoiYWZhMzA0MTE2MGQ3ODcwOTgyMWY3NzY0ZDhkYzQxODciLCJ1c2VySWQiOiIzODk2NzQyOTcifQ==</vt:lpwstr>
  </property>
</Properties>
</file>