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80598">
      <w:pPr>
        <w:pStyle w:val="2"/>
      </w:pPr>
      <w:r>
        <w:drawing>
          <wp:inline distT="0" distB="0" distL="114300" distR="114300">
            <wp:extent cx="5819140" cy="8225155"/>
            <wp:effectExtent l="0" t="0" r="2540" b="444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
                    <a:stretch>
                      <a:fillRect/>
                    </a:stretch>
                  </pic:blipFill>
                  <pic:spPr>
                    <a:xfrm>
                      <a:off x="0" y="0"/>
                      <a:ext cx="5819140" cy="8225155"/>
                    </a:xfrm>
                    <a:prstGeom prst="rect">
                      <a:avLst/>
                    </a:prstGeom>
                    <a:noFill/>
                    <a:ln>
                      <a:noFill/>
                    </a:ln>
                  </pic:spPr>
                </pic:pic>
              </a:graphicData>
            </a:graphic>
          </wp:inline>
        </w:drawing>
      </w:r>
    </w:p>
    <w:p w14:paraId="35FC2B3C">
      <w:r>
        <w:br w:type="page"/>
      </w:r>
    </w:p>
    <w:p w14:paraId="4D13AF96">
      <w:pPr>
        <w:rPr>
          <w:rFonts w:hint="default"/>
        </w:rPr>
      </w:pPr>
      <w:r>
        <w:drawing>
          <wp:inline distT="0" distB="0" distL="114300" distR="114300">
            <wp:extent cx="5779770" cy="8181975"/>
            <wp:effectExtent l="0" t="0" r="11430" b="19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9"/>
                    <a:stretch>
                      <a:fillRect/>
                    </a:stretch>
                  </pic:blipFill>
                  <pic:spPr>
                    <a:xfrm>
                      <a:off x="0" y="0"/>
                      <a:ext cx="5779770" cy="8181975"/>
                    </a:xfrm>
                    <a:prstGeom prst="rect">
                      <a:avLst/>
                    </a:prstGeom>
                    <a:noFill/>
                    <a:ln>
                      <a:noFill/>
                    </a:ln>
                  </pic:spPr>
                </pic:pic>
              </a:graphicData>
            </a:graphic>
          </wp:inline>
        </w:drawing>
      </w:r>
      <w:r>
        <w:rPr>
          <w:rFonts w:hint="default"/>
        </w:rPr>
        <w:br w:type="page"/>
      </w:r>
    </w:p>
    <w:p w14:paraId="5DDF135B">
      <w:pPr>
        <w:rPr>
          <w:rFonts w:hint="default"/>
        </w:rPr>
      </w:pPr>
      <w:r>
        <w:drawing>
          <wp:inline distT="0" distB="0" distL="114300" distR="114300">
            <wp:extent cx="5758815" cy="7814310"/>
            <wp:effectExtent l="0" t="0" r="190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0"/>
                    <a:stretch>
                      <a:fillRect/>
                    </a:stretch>
                  </pic:blipFill>
                  <pic:spPr>
                    <a:xfrm>
                      <a:off x="0" y="0"/>
                      <a:ext cx="5758815" cy="7814310"/>
                    </a:xfrm>
                    <a:prstGeom prst="rect">
                      <a:avLst/>
                    </a:prstGeom>
                    <a:noFill/>
                    <a:ln>
                      <a:noFill/>
                    </a:ln>
                  </pic:spPr>
                </pic:pic>
              </a:graphicData>
            </a:graphic>
          </wp:inline>
        </w:drawing>
      </w:r>
      <w:r>
        <w:rPr>
          <w:rFonts w:hint="default"/>
        </w:rPr>
        <w:br w:type="page"/>
      </w:r>
    </w:p>
    <w:p w14:paraId="57D0E6A0">
      <w:pPr>
        <w:rPr>
          <w:rFonts w:hint="default"/>
        </w:rPr>
      </w:pPr>
      <w:r>
        <w:drawing>
          <wp:inline distT="0" distB="0" distL="114300" distR="114300">
            <wp:extent cx="5757545" cy="8061960"/>
            <wp:effectExtent l="0" t="0" r="317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1"/>
                    <a:stretch>
                      <a:fillRect/>
                    </a:stretch>
                  </pic:blipFill>
                  <pic:spPr>
                    <a:xfrm>
                      <a:off x="0" y="0"/>
                      <a:ext cx="5757545" cy="8061960"/>
                    </a:xfrm>
                    <a:prstGeom prst="rect">
                      <a:avLst/>
                    </a:prstGeom>
                    <a:noFill/>
                    <a:ln>
                      <a:noFill/>
                    </a:ln>
                  </pic:spPr>
                </pic:pic>
              </a:graphicData>
            </a:graphic>
          </wp:inline>
        </w:drawing>
      </w:r>
      <w:r>
        <w:rPr>
          <w:rFonts w:hint="default"/>
        </w:rPr>
        <w:br w:type="page"/>
      </w:r>
      <w:r>
        <w:rPr>
          <w:sz w:val="30"/>
        </w:rPr>
        <mc:AlternateContent>
          <mc:Choice Requires="wps">
            <w:drawing>
              <wp:anchor distT="0" distB="0" distL="114300" distR="114300" simplePos="0" relativeHeight="251661312" behindDoc="0" locked="0" layoutInCell="1" allowOverlap="1">
                <wp:simplePos x="0" y="0"/>
                <wp:positionH relativeFrom="column">
                  <wp:posOffset>3896995</wp:posOffset>
                </wp:positionH>
                <wp:positionV relativeFrom="paragraph">
                  <wp:posOffset>2049145</wp:posOffset>
                </wp:positionV>
                <wp:extent cx="75565" cy="1004570"/>
                <wp:effectExtent l="6350" t="6350" r="9525" b="10160"/>
                <wp:wrapNone/>
                <wp:docPr id="29" name="矩形 29"/>
                <wp:cNvGraphicFramePr/>
                <a:graphic xmlns:a="http://schemas.openxmlformats.org/drawingml/2006/main">
                  <a:graphicData uri="http://schemas.microsoft.com/office/word/2010/wordprocessingShape">
                    <wps:wsp>
                      <wps:cNvSpPr/>
                      <wps:spPr>
                        <a:xfrm>
                          <a:off x="0" y="0"/>
                          <a:ext cx="75565" cy="1004570"/>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85pt;margin-top:161.35pt;height:79.1pt;width:5.95pt;z-index:251661312;v-text-anchor:middle;mso-width-relative:page;mso-height-relative:page;" fillcolor="#000000 [3213]" filled="t" stroked="t" coordsize="21600,21600" o:gfxdata="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jAY0XcAAAACwEAAA8AAAAAAAAAAQAgAAAAIgAAAGRycy9kb3ducmV2&#10;LnhtbFBLAQIUABQAAAAIAIdO4kBcLVeeagIAAPUEAAAOAAAAAAAAAAEAIAAAACsBAABkcnMvZTJv&#10;RG9jLnhtbFBLBQYAAAAABgAGAFkBAAAHBgAAAAA=&#10;">
                <v:fill on="t" focussize="0,0"/>
                <v:stroke weight="1pt" color="#000000 [3213]" miterlimit="8" joinstyle="miter"/>
                <v:imagedata o:title=""/>
                <o:lock v:ext="edit" aspectratio="f"/>
              </v:rect>
            </w:pict>
          </mc:Fallback>
        </mc:AlternateContent>
      </w:r>
      <w:r>
        <w:rPr>
          <w:sz w:val="30"/>
        </w:rPr>
        <mc:AlternateContent>
          <mc:Choice Requires="wps">
            <w:drawing>
              <wp:anchor distT="0" distB="0" distL="114300" distR="114300" simplePos="0" relativeHeight="251660288" behindDoc="0" locked="0" layoutInCell="1" allowOverlap="1">
                <wp:simplePos x="0" y="0"/>
                <wp:positionH relativeFrom="column">
                  <wp:posOffset>3406140</wp:posOffset>
                </wp:positionH>
                <wp:positionV relativeFrom="paragraph">
                  <wp:posOffset>1964055</wp:posOffset>
                </wp:positionV>
                <wp:extent cx="75565" cy="1004570"/>
                <wp:effectExtent l="6350" t="6350" r="9525" b="10160"/>
                <wp:wrapNone/>
                <wp:docPr id="28" name="矩形 28"/>
                <wp:cNvGraphicFramePr/>
                <a:graphic xmlns:a="http://schemas.openxmlformats.org/drawingml/2006/main">
                  <a:graphicData uri="http://schemas.microsoft.com/office/word/2010/wordprocessingShape">
                    <wps:wsp>
                      <wps:cNvSpPr/>
                      <wps:spPr>
                        <a:xfrm>
                          <a:off x="0" y="0"/>
                          <a:ext cx="75565" cy="1004570"/>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2pt;margin-top:154.65pt;height:79.1pt;width:5.95pt;z-index:251660288;v-text-anchor:middle;mso-width-relative:page;mso-height-relative:page;" fillcolor="#000000 [3213]" filled="t" stroked="t" coordsize="21600,21600" o:gfxdata="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OcYP9wAAAALAQAADwAAAAAAAAABACAAAAAiAAAAZHJzL2Rvd25yZXYu&#10;eG1sUEsBAhQAFAAAAAgAh07iQP4ZYyFpAgAA9QQAAA4AAAAAAAAAAQAgAAAAKwEAAGRycy9lMm9E&#10;b2MueG1sUEsFBgAAAAAGAAYAWQEAAAYGAAAAAA==&#10;">
                <v:fill on="t" focussize="0,0"/>
                <v:stroke weight="1pt" color="#000000 [3213]" miterlimit="8" joinstyle="miter"/>
                <v:imagedata o:title=""/>
                <o:lock v:ext="edit" aspectratio="f"/>
              </v:rect>
            </w:pict>
          </mc:Fallback>
        </mc:AlternateContent>
      </w:r>
      <w:r>
        <w:drawing>
          <wp:inline distT="0" distB="0" distL="114300" distR="114300">
            <wp:extent cx="5756910" cy="8161655"/>
            <wp:effectExtent l="0" t="0" r="3810" b="69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2"/>
                    <a:stretch>
                      <a:fillRect/>
                    </a:stretch>
                  </pic:blipFill>
                  <pic:spPr>
                    <a:xfrm>
                      <a:off x="0" y="0"/>
                      <a:ext cx="5756910" cy="8161655"/>
                    </a:xfrm>
                    <a:prstGeom prst="rect">
                      <a:avLst/>
                    </a:prstGeom>
                    <a:noFill/>
                    <a:ln>
                      <a:noFill/>
                    </a:ln>
                  </pic:spPr>
                </pic:pic>
              </a:graphicData>
            </a:graphic>
          </wp:inline>
        </w:drawing>
      </w:r>
      <w:r>
        <w:rPr>
          <w:sz w:val="30"/>
        </w:rPr>
        <mc:AlternateContent>
          <mc:Choice Requires="wps">
            <w:drawing>
              <wp:anchor distT="0" distB="0" distL="114300" distR="114300" simplePos="0" relativeHeight="251662336" behindDoc="0" locked="0" layoutInCell="1" allowOverlap="1">
                <wp:simplePos x="0" y="0"/>
                <wp:positionH relativeFrom="column">
                  <wp:posOffset>2635250</wp:posOffset>
                </wp:positionH>
                <wp:positionV relativeFrom="paragraph">
                  <wp:posOffset>2599690</wp:posOffset>
                </wp:positionV>
                <wp:extent cx="75565" cy="1004570"/>
                <wp:effectExtent l="6350" t="6350" r="10160" b="9525"/>
                <wp:wrapNone/>
                <wp:docPr id="30" name="矩形 30"/>
                <wp:cNvGraphicFramePr/>
                <a:graphic xmlns:a="http://schemas.openxmlformats.org/drawingml/2006/main">
                  <a:graphicData uri="http://schemas.microsoft.com/office/word/2010/wordprocessingShape">
                    <wps:wsp>
                      <wps:cNvSpPr/>
                      <wps:spPr>
                        <a:xfrm rot="5400000">
                          <a:off x="0" y="0"/>
                          <a:ext cx="75565" cy="1004570"/>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5pt;margin-top:204.7pt;height:79.1pt;width:5.95pt;rotation:5898240f;z-index:251662336;v-text-anchor:middle;mso-width-relative:page;mso-height-relative:page;" fillcolor="#000000 [3213]" filled="t" stroked="t" coordsize="21600,21600" o:gfxdata="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qtGIHdAAAACwEAAA8AAAAAAAAAAQAgAAAAIgAAAGRycy9k&#10;b3ducmV2LnhtbFBLAQIUABQAAAAIAIdO4kDpcaRObwIAAAMFAAAOAAAAAAAAAAEAIAAAACwBAABk&#10;cnMvZTJvRG9jLnhtbFBLBQYAAAAABgAGAFkBAAANBgAAAAA=&#10;">
                <v:fill on="t" focussize="0,0"/>
                <v:stroke weight="1pt" color="#000000 [3213]" miterlimit="8" joinstyle="miter"/>
                <v:imagedata o:title=""/>
                <o:lock v:ext="edit" aspectratio="f"/>
              </v:rect>
            </w:pict>
          </mc:Fallback>
        </mc:AlternateContent>
      </w:r>
      <w:r>
        <w:drawing>
          <wp:inline distT="0" distB="0" distL="114300" distR="114300">
            <wp:extent cx="5753735" cy="7935595"/>
            <wp:effectExtent l="0" t="0" r="6985" b="444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3"/>
                    <a:stretch>
                      <a:fillRect/>
                    </a:stretch>
                  </pic:blipFill>
                  <pic:spPr>
                    <a:xfrm>
                      <a:off x="0" y="0"/>
                      <a:ext cx="5753735" cy="7935595"/>
                    </a:xfrm>
                    <a:prstGeom prst="rect">
                      <a:avLst/>
                    </a:prstGeom>
                    <a:noFill/>
                    <a:ln>
                      <a:noFill/>
                    </a:ln>
                  </pic:spPr>
                </pic:pic>
              </a:graphicData>
            </a:graphic>
          </wp:inline>
        </w:drawing>
      </w:r>
    </w:p>
    <w:p w14:paraId="2EFED2E1">
      <w:pPr>
        <w:rPr>
          <w:rFonts w:hint="default"/>
        </w:rPr>
      </w:pPr>
      <w:r>
        <w:rPr>
          <w:rFonts w:hint="default"/>
        </w:rPr>
        <w:br w:type="page"/>
      </w:r>
    </w:p>
    <w:p w14:paraId="0EE49630">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一、建设项目基础情况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446"/>
        <w:gridCol w:w="1917"/>
        <w:gridCol w:w="3195"/>
      </w:tblGrid>
      <w:tr w14:paraId="6C8A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174440D0">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4069" w:type="pct"/>
            <w:gridSpan w:val="3"/>
            <w:vAlign w:val="center"/>
          </w:tcPr>
          <w:p w14:paraId="614B838F">
            <w:pPr>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新建光伏组件及电力设备加工项目</w:t>
            </w:r>
          </w:p>
        </w:tc>
      </w:tr>
      <w:tr w14:paraId="14D6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165353AE">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项目代码</w:t>
            </w:r>
          </w:p>
        </w:tc>
        <w:tc>
          <w:tcPr>
            <w:tcW w:w="4069" w:type="pct"/>
            <w:gridSpan w:val="3"/>
            <w:vAlign w:val="center"/>
          </w:tcPr>
          <w:p w14:paraId="1A5A1D04">
            <w:pPr>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2411-320458-89-01-900330</w:t>
            </w:r>
          </w:p>
        </w:tc>
      </w:tr>
      <w:tr w14:paraId="0A40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49231518">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建设单位联系人</w:t>
            </w:r>
          </w:p>
        </w:tc>
        <w:tc>
          <w:tcPr>
            <w:tcW w:w="1317" w:type="pct"/>
            <w:vAlign w:val="center"/>
          </w:tcPr>
          <w:p w14:paraId="08CDC6D6">
            <w:pPr>
              <w:jc w:val="center"/>
              <w:rPr>
                <w:rFonts w:hint="default" w:ascii="Times New Roman" w:hAnsi="Times New Roman" w:eastAsia="宋体" w:cs="Times New Roman"/>
                <w:color w:val="auto"/>
                <w:sz w:val="24"/>
                <w:highlight w:val="none"/>
                <w:lang w:val="en-US" w:eastAsia="zh-CN"/>
              </w:rPr>
            </w:pPr>
            <w:bookmarkStart w:id="13" w:name="_GoBack"/>
            <w:r>
              <w:rPr>
                <w:rFonts w:hint="default" w:ascii="Times New Roman" w:hAnsi="Times New Roman" w:eastAsia="宋体" w:cs="Times New Roman"/>
                <w:color w:val="auto"/>
                <w:sz w:val="24"/>
                <w:highlight w:val="black"/>
                <w:lang w:val="en-US" w:eastAsia="zh-CN"/>
              </w:rPr>
              <w:t>王慧</w:t>
            </w:r>
            <w:bookmarkEnd w:id="13"/>
          </w:p>
        </w:tc>
        <w:tc>
          <w:tcPr>
            <w:tcW w:w="1032" w:type="pct"/>
            <w:vAlign w:val="center"/>
          </w:tcPr>
          <w:p w14:paraId="23CD4F5E">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1718" w:type="pct"/>
            <w:vAlign w:val="center"/>
          </w:tcPr>
          <w:p w14:paraId="77F466CD">
            <w:pPr>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black"/>
                <w:lang w:eastAsia="zh-CN"/>
              </w:rPr>
              <w:t>13776389816</w:t>
            </w:r>
          </w:p>
        </w:tc>
      </w:tr>
      <w:tr w14:paraId="0674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vAlign w:val="center"/>
          </w:tcPr>
          <w:p w14:paraId="5F51269A">
            <w:pPr>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 xml:space="preserve"> </w:t>
            </w:r>
            <w:r>
              <w:rPr>
                <w:rFonts w:hint="default" w:ascii="Times New Roman" w:hAnsi="Times New Roman" w:eastAsia="宋体" w:cs="Times New Roman"/>
                <w:color w:val="auto"/>
                <w:sz w:val="24"/>
                <w:highlight w:val="none"/>
              </w:rPr>
              <w:t>建设地点</w:t>
            </w:r>
          </w:p>
        </w:tc>
        <w:tc>
          <w:tcPr>
            <w:tcW w:w="4069" w:type="pct"/>
            <w:gridSpan w:val="3"/>
            <w:vAlign w:val="center"/>
          </w:tcPr>
          <w:p w14:paraId="20D9268F">
            <w:pPr>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常州市金坛区晨风路1136号（金坛控股中南高科创新园）14幢</w:t>
            </w:r>
          </w:p>
        </w:tc>
      </w:tr>
      <w:tr w14:paraId="5D2D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25402EBF">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4069" w:type="pct"/>
            <w:gridSpan w:val="3"/>
            <w:vAlign w:val="center"/>
          </w:tcPr>
          <w:p w14:paraId="42E5D284">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119</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lang w:val="en-US" w:eastAsia="zh-CN"/>
              </w:rPr>
              <w:t>39</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lang w:val="en-US" w:eastAsia="zh-CN"/>
              </w:rPr>
              <w:t>1.901</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 xml:space="preserve"> 31 </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4</w:t>
            </w:r>
            <w:r>
              <w:rPr>
                <w:rFonts w:hint="eastAsia" w:ascii="Times New Roman" w:hAnsi="Times New Roman" w:eastAsia="宋体"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分</w:t>
            </w:r>
            <w:r>
              <w:rPr>
                <w:rFonts w:hint="default"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lang w:val="en-US" w:eastAsia="zh-CN"/>
              </w:rPr>
              <w:t>29.311</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秒）</w:t>
            </w:r>
          </w:p>
        </w:tc>
      </w:tr>
      <w:tr w14:paraId="505F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7B7AE3AF">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国民经济行业类别</w:t>
            </w:r>
          </w:p>
        </w:tc>
        <w:tc>
          <w:tcPr>
            <w:tcW w:w="1317" w:type="pct"/>
            <w:vAlign w:val="center"/>
          </w:tcPr>
          <w:p w14:paraId="455FD413">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C3823配电开关控制设备制造、C3825光伏设备及元器件制造</w:t>
            </w:r>
          </w:p>
        </w:tc>
        <w:tc>
          <w:tcPr>
            <w:tcW w:w="1032" w:type="pct"/>
            <w:vAlign w:val="center"/>
          </w:tcPr>
          <w:p w14:paraId="428A6CB8">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2CCA3557">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p>
        </w:tc>
        <w:tc>
          <w:tcPr>
            <w:tcW w:w="1718" w:type="pct"/>
            <w:vAlign w:val="center"/>
          </w:tcPr>
          <w:p w14:paraId="7816D08F">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三十</w:t>
            </w:r>
            <w:r>
              <w:rPr>
                <w:rFonts w:hint="eastAsia" w:ascii="Times New Roman" w:hAnsi="Times New Roman" w:eastAsia="宋体" w:cs="Times New Roman"/>
                <w:color w:val="auto"/>
                <w:sz w:val="24"/>
                <w:highlight w:val="none"/>
                <w:lang w:val="en-US" w:eastAsia="zh-CN"/>
              </w:rPr>
              <w:t>五</w:t>
            </w:r>
            <w:r>
              <w:rPr>
                <w:rFonts w:hint="default" w:ascii="Times New Roman" w:hAnsi="Times New Roman" w:eastAsia="宋体" w:cs="Times New Roman"/>
                <w:color w:val="auto"/>
                <w:sz w:val="24"/>
                <w:highlight w:val="none"/>
              </w:rPr>
              <w:t xml:space="preserve">、电气机械和器材制造业 </w:t>
            </w:r>
            <w:r>
              <w:rPr>
                <w:rFonts w:hint="eastAsia" w:ascii="Times New Roman" w:hAnsi="Times New Roman" w:eastAsia="宋体" w:cs="Times New Roman"/>
                <w:color w:val="auto"/>
                <w:sz w:val="24"/>
                <w:highlight w:val="none"/>
                <w:lang w:val="en-US" w:eastAsia="zh-CN"/>
              </w:rPr>
              <w:t>38-77</w:t>
            </w:r>
            <w:r>
              <w:rPr>
                <w:rFonts w:hint="default" w:ascii="Times New Roman" w:hAnsi="Times New Roman" w:eastAsia="宋体" w:cs="Times New Roman"/>
                <w:color w:val="auto"/>
                <w:sz w:val="24"/>
                <w:highlight w:val="none"/>
              </w:rPr>
              <w:t xml:space="preserve"> 输配电及控制设备制造382</w:t>
            </w:r>
          </w:p>
        </w:tc>
      </w:tr>
      <w:tr w14:paraId="30C0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76806FB1">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p>
        </w:tc>
        <w:tc>
          <w:tcPr>
            <w:tcW w:w="1317" w:type="pct"/>
            <w:vAlign w:val="center"/>
          </w:tcPr>
          <w:p w14:paraId="157E2060">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新建（迁建）</w:t>
            </w:r>
          </w:p>
          <w:p w14:paraId="55C74AF0">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□改建</w:t>
            </w:r>
          </w:p>
          <w:p w14:paraId="6A33207D">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□扩建</w:t>
            </w:r>
          </w:p>
          <w:p w14:paraId="755E4920">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□技术改造</w:t>
            </w:r>
          </w:p>
        </w:tc>
        <w:tc>
          <w:tcPr>
            <w:tcW w:w="1032" w:type="pct"/>
            <w:vAlign w:val="center"/>
          </w:tcPr>
          <w:p w14:paraId="1EB3206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6BC5AF3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申报情形</w:t>
            </w:r>
          </w:p>
        </w:tc>
        <w:tc>
          <w:tcPr>
            <w:tcW w:w="1718" w:type="pct"/>
            <w:vAlign w:val="center"/>
          </w:tcPr>
          <w:p w14:paraId="21553BF0">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14:paraId="7A4D8819">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□不予批准后再次申报项目</w:t>
            </w:r>
          </w:p>
          <w:p w14:paraId="4D493D50">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□超五年重新审核项目</w:t>
            </w:r>
          </w:p>
          <w:p w14:paraId="4AC55A5C">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□重大变动重新报批项目</w:t>
            </w:r>
          </w:p>
        </w:tc>
      </w:tr>
      <w:tr w14:paraId="0B69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6E484172">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w:t>
            </w:r>
          </w:p>
          <w:p w14:paraId="134CA98C">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（核准/备案）部门</w:t>
            </w:r>
          </w:p>
          <w:p w14:paraId="58CAEB94">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（选填）</w:t>
            </w:r>
          </w:p>
        </w:tc>
        <w:tc>
          <w:tcPr>
            <w:tcW w:w="1317" w:type="pct"/>
            <w:vAlign w:val="center"/>
          </w:tcPr>
          <w:p w14:paraId="42E54DF5">
            <w:pPr>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江苏金坛经济开发区经济发展局</w:t>
            </w:r>
          </w:p>
        </w:tc>
        <w:tc>
          <w:tcPr>
            <w:tcW w:w="1032" w:type="pct"/>
            <w:vAlign w:val="center"/>
          </w:tcPr>
          <w:p w14:paraId="444A659B">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项目审批（核准/备案）文号</w:t>
            </w:r>
          </w:p>
          <w:p w14:paraId="6908D75E">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（选填）</w:t>
            </w:r>
          </w:p>
        </w:tc>
        <w:tc>
          <w:tcPr>
            <w:tcW w:w="1718" w:type="pct"/>
            <w:vAlign w:val="center"/>
          </w:tcPr>
          <w:p w14:paraId="79CE0382">
            <w:pPr>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坛开经发备字〔2024〕239号</w:t>
            </w:r>
          </w:p>
        </w:tc>
      </w:tr>
      <w:tr w14:paraId="3E2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shd w:val="clear" w:color="auto" w:fill="auto"/>
            <w:vAlign w:val="center"/>
          </w:tcPr>
          <w:p w14:paraId="36F66946">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总投资（万元）</w:t>
            </w:r>
          </w:p>
        </w:tc>
        <w:tc>
          <w:tcPr>
            <w:tcW w:w="1317" w:type="pct"/>
            <w:shd w:val="clear" w:color="auto" w:fill="auto"/>
            <w:vAlign w:val="center"/>
          </w:tcPr>
          <w:p w14:paraId="48BE1716">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000</w:t>
            </w:r>
          </w:p>
        </w:tc>
        <w:tc>
          <w:tcPr>
            <w:tcW w:w="1032" w:type="pct"/>
            <w:shd w:val="clear" w:color="auto" w:fill="auto"/>
            <w:vAlign w:val="center"/>
          </w:tcPr>
          <w:p w14:paraId="668F7209">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环保投资（万元）</w:t>
            </w:r>
          </w:p>
        </w:tc>
        <w:tc>
          <w:tcPr>
            <w:tcW w:w="1718" w:type="pct"/>
            <w:shd w:val="clear" w:color="auto" w:fill="auto"/>
            <w:vAlign w:val="center"/>
          </w:tcPr>
          <w:p w14:paraId="45532D1F">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0</w:t>
            </w:r>
          </w:p>
        </w:tc>
      </w:tr>
      <w:tr w14:paraId="729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vAlign w:val="center"/>
          </w:tcPr>
          <w:p w14:paraId="783D6654">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317" w:type="pct"/>
            <w:vAlign w:val="center"/>
          </w:tcPr>
          <w:p w14:paraId="4C9CC7B1">
            <w:pPr>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c>
          <w:tcPr>
            <w:tcW w:w="1032" w:type="pct"/>
            <w:vAlign w:val="center"/>
          </w:tcPr>
          <w:p w14:paraId="571B5381">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718" w:type="pct"/>
            <w:vAlign w:val="center"/>
          </w:tcPr>
          <w:p w14:paraId="5D3A9824">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个月</w:t>
            </w:r>
          </w:p>
        </w:tc>
      </w:tr>
      <w:tr w14:paraId="4612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63973FA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317" w:type="pct"/>
            <w:vAlign w:val="center"/>
          </w:tcPr>
          <w:p w14:paraId="43932DC7">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mallCaps w:val="0"/>
                <w:color w:val="auto"/>
                <w:spacing w:val="0"/>
                <w:kern w:val="0"/>
                <w:position w:val="0"/>
                <w:szCs w:val="21"/>
              </w:rPr>
              <w:sym w:font="Wingdings" w:char="F0FE"/>
            </w:r>
            <w:r>
              <w:rPr>
                <w:rFonts w:hint="default" w:ascii="Times New Roman" w:hAnsi="Times New Roman" w:eastAsia="宋体" w:cs="Times New Roman"/>
                <w:color w:val="auto"/>
                <w:sz w:val="24"/>
                <w:szCs w:val="24"/>
                <w:highlight w:val="none"/>
              </w:rPr>
              <w:t>否</w:t>
            </w:r>
          </w:p>
          <w:p w14:paraId="70D8B9E4">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mallCaps w:val="0"/>
                <w:color w:val="auto"/>
                <w:spacing w:val="0"/>
                <w:kern w:val="0"/>
                <w:position w:val="0"/>
                <w:szCs w:val="21"/>
              </w:rPr>
              <w:sym w:font="Wingdings" w:char="00A8"/>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1032" w:type="pct"/>
            <w:vAlign w:val="center"/>
          </w:tcPr>
          <w:p w14:paraId="744B5034">
            <w:pPr>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rPr>
              <w:t>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1718" w:type="pct"/>
            <w:vAlign w:val="center"/>
          </w:tcPr>
          <w:p w14:paraId="1DBB3478">
            <w:pPr>
              <w:jc w:val="center"/>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13652.88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利用现有厂房</w:t>
            </w:r>
            <w:r>
              <w:rPr>
                <w:rFonts w:hint="default" w:ascii="Times New Roman" w:hAnsi="Times New Roman" w:eastAsia="宋体" w:cs="Times New Roman"/>
                <w:color w:val="auto"/>
                <w:sz w:val="24"/>
                <w:szCs w:val="24"/>
                <w:highlight w:val="none"/>
                <w:lang w:eastAsia="zh-CN"/>
              </w:rPr>
              <w:t>）</w:t>
            </w:r>
          </w:p>
        </w:tc>
      </w:tr>
      <w:tr w14:paraId="44F1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30" w:type="pct"/>
            <w:vAlign w:val="center"/>
          </w:tcPr>
          <w:p w14:paraId="01E7A623">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专项评价设置情况</w:t>
            </w:r>
          </w:p>
        </w:tc>
        <w:tc>
          <w:tcPr>
            <w:tcW w:w="4069" w:type="pct"/>
            <w:gridSpan w:val="3"/>
            <w:vAlign w:val="center"/>
          </w:tcPr>
          <w:p w14:paraId="642C54BC">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w:t>
            </w:r>
          </w:p>
        </w:tc>
      </w:tr>
      <w:tr w14:paraId="7C1A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930" w:type="pct"/>
            <w:vAlign w:val="center"/>
          </w:tcPr>
          <w:p w14:paraId="51F3D544">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规划情况</w:t>
            </w:r>
          </w:p>
        </w:tc>
        <w:tc>
          <w:tcPr>
            <w:tcW w:w="4069" w:type="pct"/>
            <w:gridSpan w:val="3"/>
            <w:shd w:val="clear" w:color="auto" w:fill="auto"/>
            <w:vAlign w:val="center"/>
          </w:tcPr>
          <w:p w14:paraId="391A737D">
            <w:pPr>
              <w:pStyle w:val="83"/>
              <w:spacing w:line="500" w:lineRule="exact"/>
              <w:jc w:val="left"/>
              <w:rPr>
                <w:color w:val="auto"/>
                <w:highlight w:val="none"/>
              </w:rPr>
            </w:pPr>
            <w:r>
              <w:rPr>
                <w:color w:val="auto"/>
                <w:highlight w:val="none"/>
              </w:rPr>
              <w:t>规划名称：</w:t>
            </w:r>
            <w:r>
              <w:rPr>
                <w:rFonts w:hint="eastAsia"/>
                <w:color w:val="auto"/>
                <w:highlight w:val="none"/>
              </w:rPr>
              <w:t>《江苏金坛经济开发区控制性详细规划》</w:t>
            </w:r>
          </w:p>
          <w:p w14:paraId="6CECAA3F">
            <w:pPr>
              <w:pStyle w:val="83"/>
              <w:spacing w:line="500" w:lineRule="exact"/>
              <w:jc w:val="left"/>
              <w:rPr>
                <w:color w:val="auto"/>
                <w:highlight w:val="none"/>
              </w:rPr>
            </w:pPr>
            <w:r>
              <w:rPr>
                <w:color w:val="auto"/>
                <w:highlight w:val="none"/>
              </w:rPr>
              <w:t>审查机关：</w:t>
            </w:r>
            <w:r>
              <w:rPr>
                <w:rFonts w:hint="eastAsia"/>
                <w:color w:val="auto"/>
                <w:highlight w:val="none"/>
              </w:rPr>
              <w:t>常州市金坛区人民政府</w:t>
            </w:r>
          </w:p>
          <w:p w14:paraId="743491AB">
            <w:pPr>
              <w:pStyle w:val="83"/>
              <w:spacing w:line="500" w:lineRule="exact"/>
              <w:jc w:val="left"/>
              <w:rPr>
                <w:rFonts w:hint="default" w:asciiTheme="minorHAnsi" w:hAnsiTheme="minorHAnsi" w:eastAsiaTheme="minorEastAsia" w:cstheme="minorBidi"/>
                <w:color w:val="auto"/>
                <w:kern w:val="0"/>
                <w:sz w:val="21"/>
                <w:szCs w:val="22"/>
                <w:highlight w:val="none"/>
                <w:lang w:val="en-US" w:eastAsia="zh-CN" w:bidi="ar-SA"/>
              </w:rPr>
            </w:pPr>
            <w:r>
              <w:rPr>
                <w:color w:val="auto"/>
                <w:highlight w:val="none"/>
              </w:rPr>
              <w:t>审查文件名称及文号</w:t>
            </w:r>
            <w:r>
              <w:rPr>
                <w:rFonts w:hint="eastAsia"/>
                <w:color w:val="auto"/>
                <w:highlight w:val="none"/>
                <w:lang w:eastAsia="zh-CN"/>
              </w:rPr>
              <w:t>：</w:t>
            </w:r>
            <w:r>
              <w:rPr>
                <w:rFonts w:hint="eastAsia"/>
                <w:color w:val="auto"/>
                <w:highlight w:val="none"/>
              </w:rPr>
              <w:t>《常州市金坛区人民政府关于同意江苏金坛经济开发区控制性详细规划（修改）的批复》（坛政复</w:t>
            </w:r>
            <w:r>
              <w:rPr>
                <w:rFonts w:hint="eastAsia"/>
                <w:color w:val="auto"/>
                <w:highlight w:val="none"/>
                <w:lang w:eastAsia="zh-CN"/>
              </w:rPr>
              <w:t>〔2023〕56号</w:t>
            </w:r>
            <w:r>
              <w:rPr>
                <w:rFonts w:hint="eastAsia"/>
                <w:color w:val="auto"/>
                <w:highlight w:val="none"/>
              </w:rPr>
              <w:t>）</w:t>
            </w:r>
          </w:p>
        </w:tc>
      </w:tr>
      <w:tr w14:paraId="768B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30" w:type="pct"/>
            <w:vAlign w:val="center"/>
          </w:tcPr>
          <w:p w14:paraId="576E4DAF">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规划环境影响评价情况</w:t>
            </w:r>
          </w:p>
        </w:tc>
        <w:tc>
          <w:tcPr>
            <w:tcW w:w="4069" w:type="pct"/>
            <w:gridSpan w:val="3"/>
            <w:shd w:val="clear" w:color="auto" w:fill="auto"/>
            <w:vAlign w:val="center"/>
          </w:tcPr>
          <w:p w14:paraId="1351C14E">
            <w:pPr>
              <w:pStyle w:val="83"/>
              <w:spacing w:line="500" w:lineRule="exact"/>
              <w:jc w:val="left"/>
              <w:rPr>
                <w:color w:val="auto"/>
                <w:highlight w:val="none"/>
              </w:rPr>
            </w:pPr>
            <w:r>
              <w:rPr>
                <w:color w:val="auto"/>
                <w:highlight w:val="none"/>
              </w:rPr>
              <w:t>规划环境影响评价文件名称：《金坛经济开发区发展规划环境影响报告书》召集审查机关：原江苏省环境保护厅</w:t>
            </w:r>
          </w:p>
          <w:p w14:paraId="5AC3C7D6">
            <w:pPr>
              <w:pStyle w:val="83"/>
              <w:spacing w:line="500" w:lineRule="exact"/>
              <w:jc w:val="left"/>
              <w:rPr>
                <w:color w:val="auto"/>
                <w:highlight w:val="none"/>
              </w:rPr>
            </w:pPr>
            <w:r>
              <w:rPr>
                <w:color w:val="auto"/>
                <w:highlight w:val="none"/>
              </w:rPr>
              <w:t>审查文件：《关于金坛经济开发区发展规划环境影响评价审查意见》</w:t>
            </w:r>
          </w:p>
          <w:p w14:paraId="2B929D92">
            <w:pPr>
              <w:pStyle w:val="83"/>
              <w:spacing w:line="500" w:lineRule="exact"/>
              <w:jc w:val="left"/>
              <w:rPr>
                <w:color w:val="auto"/>
                <w:highlight w:val="none"/>
              </w:rPr>
            </w:pPr>
            <w:r>
              <w:rPr>
                <w:color w:val="auto"/>
                <w:highlight w:val="none"/>
              </w:rPr>
              <w:t>审查文号：苏环审〔2015〕52号</w:t>
            </w:r>
          </w:p>
          <w:p w14:paraId="057B492D">
            <w:pPr>
              <w:pStyle w:val="83"/>
              <w:spacing w:line="500" w:lineRule="exact"/>
              <w:ind w:firstLine="0" w:firstLineChars="0"/>
              <w:jc w:val="left"/>
              <w:rPr>
                <w:rFonts w:hint="default" w:ascii="Times New Roman" w:hAnsi="Times New Roman" w:eastAsia="宋体" w:cstheme="minorBidi"/>
                <w:color w:val="auto"/>
                <w:kern w:val="0"/>
                <w:sz w:val="24"/>
                <w:szCs w:val="20"/>
                <w:highlight w:val="none"/>
                <w:lang w:val="en-US" w:eastAsia="zh-CN" w:bidi="ar-SA"/>
              </w:rPr>
            </w:pPr>
            <w:r>
              <w:rPr>
                <w:color w:val="auto"/>
                <w:highlight w:val="none"/>
              </w:rPr>
              <w:t>金坛经济开发区最新规划</w:t>
            </w:r>
            <w:r>
              <w:rPr>
                <w:rFonts w:hint="eastAsia"/>
                <w:color w:val="auto"/>
                <w:highlight w:val="none"/>
                <w:lang w:val="en-US" w:eastAsia="zh-CN"/>
              </w:rPr>
              <w:t>环评</w:t>
            </w:r>
            <w:r>
              <w:rPr>
                <w:color w:val="auto"/>
                <w:highlight w:val="none"/>
              </w:rPr>
              <w:t>正在编制，暂未完成审批。</w:t>
            </w:r>
          </w:p>
        </w:tc>
      </w:tr>
    </w:tbl>
    <w:p w14:paraId="31502534">
      <w:pPr>
        <w:rPr>
          <w:rFonts w:hint="default" w:ascii="Times New Roman" w:hAnsi="Times New Roman" w:cs="Times New Roman"/>
          <w:color w:val="auto"/>
          <w:highlight w:val="none"/>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617"/>
      </w:tblGrid>
      <w:tr w14:paraId="339B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411E3C5">
            <w:pPr>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规划及规划环境影响评价符合性分析</w:t>
            </w:r>
          </w:p>
        </w:tc>
        <w:tc>
          <w:tcPr>
            <w:tcW w:w="4639" w:type="pct"/>
            <w:vAlign w:val="center"/>
          </w:tcPr>
          <w:p w14:paraId="1EEB3906">
            <w:pPr>
              <w:autoSpaceDE w:val="0"/>
              <w:autoSpaceDN w:val="0"/>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（1）规划相符性分析</w:t>
            </w:r>
          </w:p>
          <w:p w14:paraId="03BA9C9D">
            <w:pPr>
              <w:pStyle w:val="74"/>
              <w:spacing w:line="500" w:lineRule="exact"/>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表1-1  项目与金坛经济开发区规划环评审查意见相符性分析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32"/>
              <w:gridCol w:w="2439"/>
              <w:gridCol w:w="530"/>
            </w:tblGrid>
            <w:tr w14:paraId="4E0C5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tcBorders>
                    <w:bottom w:val="single" w:color="auto" w:sz="12" w:space="0"/>
                  </w:tcBorders>
                  <w:noWrap w:val="0"/>
                  <w:vAlign w:val="center"/>
                </w:tcPr>
                <w:p w14:paraId="270AA3C5">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金坛经济开发区规划环评审查意见内容</w:t>
                  </w:r>
                </w:p>
              </w:tc>
              <w:tc>
                <w:tcPr>
                  <w:tcW w:w="2310" w:type="dxa"/>
                  <w:tcBorders>
                    <w:bottom w:val="single" w:color="auto" w:sz="12" w:space="0"/>
                  </w:tcBorders>
                  <w:noWrap w:val="0"/>
                  <w:vAlign w:val="center"/>
                </w:tcPr>
                <w:p w14:paraId="5E9D3876">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本项目建设区情况</w:t>
                  </w:r>
                </w:p>
              </w:tc>
              <w:tc>
                <w:tcPr>
                  <w:tcW w:w="502" w:type="dxa"/>
                  <w:tcBorders>
                    <w:bottom w:val="single" w:color="auto" w:sz="12" w:space="0"/>
                  </w:tcBorders>
                  <w:noWrap w:val="0"/>
                  <w:vAlign w:val="center"/>
                </w:tcPr>
                <w:p w14:paraId="05D67D3F">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074C9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tcBorders>
                    <w:top w:val="single" w:color="auto" w:sz="12" w:space="0"/>
                  </w:tcBorders>
                  <w:noWrap w:val="0"/>
                  <w:vAlign w:val="center"/>
                </w:tcPr>
                <w:p w14:paraId="3975D70A">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规划范围：东至在建省道203（东环路），南至规划沿江城际铁路，西至金湖路（金宜路）-S340-丹金溧漕河，北近开发区行政界线，距金坛和丹阳市界500m处，总面积71.3km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310" w:type="dxa"/>
                  <w:tcBorders>
                    <w:top w:val="single" w:color="auto" w:sz="12" w:space="0"/>
                  </w:tcBorders>
                  <w:noWrap w:val="0"/>
                  <w:vAlign w:val="center"/>
                </w:tcPr>
                <w:p w14:paraId="61D199A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常州市</w:t>
                  </w:r>
                  <w:r>
                    <w:rPr>
                      <w:rFonts w:hint="eastAsia" w:ascii="Times New Roman" w:hAnsi="Times New Roman" w:eastAsia="宋体" w:cs="Times New Roman"/>
                      <w:color w:val="auto"/>
                      <w:sz w:val="21"/>
                      <w:szCs w:val="21"/>
                      <w:highlight w:val="none"/>
                      <w:lang w:eastAsia="zh-CN"/>
                    </w:rPr>
                    <w:t>金坛区晨风路1136号（金坛控股中南高科创新园）14幢</w:t>
                  </w:r>
                  <w:r>
                    <w:rPr>
                      <w:rFonts w:hint="default" w:ascii="Times New Roman" w:hAnsi="Times New Roman" w:eastAsia="宋体" w:cs="Times New Roman"/>
                      <w:color w:val="auto"/>
                      <w:sz w:val="21"/>
                      <w:szCs w:val="21"/>
                      <w:highlight w:val="none"/>
                    </w:rPr>
                    <w:t>，在金坛经济开发区内规划范围内。</w:t>
                  </w:r>
                </w:p>
              </w:tc>
              <w:tc>
                <w:tcPr>
                  <w:tcW w:w="502" w:type="dxa"/>
                  <w:tcBorders>
                    <w:top w:val="single" w:color="auto" w:sz="12" w:space="0"/>
                  </w:tcBorders>
                  <w:noWrap w:val="0"/>
                  <w:vAlign w:val="center"/>
                </w:tcPr>
                <w:p w14:paraId="31719DF0">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38ED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19C9AB70">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产业定位：纺织服装、机械电子、高端装备制造、盐化工、新能源、新材料、节能环保、新医药、研发服务。</w:t>
                  </w:r>
                </w:p>
              </w:tc>
              <w:tc>
                <w:tcPr>
                  <w:tcW w:w="2310" w:type="dxa"/>
                  <w:noWrap w:val="0"/>
                  <w:vAlign w:val="center"/>
                </w:tcPr>
                <w:p w14:paraId="21C6253C">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本项目生产光伏组件及电力设备，主要用作各类太阳能光伏设备及电力设备的外壳</w:t>
                  </w:r>
                  <w:r>
                    <w:rPr>
                      <w:rFonts w:hint="default" w:ascii="Times New Roman" w:hAnsi="Times New Roman" w:eastAsia="宋体" w:cs="Times New Roman"/>
                      <w:color w:val="auto"/>
                      <w:sz w:val="21"/>
                      <w:szCs w:val="21"/>
                      <w:highlight w:val="none"/>
                      <w:lang w:val="en-US" w:eastAsia="zh-CN"/>
                    </w:rPr>
                    <w:t>，属于</w:t>
                  </w:r>
                  <w:r>
                    <w:rPr>
                      <w:rFonts w:hint="eastAsia" w:ascii="Times New Roman" w:hAnsi="Times New Roman" w:eastAsia="宋体" w:cs="Times New Roman"/>
                      <w:color w:val="auto"/>
                      <w:sz w:val="21"/>
                      <w:szCs w:val="21"/>
                      <w:highlight w:val="none"/>
                      <w:lang w:val="en-US" w:eastAsia="zh-CN"/>
                    </w:rPr>
                    <w:t>新能源配套产业</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符合开发区</w:t>
                  </w:r>
                  <w:r>
                    <w:rPr>
                      <w:rFonts w:hint="eastAsia" w:ascii="Times New Roman" w:hAnsi="Times New Roman" w:eastAsia="宋体" w:cs="Times New Roman"/>
                      <w:color w:val="auto"/>
                      <w:sz w:val="21"/>
                      <w:szCs w:val="21"/>
                      <w:highlight w:val="none"/>
                      <w:lang w:val="en-US" w:eastAsia="zh-CN"/>
                    </w:rPr>
                    <w:t>新能源</w:t>
                  </w:r>
                  <w:r>
                    <w:rPr>
                      <w:rFonts w:hint="default" w:ascii="Times New Roman" w:hAnsi="Times New Roman" w:eastAsia="宋体" w:cs="Times New Roman"/>
                      <w:color w:val="auto"/>
                      <w:sz w:val="21"/>
                      <w:szCs w:val="21"/>
                      <w:highlight w:val="none"/>
                      <w:lang w:val="en-US" w:eastAsia="zh-CN"/>
                    </w:rPr>
                    <w:t>产业</w:t>
                  </w:r>
                  <w:r>
                    <w:rPr>
                      <w:rFonts w:hint="default" w:ascii="Times New Roman" w:hAnsi="Times New Roman" w:eastAsia="宋体" w:cs="Times New Roman"/>
                      <w:color w:val="auto"/>
                      <w:sz w:val="21"/>
                      <w:szCs w:val="21"/>
                      <w:highlight w:val="none"/>
                    </w:rPr>
                    <w:t>定位。</w:t>
                  </w:r>
                </w:p>
              </w:tc>
              <w:tc>
                <w:tcPr>
                  <w:tcW w:w="502" w:type="dxa"/>
                  <w:noWrap w:val="0"/>
                  <w:vAlign w:val="center"/>
                </w:tcPr>
                <w:p w14:paraId="7B1133F9">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28A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71E4C513">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环保基础设施规划：采用雨污分流排水体制，污水经收集后排入金坛第二污水厂集中处理，该污水处理厂现状规模4万方每天，规划规模16万方每天，尾水达到《城镇污水处理厂污染物排放标准》（GB 18918-2002）中表1一级A标准及《太湖地区城镇污水处理厂及重点工业行业主要水污染物排放限值》（DB 32/1072-2007）后排入尧塘河；开发区危险废物委托有资质单位安全处置。</w:t>
                  </w:r>
                </w:p>
              </w:tc>
              <w:tc>
                <w:tcPr>
                  <w:tcW w:w="2310" w:type="dxa"/>
                  <w:noWrap w:val="0"/>
                  <w:vAlign w:val="center"/>
                </w:tcPr>
                <w:p w14:paraId="1FD19416">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本项目厂区实施雨污分流制，雨水排入市政雨水管网，生活污水经市政管网排入金坛第二污水处理厂，</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项目各项危险废物均委托有资质单位进行处置，不产生二次污染。</w:t>
                  </w:r>
                </w:p>
              </w:tc>
              <w:tc>
                <w:tcPr>
                  <w:tcW w:w="502" w:type="dxa"/>
                  <w:noWrap w:val="0"/>
                  <w:vAlign w:val="center"/>
                </w:tcPr>
                <w:p w14:paraId="191F2D7E">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F7E5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456A74D9">
                  <w:pPr>
                    <w:pStyle w:val="7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发区应引进科技含量高、产品附加值高、无污染或者污染程度低的项目，其生产工艺、装备水平、污染治理技术，以及单位产品能耗、物耗、污染物排放和资源利用率均需达到同行业国际先进水平，至少是国内先进水平。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排放量较大的纯印染和纯染整类企业和项目。在园区大气中HCl稳定达标前禁止引进排放大气污染物HCl的企业和项目。推进符合园区产业定位和布局的现有企业提升技术水平和升级改造，不符合产业定位和布局的企业禁止新建、改扩建，并逐步淘汰，其中，九华能源、振兴纺机等2家涉铅企业应于2015年底关停。</w:t>
                  </w:r>
                </w:p>
              </w:tc>
              <w:tc>
                <w:tcPr>
                  <w:tcW w:w="2310" w:type="dxa"/>
                  <w:noWrap w:val="0"/>
                  <w:vAlign w:val="center"/>
                </w:tcPr>
                <w:p w14:paraId="48C53F8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本项目国民经济行业类别属于“C3823配电开关控制设备制造、C3825光伏设备及元器件制造”</w:t>
                  </w:r>
                  <w:r>
                    <w:rPr>
                      <w:rFonts w:hint="eastAsia" w:ascii="宋体" w:hAnsi="宋体" w:eastAsia="宋体" w:cs="宋体"/>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本项目污染程度低，</w:t>
                  </w:r>
                  <w:r>
                    <w:rPr>
                      <w:rFonts w:hint="eastAsia"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电镀、表面处理</w:t>
                  </w:r>
                  <w:r>
                    <w:rPr>
                      <w:rFonts w:hint="eastAsia" w:ascii="Times New Roman" w:hAnsi="Times New Roman" w:eastAsia="宋体" w:cs="Times New Roman"/>
                      <w:color w:val="auto"/>
                      <w:sz w:val="21"/>
                      <w:szCs w:val="21"/>
                      <w:highlight w:val="none"/>
                      <w:lang w:val="en-US" w:eastAsia="zh-CN"/>
                    </w:rPr>
                    <w:t>类项目</w:t>
                  </w:r>
                  <w:r>
                    <w:rPr>
                      <w:rFonts w:hint="default" w:ascii="Times New Roman" w:hAnsi="Times New Roman" w:eastAsia="宋体" w:cs="Times New Roman"/>
                      <w:color w:val="auto"/>
                      <w:sz w:val="21"/>
                      <w:szCs w:val="21"/>
                      <w:highlight w:val="none"/>
                    </w:rPr>
                    <w:t>，非太阳能电池切片、钢铁等传统型金属材料、水泥等传统型非金属材料的生产项目，不属于纯印染和纯染整类企业和项目。本项目</w:t>
                  </w:r>
                  <w:r>
                    <w:rPr>
                      <w:rFonts w:hint="default" w:ascii="Times New Roman" w:hAnsi="Times New Roman" w:eastAsia="宋体" w:cs="Times New Roman"/>
                      <w:color w:val="auto"/>
                      <w:sz w:val="21"/>
                      <w:szCs w:val="21"/>
                      <w:highlight w:val="none"/>
                      <w:lang w:val="en-US" w:eastAsia="zh-CN"/>
                    </w:rPr>
                    <w:t>不排放</w:t>
                  </w:r>
                  <w:r>
                    <w:rPr>
                      <w:rFonts w:hint="default" w:ascii="Times New Roman" w:hAnsi="Times New Roman" w:eastAsia="宋体" w:cs="Times New Roman"/>
                      <w:color w:val="auto"/>
                      <w:sz w:val="21"/>
                      <w:szCs w:val="21"/>
                      <w:highlight w:val="none"/>
                    </w:rPr>
                    <w:t>HCl</w:t>
                  </w:r>
                  <w:r>
                    <w:rPr>
                      <w:rFonts w:hint="default" w:ascii="Times New Roman" w:hAnsi="Times New Roman" w:eastAsia="宋体" w:cs="Times New Roman"/>
                      <w:color w:val="auto"/>
                      <w:sz w:val="21"/>
                      <w:szCs w:val="21"/>
                      <w:highlight w:val="none"/>
                      <w:lang w:val="en-US" w:eastAsia="zh-CN"/>
                    </w:rPr>
                    <w:t>排放，符合园区要求</w:t>
                  </w:r>
                  <w:r>
                    <w:rPr>
                      <w:rFonts w:hint="default" w:ascii="Times New Roman" w:hAnsi="Times New Roman" w:eastAsia="宋体" w:cs="Times New Roman"/>
                      <w:color w:val="auto"/>
                      <w:sz w:val="21"/>
                      <w:szCs w:val="21"/>
                      <w:highlight w:val="none"/>
                    </w:rPr>
                    <w:t>。</w:t>
                  </w:r>
                </w:p>
              </w:tc>
              <w:tc>
                <w:tcPr>
                  <w:tcW w:w="502" w:type="dxa"/>
                  <w:noWrap w:val="0"/>
                  <w:vAlign w:val="center"/>
                </w:tcPr>
                <w:p w14:paraId="57E14C1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5703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7A16977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快基础设施建设。完善区内供热管网，2018年底前实现区内集中供热或使用清洁能源；加快现有燃煤设施拆除工作，改用集中供热或使用清洁能源；新入区企业严禁自建燃煤设施。园区实施雨污分流、清污分流和污水集中处理，建设完善区内污水管网，封堵现有企业自有排口，2015年底前完成所有企业废水接管，2018年底前完成所有生活污水接管；加快实施中水回用工程，污水处理厂中水回用率达30%。加强固体废物的集中处理处置，危险废物交由有资质的单位处理。</w:t>
                  </w:r>
                </w:p>
              </w:tc>
              <w:tc>
                <w:tcPr>
                  <w:tcW w:w="2310" w:type="dxa"/>
                  <w:noWrap w:val="0"/>
                  <w:vAlign w:val="center"/>
                </w:tcPr>
                <w:p w14:paraId="48926055">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本项目厂区实施雨污分流制，雨水排入市政雨水管网，生活污水经市政管网排入金坛第二污水处理厂，</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项目各项危险废物均委托有资质单位进行处置，不产生二次污染。</w:t>
                  </w:r>
                </w:p>
              </w:tc>
              <w:tc>
                <w:tcPr>
                  <w:tcW w:w="502" w:type="dxa"/>
                  <w:noWrap w:val="0"/>
                  <w:vAlign w:val="center"/>
                </w:tcPr>
                <w:p w14:paraId="376A49E3">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BF25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686C23AA">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加强区域大气环境保护，推进区内加怡热电烟气脱硝工程，严格落实HCl等大气特征污染物防治措施，强化恶臭、VOCs等特征污染物的控制与治理，严格控制SO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、NOx、VOCs等大气污染物排放总量，确保重点区域大气环境质量如期改善与稳定达标。</w:t>
                  </w:r>
                </w:p>
              </w:tc>
              <w:tc>
                <w:tcPr>
                  <w:tcW w:w="2310" w:type="dxa"/>
                  <w:noWrap w:val="0"/>
                  <w:vAlign w:val="center"/>
                </w:tcPr>
                <w:p w14:paraId="13367B3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本项目</w:t>
                  </w:r>
                  <w:r>
                    <w:rPr>
                      <w:rFonts w:hint="default" w:ascii="Times New Roman" w:hAnsi="Times New Roman" w:eastAsia="宋体" w:cs="Times New Roman"/>
                      <w:color w:val="auto"/>
                      <w:kern w:val="0"/>
                      <w:sz w:val="21"/>
                      <w:szCs w:val="21"/>
                      <w:highlight w:val="none"/>
                      <w:lang w:val="en-US" w:eastAsia="zh-CN"/>
                    </w:rPr>
                    <w:t>不排放</w:t>
                  </w:r>
                  <w:r>
                    <w:rPr>
                      <w:rFonts w:hint="default" w:ascii="Times New Roman" w:hAnsi="Times New Roman" w:eastAsia="宋体" w:cs="Times New Roman"/>
                      <w:color w:val="auto"/>
                      <w:kern w:val="0"/>
                      <w:sz w:val="21"/>
                      <w:szCs w:val="21"/>
                      <w:highlight w:val="none"/>
                    </w:rPr>
                    <w:t>HCl，产生的</w:t>
                  </w:r>
                  <w:r>
                    <w:rPr>
                      <w:rFonts w:hint="default" w:ascii="Times New Roman" w:hAnsi="Times New Roman" w:eastAsia="宋体" w:cs="Times New Roman"/>
                      <w:color w:val="auto"/>
                      <w:kern w:val="0"/>
                      <w:sz w:val="21"/>
                      <w:szCs w:val="21"/>
                      <w:highlight w:val="none"/>
                      <w:lang w:val="en-US" w:eastAsia="zh-CN"/>
                    </w:rPr>
                    <w:t>VOCs</w:t>
                  </w:r>
                  <w:r>
                    <w:rPr>
                      <w:rFonts w:hint="default" w:ascii="Times New Roman" w:hAnsi="Times New Roman" w:eastAsia="宋体" w:cs="Times New Roman"/>
                      <w:color w:val="auto"/>
                      <w:kern w:val="0"/>
                      <w:sz w:val="21"/>
                      <w:szCs w:val="21"/>
                      <w:highlight w:val="none"/>
                    </w:rPr>
                    <w:t>经废气处理设施处理后达标排放，</w:t>
                  </w:r>
                  <w:r>
                    <w:rPr>
                      <w:rFonts w:hint="default" w:ascii="Times New Roman" w:hAnsi="Times New Roman" w:eastAsia="宋体" w:cs="Times New Roman"/>
                      <w:color w:val="auto"/>
                      <w:sz w:val="21"/>
                      <w:szCs w:val="21"/>
                      <w:highlight w:val="none"/>
                    </w:rPr>
                    <w:t>NOx</w:t>
                  </w:r>
                  <w:r>
                    <w:rPr>
                      <w:rFonts w:hint="eastAsia" w:ascii="Times New Roman" w:hAnsi="Times New Roman" w:eastAsia="宋体" w:cs="Times New Roman"/>
                      <w:color w:val="auto"/>
                      <w:sz w:val="21"/>
                      <w:szCs w:val="21"/>
                      <w:highlight w:val="none"/>
                      <w:lang w:val="en-US" w:eastAsia="zh-CN"/>
                    </w:rPr>
                    <w:t>经低氮燃烧器处理后达标排放，SO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排放量较少，</w:t>
                  </w:r>
                  <w:r>
                    <w:rPr>
                      <w:rFonts w:hint="default" w:ascii="Times New Roman" w:hAnsi="Times New Roman" w:eastAsia="宋体" w:cs="Times New Roman"/>
                      <w:color w:val="auto"/>
                      <w:kern w:val="0"/>
                      <w:sz w:val="21"/>
                      <w:szCs w:val="21"/>
                      <w:highlight w:val="none"/>
                    </w:rPr>
                    <w:t>对周围环境影响较小</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符合园区要求。</w:t>
                  </w:r>
                </w:p>
              </w:tc>
              <w:tc>
                <w:tcPr>
                  <w:tcW w:w="502" w:type="dxa"/>
                  <w:noWrap w:val="0"/>
                  <w:vAlign w:val="center"/>
                </w:tcPr>
                <w:p w14:paraId="7F6D7AA1">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01CA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51D4DBDE">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江苏省生态红线区域保护规划》和《江苏省太湖水污染防治条例》要求，加强太湖流域水环境保护。以丹金溧漕河、尧塘河为重点，加大区域河流综合整治力度。严格控制园区人口规模和用水定额，减少工业企业用水量和污水排放量，严格控制COD、氨氮、总磷等污染物排放总量，加快实现水环境功能区达标。</w:t>
                  </w:r>
                </w:p>
              </w:tc>
              <w:tc>
                <w:tcPr>
                  <w:tcW w:w="2310" w:type="dxa"/>
                  <w:noWrap w:val="0"/>
                  <w:vAlign w:val="center"/>
                </w:tcPr>
                <w:p w14:paraId="4F61E280">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根据《江苏省生态空间管控区域规划》和《江苏省国家级生态保护红线规划》，本项目均不在上述红线中。</w:t>
                  </w:r>
                </w:p>
              </w:tc>
              <w:tc>
                <w:tcPr>
                  <w:tcW w:w="502" w:type="dxa"/>
                  <w:noWrap w:val="0"/>
                  <w:vAlign w:val="center"/>
                </w:tcPr>
                <w:p w14:paraId="1402B829">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7A7B9C26">
            <w:pPr>
              <w:pStyle w:val="74"/>
              <w:spacing w:line="500" w:lineRule="exact"/>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 xml:space="preserve">  项目与常州市金坛区人民政府关于同意江苏金坛经济开发区控制性详细规划（修改）的批复相符性分析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32"/>
              <w:gridCol w:w="2439"/>
              <w:gridCol w:w="530"/>
            </w:tblGrid>
            <w:tr w14:paraId="4ACBC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tcBorders>
                    <w:bottom w:val="single" w:color="auto" w:sz="12" w:space="0"/>
                  </w:tcBorders>
                  <w:noWrap w:val="0"/>
                  <w:vAlign w:val="center"/>
                </w:tcPr>
                <w:p w14:paraId="66079919">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金坛经济开发区规划环评审查意见内容</w:t>
                  </w:r>
                </w:p>
              </w:tc>
              <w:tc>
                <w:tcPr>
                  <w:tcW w:w="2310" w:type="dxa"/>
                  <w:tcBorders>
                    <w:bottom w:val="single" w:color="auto" w:sz="12" w:space="0"/>
                  </w:tcBorders>
                  <w:noWrap w:val="0"/>
                  <w:vAlign w:val="center"/>
                </w:tcPr>
                <w:p w14:paraId="7E776CBA">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本项目建设区情况</w:t>
                  </w:r>
                </w:p>
              </w:tc>
              <w:tc>
                <w:tcPr>
                  <w:tcW w:w="502" w:type="dxa"/>
                  <w:tcBorders>
                    <w:bottom w:val="single" w:color="auto" w:sz="12" w:space="0"/>
                  </w:tcBorders>
                  <w:noWrap w:val="0"/>
                  <w:vAlign w:val="center"/>
                </w:tcPr>
                <w:p w14:paraId="38E1B76C">
                  <w:pPr>
                    <w:pStyle w:val="7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74B00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tcBorders>
                    <w:top w:val="single" w:color="auto" w:sz="12" w:space="0"/>
                  </w:tcBorders>
                  <w:noWrap w:val="0"/>
                  <w:vAlign w:val="center"/>
                </w:tcPr>
                <w:p w14:paraId="5B7F7080">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原则同意《江苏金坛经济开发区控制性详细规划(修改)》。</w:t>
                  </w:r>
                </w:p>
              </w:tc>
              <w:tc>
                <w:tcPr>
                  <w:tcW w:w="2310" w:type="dxa"/>
                  <w:tcBorders>
                    <w:top w:val="single" w:color="auto" w:sz="12" w:space="0"/>
                  </w:tcBorders>
                  <w:noWrap w:val="0"/>
                  <w:vAlign w:val="center"/>
                </w:tcPr>
                <w:p w14:paraId="7EDC36ED">
                  <w:pPr>
                    <w:pStyle w:val="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w:t>
                  </w:r>
                  <w:r>
                    <w:rPr>
                      <w:rFonts w:hint="default" w:ascii="Times New Roman" w:hAnsi="Times New Roman" w:eastAsia="宋体" w:cs="Times New Roman"/>
                      <w:color w:val="auto"/>
                      <w:sz w:val="21"/>
                      <w:szCs w:val="21"/>
                      <w:highlight w:val="none"/>
                    </w:rPr>
                    <w:t>《江苏金坛经济开发区控制性详细规划(修改)》</w:t>
                  </w:r>
                  <w:r>
                    <w:rPr>
                      <w:rFonts w:hint="default" w:ascii="Times New Roman" w:hAnsi="Times New Roman" w:eastAsia="宋体" w:cs="Times New Roman"/>
                      <w:color w:val="auto"/>
                      <w:sz w:val="21"/>
                      <w:szCs w:val="21"/>
                      <w:highlight w:val="none"/>
                      <w:lang w:val="en-US" w:eastAsia="zh-CN"/>
                    </w:rPr>
                    <w:t>相符</w:t>
                  </w:r>
                </w:p>
              </w:tc>
              <w:tc>
                <w:tcPr>
                  <w:tcW w:w="502" w:type="dxa"/>
                  <w:tcBorders>
                    <w:top w:val="single" w:color="auto" w:sz="12" w:space="0"/>
                  </w:tcBorders>
                  <w:noWrap w:val="0"/>
                  <w:vAlign w:val="center"/>
                </w:tcPr>
                <w:p w14:paraId="63ABF2A5">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6200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1CD6FEE4">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规划范围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北至良常路，西至金湖路(S240)、南金坛大道，东至银湖路( G233 )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涉及 DC01、DC02、DCO3、DC06、DC07、DC08共6个编制单元以及北至通闸路，东至大荡、南至金城大道，西至金湖路(S240)，涉及0603 共1个基本控制单元。</w:t>
                  </w:r>
                </w:p>
              </w:tc>
              <w:tc>
                <w:tcPr>
                  <w:tcW w:w="2310" w:type="dxa"/>
                  <w:noWrap w:val="0"/>
                  <w:vAlign w:val="center"/>
                </w:tcPr>
                <w:p w14:paraId="028FA447">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常州市</w:t>
                  </w:r>
                  <w:r>
                    <w:rPr>
                      <w:rFonts w:hint="eastAsia" w:ascii="Times New Roman" w:hAnsi="Times New Roman" w:eastAsia="宋体" w:cs="Times New Roman"/>
                      <w:color w:val="auto"/>
                      <w:sz w:val="21"/>
                      <w:szCs w:val="21"/>
                      <w:highlight w:val="none"/>
                      <w:lang w:eastAsia="zh-CN"/>
                    </w:rPr>
                    <w:t>金坛区晨风路1136号（金坛控股中南高科创新园）14幢</w:t>
                  </w:r>
                  <w:r>
                    <w:rPr>
                      <w:rFonts w:hint="default" w:ascii="Times New Roman" w:hAnsi="Times New Roman" w:eastAsia="宋体" w:cs="Times New Roman"/>
                      <w:color w:val="auto"/>
                      <w:sz w:val="21"/>
                      <w:szCs w:val="21"/>
                      <w:highlight w:val="none"/>
                    </w:rPr>
                    <w:t>，在金坛经济开发区内规划范围内。</w:t>
                  </w:r>
                </w:p>
              </w:tc>
              <w:tc>
                <w:tcPr>
                  <w:tcW w:w="502" w:type="dxa"/>
                  <w:noWrap w:val="0"/>
                  <w:vAlign w:val="center"/>
                </w:tcPr>
                <w:p w14:paraId="4BD66208">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9512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7888B03A">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《江苏金坛经济开发区控制性详细规划(修改)》是金坛经济开发区规划管理和建设、资源利用和生态保护的重要依据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你园区要坚持规划的权威性和指导性，注重提高规划管理的科学化水平，加强对土地空间资源开发与利用的刚性约束，有序推动金坛经济开发区开发建设。</w:t>
                  </w:r>
                </w:p>
              </w:tc>
              <w:tc>
                <w:tcPr>
                  <w:tcW w:w="2310" w:type="dxa"/>
                  <w:noWrap w:val="0"/>
                  <w:vAlign w:val="center"/>
                </w:tcPr>
                <w:p w14:paraId="5DD5E485">
                  <w:pPr>
                    <w:pStyle w:val="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rPr>
                    <w:t>金坛经济开发区规划管理和建设、资源利用和生态保护</w:t>
                  </w:r>
                  <w:r>
                    <w:rPr>
                      <w:rFonts w:hint="default" w:ascii="Times New Roman" w:hAnsi="Times New Roman" w:eastAsia="宋体" w:cs="Times New Roman"/>
                      <w:color w:val="auto"/>
                      <w:sz w:val="21"/>
                      <w:szCs w:val="21"/>
                      <w:highlight w:val="none"/>
                      <w:lang w:val="en-US" w:eastAsia="zh-CN"/>
                    </w:rPr>
                    <w:t>要求</w:t>
                  </w:r>
                </w:p>
              </w:tc>
              <w:tc>
                <w:tcPr>
                  <w:tcW w:w="502" w:type="dxa"/>
                  <w:noWrap w:val="0"/>
                  <w:vAlign w:val="center"/>
                </w:tcPr>
                <w:p w14:paraId="3EB1248C">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5D8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46" w:type="dxa"/>
                  <w:noWrap w:val="0"/>
                  <w:vAlign w:val="center"/>
                </w:tcPr>
                <w:p w14:paraId="7061B31D">
                  <w:pPr>
                    <w:pStyle w:val="7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你园区要会同相关部门加强对《江苏金坛经济开发区控制性详细规划(修改)》的管理和宣传，保障各项规划要求落实到位。在过程中确需要调整的，按规定程序报批。</w:t>
                  </w:r>
                </w:p>
              </w:tc>
              <w:tc>
                <w:tcPr>
                  <w:tcW w:w="2310" w:type="dxa"/>
                  <w:noWrap w:val="0"/>
                  <w:vAlign w:val="center"/>
                </w:tcPr>
                <w:p w14:paraId="0C5D8C5D">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rPr>
                    <w:t>《江苏金坛经济开发区控制性详细规划(修改)》的管理和宣传，</w:t>
                  </w:r>
                  <w:r>
                    <w:rPr>
                      <w:rFonts w:hint="default"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各项规划要求落实到位。</w:t>
                  </w:r>
                </w:p>
              </w:tc>
              <w:tc>
                <w:tcPr>
                  <w:tcW w:w="502" w:type="dxa"/>
                  <w:noWrap w:val="0"/>
                  <w:vAlign w:val="center"/>
                </w:tcPr>
                <w:p w14:paraId="319D1531">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74E9CEE1">
            <w:pPr>
              <w:widowControl/>
              <w:numPr>
                <w:ilvl w:val="0"/>
                <w:numId w:val="2"/>
              </w:numPr>
              <w:snapToGrid w:val="0"/>
              <w:spacing w:line="500" w:lineRule="exact"/>
              <w:ind w:firstLine="48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规划环境影响评价相符性分析</w:t>
            </w:r>
          </w:p>
          <w:p w14:paraId="435F6A15">
            <w:pPr>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项目与《金坛经济开发区发展规划环境影响报告书》及《关于金坛经济开发区发展规划环境影响评价审查意见》相符性分析见下表。</w:t>
            </w:r>
          </w:p>
          <w:p w14:paraId="4951D539">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项目与金坛经济开发区发展规划环境影响报告书及审查意见相符性分析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84"/>
              <w:gridCol w:w="3616"/>
              <w:gridCol w:w="3336"/>
              <w:gridCol w:w="865"/>
            </w:tblGrid>
            <w:tr w14:paraId="6F9A7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tcBorders>
                    <w:bottom w:val="single" w:color="auto" w:sz="12" w:space="0"/>
                  </w:tcBorders>
                  <w:noWrap w:val="0"/>
                  <w:vAlign w:val="center"/>
                </w:tcPr>
                <w:p w14:paraId="22C53555">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391" w:type="dxa"/>
                  <w:tcBorders>
                    <w:bottom w:val="single" w:color="auto" w:sz="12" w:space="0"/>
                  </w:tcBorders>
                  <w:noWrap w:val="0"/>
                  <w:vAlign w:val="center"/>
                </w:tcPr>
                <w:p w14:paraId="03CB5A71">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3129" w:type="dxa"/>
                  <w:tcBorders>
                    <w:bottom w:val="single" w:color="auto" w:sz="12" w:space="0"/>
                  </w:tcBorders>
                  <w:noWrap w:val="0"/>
                  <w:vAlign w:val="center"/>
                </w:tcPr>
                <w:p w14:paraId="6E5FFC9D">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811" w:type="dxa"/>
                  <w:tcBorders>
                    <w:bottom w:val="single" w:color="auto" w:sz="12" w:space="0"/>
                  </w:tcBorders>
                  <w:noWrap w:val="0"/>
                  <w:vAlign w:val="center"/>
                </w:tcPr>
                <w:p w14:paraId="79697677">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3EEC6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tcBorders>
                    <w:top w:val="single" w:color="auto" w:sz="12" w:space="0"/>
                  </w:tcBorders>
                  <w:noWrap w:val="0"/>
                  <w:vAlign w:val="center"/>
                </w:tcPr>
                <w:p w14:paraId="448EFD1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391" w:type="dxa"/>
                  <w:tcBorders>
                    <w:top w:val="single" w:color="auto" w:sz="12" w:space="0"/>
                  </w:tcBorders>
                  <w:noWrap w:val="0"/>
                  <w:vAlign w:val="center"/>
                </w:tcPr>
                <w:p w14:paraId="6234C3D5">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开发区应引进科技含量高、产品附加值高、无污染或污染程度低的项目。</w:t>
                  </w:r>
                </w:p>
              </w:tc>
              <w:tc>
                <w:tcPr>
                  <w:tcW w:w="3129" w:type="dxa"/>
                  <w:tcBorders>
                    <w:top w:val="single" w:color="auto" w:sz="12" w:space="0"/>
                  </w:tcBorders>
                  <w:noWrap w:val="0"/>
                  <w:vAlign w:val="center"/>
                </w:tcPr>
                <w:p w14:paraId="6C2018C6">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本项目属于C3823配电开关控制设备制造、C3825光伏设备及元器件制造，工艺污染程度低。</w:t>
                  </w:r>
                </w:p>
              </w:tc>
              <w:tc>
                <w:tcPr>
                  <w:tcW w:w="811" w:type="dxa"/>
                  <w:tcBorders>
                    <w:top w:val="single" w:color="auto" w:sz="12" w:space="0"/>
                  </w:tcBorders>
                  <w:noWrap w:val="0"/>
                  <w:vAlign w:val="center"/>
                </w:tcPr>
                <w:p w14:paraId="72596A19">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A70F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2A6DCB29">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391" w:type="dxa"/>
                  <w:noWrap w:val="0"/>
                  <w:vAlign w:val="center"/>
                </w:tcPr>
                <w:p w14:paraId="59DA39D0">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在园区大气中HCl稳定达标前禁止引进排放大气污染物HCl的企业和项目。</w:t>
                  </w:r>
                </w:p>
              </w:tc>
              <w:tc>
                <w:tcPr>
                  <w:tcW w:w="3129" w:type="dxa"/>
                  <w:noWrap w:val="0"/>
                  <w:vAlign w:val="center"/>
                </w:tcPr>
                <w:p w14:paraId="6AC59B93">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项目不排放HCl废气。</w:t>
                  </w:r>
                </w:p>
              </w:tc>
              <w:tc>
                <w:tcPr>
                  <w:tcW w:w="811" w:type="dxa"/>
                  <w:noWrap w:val="0"/>
                  <w:vAlign w:val="center"/>
                </w:tcPr>
                <w:p w14:paraId="27A3999A">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04EF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701E7D2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391" w:type="dxa"/>
                  <w:noWrap w:val="0"/>
                  <w:vAlign w:val="center"/>
                </w:tcPr>
                <w:p w14:paraId="79B53D6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与钱资荡生态红线区边界相邻2000米内用地布置为污染程度低的工业项目。</w:t>
                  </w:r>
                </w:p>
              </w:tc>
              <w:tc>
                <w:tcPr>
                  <w:tcW w:w="3129" w:type="dxa"/>
                  <w:noWrap w:val="0"/>
                  <w:vAlign w:val="center"/>
                </w:tcPr>
                <w:p w14:paraId="1B934F0E">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项目距钱资荡生态红线区最近距离为</w:t>
                  </w:r>
                  <w:r>
                    <w:rPr>
                      <w:rFonts w:hint="eastAsia" w:ascii="Times New Roman" w:hAnsi="Times New Roman" w:eastAsia="宋体" w:cs="Times New Roman"/>
                      <w:color w:val="auto"/>
                      <w:sz w:val="21"/>
                      <w:szCs w:val="21"/>
                      <w:highlight w:val="none"/>
                      <w:lang w:val="en-US" w:eastAsia="zh-CN"/>
                    </w:rPr>
                    <w:t>6.9</w:t>
                  </w:r>
                  <w:r>
                    <w:rPr>
                      <w:rFonts w:hint="default" w:ascii="Times New Roman" w:hAnsi="Times New Roman" w:eastAsia="宋体" w:cs="Times New Roman"/>
                      <w:color w:val="auto"/>
                      <w:sz w:val="21"/>
                      <w:szCs w:val="21"/>
                      <w:highlight w:val="none"/>
                    </w:rPr>
                    <w:t>km；项目排放污染物均得到有效处置，污染物排放总量降为最低，满足环保主管部门指标的要求。项目不涉及重金属排放。污水达标排入市政污水处理厂。项目属于“污染程度低的工业项目”。</w:t>
                  </w:r>
                </w:p>
              </w:tc>
              <w:tc>
                <w:tcPr>
                  <w:tcW w:w="811" w:type="dxa"/>
                  <w:noWrap w:val="0"/>
                  <w:vAlign w:val="center"/>
                </w:tcPr>
                <w:p w14:paraId="600B8F03">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BC6C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177DC45D">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391" w:type="dxa"/>
                  <w:noWrap w:val="0"/>
                  <w:vAlign w:val="center"/>
                </w:tcPr>
                <w:p w14:paraId="14950087">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加快环保基础设施建设。园区实施雨污分流、清污分流和污水集中处理，建设完善区内污水管网。</w:t>
                  </w:r>
                </w:p>
              </w:tc>
              <w:tc>
                <w:tcPr>
                  <w:tcW w:w="3129" w:type="dxa"/>
                  <w:noWrap w:val="0"/>
                  <w:vAlign w:val="center"/>
                </w:tcPr>
                <w:p w14:paraId="6691774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项目所在地金坛经济开发区已实施雨污分流、清污分流，污水经污水管网接管至金坛区第二污水处理厂集中处理。</w:t>
                  </w:r>
                </w:p>
              </w:tc>
              <w:tc>
                <w:tcPr>
                  <w:tcW w:w="811" w:type="dxa"/>
                  <w:noWrap w:val="0"/>
                  <w:vAlign w:val="center"/>
                </w:tcPr>
                <w:p w14:paraId="5CB7921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3087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71D7F0D7">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391" w:type="dxa"/>
                  <w:noWrap w:val="0"/>
                  <w:vAlign w:val="center"/>
                </w:tcPr>
                <w:p w14:paraId="5219DAFE">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加强固体废物的集中处理处置，危险废物交由有资质的单位处置。</w:t>
                  </w:r>
                </w:p>
              </w:tc>
              <w:tc>
                <w:tcPr>
                  <w:tcW w:w="3129" w:type="dxa"/>
                  <w:noWrap w:val="0"/>
                  <w:vAlign w:val="center"/>
                </w:tcPr>
                <w:p w14:paraId="10CDE50E">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项目建设</w:t>
                  </w:r>
                  <w:r>
                    <w:rPr>
                      <w:rFonts w:hint="default" w:ascii="Times New Roman" w:hAnsi="Times New Roman" w:eastAsia="宋体" w:cs="Times New Roman"/>
                      <w:color w:val="auto"/>
                      <w:sz w:val="21"/>
                      <w:szCs w:val="21"/>
                      <w:highlight w:val="none"/>
                      <w:lang w:eastAsia="zh-CN"/>
                    </w:rPr>
                    <w:t>一般固废堆场</w:t>
                  </w:r>
                  <w:r>
                    <w:rPr>
                      <w:rFonts w:hint="default" w:ascii="Times New Roman" w:hAnsi="Times New Roman" w:eastAsia="宋体" w:cs="Times New Roman"/>
                      <w:color w:val="auto"/>
                      <w:sz w:val="21"/>
                      <w:szCs w:val="21"/>
                      <w:highlight w:val="none"/>
                    </w:rPr>
                    <w:t>及危险废物仓库收集、贮存固体废物，危险废物交由有资质单位处置。</w:t>
                  </w:r>
                </w:p>
              </w:tc>
              <w:tc>
                <w:tcPr>
                  <w:tcW w:w="811" w:type="dxa"/>
                  <w:noWrap w:val="0"/>
                  <w:vAlign w:val="center"/>
                </w:tcPr>
                <w:p w14:paraId="5D1A4A4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9C88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3016F727">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391" w:type="dxa"/>
                  <w:noWrap w:val="0"/>
                  <w:vAlign w:val="center"/>
                </w:tcPr>
                <w:p w14:paraId="067BEBD4">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加强区域大气环境保护，严格落实HCl等大气特征污染物防治措施，强化恶臭、VOCs等特征污染物的控制与治理，严格控制SO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、NOx、VOCs等大气污染物排放总量。</w:t>
                  </w:r>
                </w:p>
              </w:tc>
              <w:tc>
                <w:tcPr>
                  <w:tcW w:w="3129" w:type="dxa"/>
                  <w:noWrap w:val="0"/>
                  <w:vAlign w:val="center"/>
                </w:tcPr>
                <w:p w14:paraId="076EFB32">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排放HCl，本项目打磨废气在打磨室内密闭收集，喷砂废气在设备内密闭收集，两股废气各自收集后合并通过1#旋风除尘器+滤筒除尘器处理，手工喷粉废气经下吸风收集后通过2#旋风除尘器+滤筒除尘器处理，自动喷粉废气经下吸风收集后通过3#旋风除尘器+滤筒除尘器处理，四股废气经处理后最终由一根25m高的排气筒FQ-1排放；天然气采用低氮燃烧器燃烧，</w:t>
                  </w:r>
                  <w:r>
                    <w:rPr>
                      <w:rFonts w:hint="eastAsia" w:ascii="Times New Roman" w:hAnsi="Times New Roman" w:eastAsia="宋体" w:cs="Times New Roman"/>
                      <w:color w:val="auto"/>
                      <w:sz w:val="21"/>
                      <w:szCs w:val="21"/>
                      <w:highlight w:val="none"/>
                      <w:lang w:eastAsia="zh-CN"/>
                    </w:rPr>
                    <w:t>燃烧废气、固化废气</w:t>
                  </w:r>
                  <w:r>
                    <w:rPr>
                      <w:rFonts w:hint="default" w:ascii="Times New Roman" w:hAnsi="Times New Roman" w:eastAsia="宋体" w:cs="Times New Roman"/>
                      <w:color w:val="auto"/>
                      <w:sz w:val="21"/>
                      <w:szCs w:val="21"/>
                      <w:highlight w:val="none"/>
                    </w:rPr>
                    <w:t>经烘道两端的集气罩收集后通过1#二级活性炭吸附装置处理，由一根25m高的排气筒FQ-2排放。打胶废气在打胶室密闭收集后通过2#二级活性炭吸附装置处理，由一根25m高的排气筒FQ-3排放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焊接烟尘、切割烟尘经移动式烟尘净化器处理后无组织排放。</w:t>
                  </w:r>
                  <w:r>
                    <w:rPr>
                      <w:rFonts w:hint="default" w:ascii="Times New Roman" w:hAnsi="Times New Roman" w:eastAsia="宋体" w:cs="Times New Roman"/>
                      <w:color w:val="auto"/>
                      <w:sz w:val="21"/>
                      <w:szCs w:val="21"/>
                      <w:highlight w:val="none"/>
                    </w:rPr>
                    <w:t>各类废气均达标排放，对周围环境影响较小。</w:t>
                  </w:r>
                </w:p>
              </w:tc>
              <w:tc>
                <w:tcPr>
                  <w:tcW w:w="811" w:type="dxa"/>
                  <w:noWrap w:val="0"/>
                  <w:vAlign w:val="center"/>
                </w:tcPr>
                <w:p w14:paraId="538EF54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DDC0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456F9067">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391" w:type="dxa"/>
                  <w:noWrap w:val="0"/>
                  <w:vAlign w:val="center"/>
                </w:tcPr>
                <w:p w14:paraId="0869477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落实《江苏省太湖污染防治条例》要求，加强太湖流域水环境保护。</w:t>
                  </w:r>
                </w:p>
              </w:tc>
              <w:tc>
                <w:tcPr>
                  <w:tcW w:w="3129" w:type="dxa"/>
                  <w:noWrap w:val="0"/>
                  <w:vAlign w:val="center"/>
                </w:tcPr>
                <w:p w14:paraId="6AD538B8">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本项目废水主要为生活污水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，生活污水接管至金坛区第二污水处理厂，</w:t>
                  </w:r>
                  <w:r>
                    <w:rPr>
                      <w:rFonts w:hint="eastAsia" w:ascii="Times New Roman" w:hAnsi="Times New Roman" w:eastAsia="宋体" w:cs="Times New Roman"/>
                      <w:color w:val="auto"/>
                      <w:sz w:val="21"/>
                      <w:szCs w:val="21"/>
                      <w:highlight w:val="none"/>
                      <w:lang w:val="en-US" w:eastAsia="zh-CN"/>
                    </w:rPr>
                    <w:t>生产废水经污水处理站处理后回用，</w:t>
                  </w:r>
                  <w:r>
                    <w:rPr>
                      <w:rFonts w:hint="default" w:ascii="Times New Roman" w:hAnsi="Times New Roman" w:eastAsia="宋体" w:cs="Times New Roman"/>
                      <w:color w:val="auto"/>
                      <w:sz w:val="21"/>
                      <w:szCs w:val="21"/>
                      <w:highlight w:val="none"/>
                    </w:rPr>
                    <w:t>满足《江苏省太湖污染防治条例》要求。</w:t>
                  </w:r>
                </w:p>
              </w:tc>
              <w:tc>
                <w:tcPr>
                  <w:tcW w:w="811" w:type="dxa"/>
                  <w:noWrap w:val="0"/>
                  <w:vAlign w:val="center"/>
                </w:tcPr>
                <w:p w14:paraId="2FBA7E7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B17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705DC19F">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391" w:type="dxa"/>
                  <w:noWrap w:val="0"/>
                  <w:vAlign w:val="center"/>
                </w:tcPr>
                <w:p w14:paraId="1DAB5D1D">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严格控制园区人口规模和用水定额，减少工业企业用水量和污水排放量，严格控制COD、氨氮、总磷等污染物排放总量。</w:t>
                  </w:r>
                </w:p>
              </w:tc>
              <w:tc>
                <w:tcPr>
                  <w:tcW w:w="3129" w:type="dxa"/>
                  <w:noWrap w:val="0"/>
                  <w:vAlign w:val="center"/>
                </w:tcPr>
                <w:p w14:paraId="38A78C1A">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本项目废水主要为生活污水，接入金坛区第二污水处理厂。</w:t>
                  </w:r>
                </w:p>
              </w:tc>
              <w:tc>
                <w:tcPr>
                  <w:tcW w:w="811" w:type="dxa"/>
                  <w:noWrap w:val="0"/>
                  <w:vAlign w:val="center"/>
                </w:tcPr>
                <w:p w14:paraId="04C6D7F1">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0732371E">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项目与</w:t>
            </w:r>
            <w:r>
              <w:rPr>
                <w:rFonts w:hint="eastAsia" w:eastAsia="宋体" w:cs="Times New Roman"/>
                <w:color w:val="auto"/>
                <w:sz w:val="24"/>
                <w:szCs w:val="24"/>
                <w:highlight w:val="none"/>
                <w:lang w:val="en-US" w:eastAsia="zh-CN"/>
              </w:rPr>
              <w:t>编制中的《</w:t>
            </w:r>
            <w:r>
              <w:rPr>
                <w:rFonts w:hint="default" w:ascii="Times New Roman" w:hAnsi="Times New Roman" w:eastAsia="宋体" w:cs="Times New Roman"/>
                <w:color w:val="auto"/>
                <w:sz w:val="24"/>
                <w:szCs w:val="24"/>
                <w:highlight w:val="none"/>
              </w:rPr>
              <w:t>江苏金坛经济开发区开发建设规划（2023-2035）</w:t>
            </w:r>
          </w:p>
          <w:p w14:paraId="5A8B8045">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环境影响评价报告书</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84"/>
              <w:gridCol w:w="3616"/>
              <w:gridCol w:w="3336"/>
              <w:gridCol w:w="865"/>
            </w:tblGrid>
            <w:tr w14:paraId="44DDB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dxa"/>
                  <w:tcBorders>
                    <w:bottom w:val="single" w:color="auto" w:sz="12" w:space="0"/>
                  </w:tcBorders>
                  <w:noWrap w:val="0"/>
                  <w:vAlign w:val="center"/>
                </w:tcPr>
                <w:p w14:paraId="68A4BE62">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616" w:type="dxa"/>
                  <w:tcBorders>
                    <w:bottom w:val="single" w:color="auto" w:sz="12" w:space="0"/>
                  </w:tcBorders>
                  <w:noWrap w:val="0"/>
                  <w:vAlign w:val="center"/>
                </w:tcPr>
                <w:p w14:paraId="5B0AA2FC">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相关要求</w:t>
                  </w:r>
                </w:p>
              </w:tc>
              <w:tc>
                <w:tcPr>
                  <w:tcW w:w="3336" w:type="dxa"/>
                  <w:tcBorders>
                    <w:bottom w:val="single" w:color="auto" w:sz="12" w:space="0"/>
                  </w:tcBorders>
                  <w:noWrap w:val="0"/>
                  <w:vAlign w:val="center"/>
                </w:tcPr>
                <w:p w14:paraId="363B0667">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865" w:type="dxa"/>
                  <w:tcBorders>
                    <w:bottom w:val="single" w:color="auto" w:sz="12" w:space="0"/>
                  </w:tcBorders>
                  <w:noWrap w:val="0"/>
                  <w:vAlign w:val="center"/>
                </w:tcPr>
                <w:p w14:paraId="10F2A8CA">
                  <w:pPr>
                    <w:pStyle w:val="7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360AC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dxa"/>
                  <w:tcBorders>
                    <w:top w:val="single" w:color="auto" w:sz="12" w:space="0"/>
                  </w:tcBorders>
                  <w:noWrap w:val="0"/>
                  <w:vAlign w:val="center"/>
                </w:tcPr>
                <w:p w14:paraId="638F56E9">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16" w:type="dxa"/>
                  <w:tcBorders>
                    <w:top w:val="single" w:color="auto" w:sz="12" w:space="0"/>
                  </w:tcBorders>
                  <w:noWrap w:val="0"/>
                  <w:vAlign w:val="center"/>
                </w:tcPr>
                <w:p w14:paraId="1FCFDB9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园区将积极探索推进减污降碳协同增效工作，近期将对园区内对周边居民</w:t>
                  </w:r>
                </w:p>
                <w:p w14:paraId="7D62FDDB">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办公和生态环境有严重影响的产业地块进行全面整顿，园区内的现状三类工业用地占比将进一步下降。园区内现有三类工业用地面积为145.15ha，占规划园区总面积的3.84%，主要集中在园区内汇贤路两侧区域。规划期限内规划三类用地面积将减少至85.13ha，园区用地规划占比下降至2.25%；原汇贤路侧三类工业用地将调整二类工业用地、居住用地和商业用地等，是解决该片区工居混杂的重要举措之一。华阳北路以西地块现有加怡热电、兴荣兆邦金属等重点企业，根据实际情况将该地块部分二类工业用地调整为三类工业用地。</w:t>
                  </w:r>
                </w:p>
              </w:tc>
              <w:tc>
                <w:tcPr>
                  <w:tcW w:w="3336" w:type="dxa"/>
                  <w:tcBorders>
                    <w:top w:val="single" w:color="auto" w:sz="12" w:space="0"/>
                  </w:tcBorders>
                  <w:noWrap w:val="0"/>
                  <w:vAlign w:val="center"/>
                </w:tcPr>
                <w:p w14:paraId="1D8E4788">
                  <w:pPr>
                    <w:pStyle w:val="75"/>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本项目位于江苏金坛经济开发区内，位于常州市金坛区晨风路1136号（金坛控股中南高科创新园）14幢。项目所在地规划为工业用地。项目所在地用地性质为工业用地，其用地功能与规划</w:t>
                  </w:r>
                  <w:r>
                    <w:rPr>
                      <w:rFonts w:hint="eastAsia" w:ascii="Times New Roman" w:hAnsi="Times New Roman" w:eastAsia="宋体" w:cs="Times New Roman"/>
                      <w:color w:val="auto"/>
                      <w:sz w:val="21"/>
                      <w:szCs w:val="21"/>
                      <w:highlight w:val="none"/>
                      <w:lang w:val="en-US" w:eastAsia="zh-CN"/>
                    </w:rPr>
                    <w:t>环评</w:t>
                  </w:r>
                  <w:r>
                    <w:rPr>
                      <w:rFonts w:hint="default" w:ascii="Times New Roman" w:hAnsi="Times New Roman" w:eastAsia="宋体" w:cs="Times New Roman"/>
                      <w:color w:val="auto"/>
                      <w:sz w:val="21"/>
                      <w:szCs w:val="21"/>
                      <w:highlight w:val="none"/>
                    </w:rPr>
                    <w:t>用地性质相符</w:t>
                  </w:r>
                  <w:r>
                    <w:rPr>
                      <w:rFonts w:hint="eastAsia" w:ascii="Times New Roman" w:hAnsi="Times New Roman" w:eastAsia="宋体" w:cs="Times New Roman"/>
                      <w:color w:val="auto"/>
                      <w:sz w:val="21"/>
                      <w:szCs w:val="21"/>
                      <w:highlight w:val="none"/>
                      <w:lang w:eastAsia="zh-CN"/>
                    </w:rPr>
                    <w:t>。</w:t>
                  </w:r>
                </w:p>
              </w:tc>
              <w:tc>
                <w:tcPr>
                  <w:tcW w:w="865" w:type="dxa"/>
                  <w:tcBorders>
                    <w:top w:val="single" w:color="auto" w:sz="12" w:space="0"/>
                  </w:tcBorders>
                  <w:noWrap w:val="0"/>
                  <w:vAlign w:val="center"/>
                </w:tcPr>
                <w:p w14:paraId="5DD6ED94">
                  <w:pPr>
                    <w:pStyle w:val="7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388C232">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本项目属于</w:t>
            </w:r>
            <w:r>
              <w:rPr>
                <w:rFonts w:hint="default" w:ascii="Times New Roman" w:hAnsi="Times New Roman" w:eastAsia="宋体" w:cs="Times New Roman"/>
                <w:color w:val="auto"/>
                <w:sz w:val="24"/>
                <w:highlight w:val="none"/>
              </w:rPr>
              <w:t>C3823配电开关控制设备制造、C3825光伏设备及元器件制造</w:t>
            </w:r>
            <w:r>
              <w:rPr>
                <w:rFonts w:hint="default" w:ascii="Times New Roman" w:hAnsi="Times New Roman" w:eastAsia="宋体" w:cs="Times New Roman"/>
                <w:color w:val="auto"/>
                <w:kern w:val="0"/>
                <w:sz w:val="24"/>
                <w:szCs w:val="24"/>
                <w:highlight w:val="none"/>
              </w:rPr>
              <w:t>，采用先进的生产设备、工艺污染程度较低；厂区内已实施雨污分流；项目无HCl排放</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rPr>
              <w:t>本项目打磨废气在打磨室内密闭收集，喷砂废气在设备内密闭收集，两股废气各自收集后合并通过1#旋风除尘器+滤筒除尘器处理，手工喷粉废气经下吸风收集后通过2#旋风除尘器+滤筒除尘器处理，自动喷粉废气经下吸风收集后通过3#旋风除尘器+滤筒除尘器处理，四股废气经处理后最终由一根25m高的排气筒FQ-1排放；天然气采用低氮燃烧器燃烧，燃烧废气、固化废气经烘道两端的集气罩收集后通过1#二级活性炭吸附装置处理，由一根25m高的排气筒FQ-2排放。打胶废气在打胶室密闭收集后通过2#二级活性炭吸附装置处理，由一根25m高的排气筒FQ-3排放。焊接烟尘、切割烟尘经移动式烟尘净化器处理后无组织排放。</w:t>
            </w:r>
            <w:r>
              <w:rPr>
                <w:rFonts w:hint="default" w:ascii="Times New Roman" w:hAnsi="Times New Roman" w:eastAsia="宋体" w:cs="Times New Roman"/>
                <w:color w:val="auto"/>
                <w:kern w:val="0"/>
                <w:sz w:val="24"/>
                <w:szCs w:val="24"/>
                <w:highlight w:val="none"/>
              </w:rPr>
              <w:t>各类废气均达标排放，对周围环境影响较小；本项目废水主要为生活污水</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生产废水</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生活污水</w:t>
            </w:r>
            <w:r>
              <w:rPr>
                <w:rFonts w:hint="default" w:ascii="Times New Roman" w:hAnsi="Times New Roman" w:eastAsia="宋体" w:cs="Times New Roman"/>
                <w:color w:val="auto"/>
                <w:kern w:val="0"/>
                <w:sz w:val="24"/>
                <w:szCs w:val="24"/>
                <w:highlight w:val="none"/>
              </w:rPr>
              <w:t>接管至金坛区第二污水处理厂</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生产废水经污水处理站处理后回用</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sz w:val="24"/>
                <w:szCs w:val="24"/>
                <w:highlight w:val="none"/>
                <w:lang w:val="en-US" w:eastAsia="zh-CN"/>
              </w:rPr>
              <w:t>本项目新建</w:t>
            </w:r>
            <w:r>
              <w:rPr>
                <w:rFonts w:hint="default" w:ascii="Times New Roman" w:hAnsi="Times New Roman" w:eastAsia="宋体" w:cs="Times New Roman"/>
                <w:color w:val="auto"/>
                <w:kern w:val="0"/>
                <w:sz w:val="24"/>
                <w:szCs w:val="24"/>
                <w:highlight w:val="none"/>
                <w:lang w:eastAsia="zh-CN"/>
              </w:rPr>
              <w:t>一般固废堆场</w:t>
            </w:r>
            <w:r>
              <w:rPr>
                <w:rFonts w:hint="default" w:ascii="Times New Roman" w:hAnsi="Times New Roman" w:eastAsia="宋体" w:cs="Times New Roman"/>
                <w:color w:val="auto"/>
                <w:kern w:val="0"/>
                <w:sz w:val="24"/>
                <w:szCs w:val="24"/>
                <w:highlight w:val="none"/>
              </w:rPr>
              <w:t>、危险废物仓库，满足固体废物分类收集、贮存的要求，危险废物委托有资质单位安全处置，项目污染程度较低，满足《江苏省太湖污染防治条例》要求；距钱资荡生态红线区最近距离为</w:t>
            </w:r>
            <w:r>
              <w:rPr>
                <w:rFonts w:hint="eastAsia" w:ascii="Times New Roman" w:hAnsi="Times New Roman" w:eastAsia="宋体" w:cs="Times New Roman"/>
                <w:color w:val="auto"/>
                <w:kern w:val="0"/>
                <w:sz w:val="24"/>
                <w:szCs w:val="24"/>
                <w:highlight w:val="none"/>
                <w:lang w:val="en-US" w:eastAsia="zh-CN"/>
              </w:rPr>
              <w:t>6.9</w:t>
            </w:r>
            <w:r>
              <w:rPr>
                <w:rFonts w:hint="default" w:ascii="Times New Roman" w:hAnsi="Times New Roman" w:eastAsia="宋体" w:cs="Times New Roman"/>
                <w:color w:val="auto"/>
                <w:kern w:val="0"/>
                <w:sz w:val="24"/>
                <w:szCs w:val="24"/>
                <w:highlight w:val="none"/>
              </w:rPr>
              <w:t>km，不会导致其生态红线区域服务功能下降。</w:t>
            </w:r>
          </w:p>
          <w:p w14:paraId="1D72BB6A">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因此，项目建设符合《金坛经济开发区发展规划环境影响报告书》及《关于金坛经济开发区发展规划环境影响评价审查意见》中相关要求。</w:t>
            </w:r>
          </w:p>
        </w:tc>
      </w:tr>
    </w:tbl>
    <w:p w14:paraId="6026F311">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1FD1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vAlign w:val="center"/>
          </w:tcPr>
          <w:p w14:paraId="38777CCA">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其他相符性分析</w:t>
            </w:r>
          </w:p>
        </w:tc>
        <w:tc>
          <w:tcPr>
            <w:tcW w:w="4642" w:type="pct"/>
            <w:vAlign w:val="center"/>
          </w:tcPr>
          <w:p w14:paraId="6B2B29F9">
            <w:pPr>
              <w:adjustRightInd w:val="0"/>
              <w:snapToGrid w:val="0"/>
              <w:spacing w:line="500" w:lineRule="exact"/>
              <w:ind w:firstLine="482"/>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1、产业政策相符性分析</w:t>
            </w:r>
          </w:p>
          <w:p w14:paraId="6FF27C4B">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本项目属于</w:t>
            </w:r>
            <w:r>
              <w:rPr>
                <w:rFonts w:hint="default" w:ascii="Times New Roman" w:hAnsi="Times New Roman" w:eastAsia="宋体" w:cs="Times New Roman"/>
                <w:color w:val="auto"/>
                <w:sz w:val="24"/>
                <w:highlight w:val="none"/>
              </w:rPr>
              <w:t>C3823配电开关控制设备制造、C3825光伏设备及元器件制造</w:t>
            </w:r>
            <w:r>
              <w:rPr>
                <w:rFonts w:hint="default" w:ascii="Times New Roman" w:hAnsi="Times New Roman" w:eastAsia="宋体" w:cs="Times New Roman"/>
                <w:color w:val="auto"/>
                <w:kern w:val="0"/>
                <w:sz w:val="24"/>
                <w:szCs w:val="24"/>
                <w:highlight w:val="none"/>
              </w:rPr>
              <w:t>，主要生产</w:t>
            </w:r>
            <w:r>
              <w:rPr>
                <w:rFonts w:hint="eastAsia" w:ascii="Times New Roman" w:hAnsi="Times New Roman" w:eastAsia="宋体" w:cs="Times New Roman"/>
                <w:color w:val="auto"/>
                <w:kern w:val="0"/>
                <w:sz w:val="24"/>
                <w:szCs w:val="24"/>
                <w:highlight w:val="none"/>
                <w:lang w:val="en-US" w:eastAsia="zh-CN"/>
              </w:rPr>
              <w:t>光伏组件及电力设备</w:t>
            </w:r>
            <w:r>
              <w:rPr>
                <w:rFonts w:hint="default" w:ascii="Times New Roman" w:hAnsi="Times New Roman" w:eastAsia="宋体" w:cs="Times New Roman"/>
                <w:color w:val="auto"/>
                <w:kern w:val="0"/>
                <w:sz w:val="24"/>
                <w:szCs w:val="24"/>
                <w:highlight w:val="none"/>
              </w:rPr>
              <w:t>，对照《产业结构调整指导目录（2024年本）》，本项目不属于鼓励类、限制类、淘汰类项目。</w:t>
            </w:r>
          </w:p>
          <w:p w14:paraId="69F36FE1">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本项目已经取得</w:t>
            </w:r>
            <w:r>
              <w:rPr>
                <w:rFonts w:hint="eastAsia" w:ascii="Times New Roman" w:hAnsi="Times New Roman" w:eastAsia="宋体" w:cs="Times New Roman"/>
                <w:color w:val="auto"/>
                <w:kern w:val="0"/>
                <w:sz w:val="24"/>
                <w:szCs w:val="24"/>
                <w:highlight w:val="none"/>
                <w:lang w:val="en-US" w:eastAsia="zh-CN"/>
              </w:rPr>
              <w:t>江苏金坛经济开发区经济发展局</w:t>
            </w:r>
            <w:r>
              <w:rPr>
                <w:rFonts w:hint="default" w:ascii="Times New Roman" w:hAnsi="Times New Roman" w:eastAsia="宋体" w:cs="Times New Roman"/>
                <w:color w:val="auto"/>
                <w:kern w:val="0"/>
                <w:sz w:val="24"/>
                <w:szCs w:val="24"/>
                <w:highlight w:val="none"/>
              </w:rPr>
              <w:t>审批，备案证号</w:t>
            </w:r>
            <w:r>
              <w:rPr>
                <w:rFonts w:hint="eastAsia" w:ascii="Times New Roman" w:hAnsi="Times New Roman" w:eastAsia="宋体" w:cs="Times New Roman"/>
                <w:color w:val="auto"/>
                <w:kern w:val="0"/>
                <w:sz w:val="24"/>
                <w:szCs w:val="24"/>
                <w:highlight w:val="none"/>
                <w:lang w:eastAsia="zh-CN"/>
              </w:rPr>
              <w:t>：坛开经发备字〔2024〕239号</w:t>
            </w:r>
            <w:r>
              <w:rPr>
                <w:rFonts w:hint="default" w:ascii="Times New Roman" w:hAnsi="Times New Roman" w:eastAsia="宋体" w:cs="Times New Roman"/>
                <w:color w:val="auto"/>
                <w:kern w:val="0"/>
                <w:sz w:val="24"/>
                <w:szCs w:val="24"/>
                <w:highlight w:val="none"/>
              </w:rPr>
              <w:t>，项目代码：</w:t>
            </w:r>
            <w:r>
              <w:rPr>
                <w:rFonts w:hint="eastAsia" w:ascii="Times New Roman" w:hAnsi="Times New Roman" w:eastAsia="宋体" w:cs="Times New Roman"/>
                <w:color w:val="auto"/>
                <w:sz w:val="24"/>
                <w:highlight w:val="none"/>
                <w:lang w:eastAsia="zh-CN"/>
              </w:rPr>
              <w:t>2411-320458-89-01-900330</w:t>
            </w:r>
            <w:r>
              <w:rPr>
                <w:rFonts w:hint="default" w:ascii="Times New Roman" w:hAnsi="Times New Roman" w:eastAsia="宋体" w:cs="Times New Roman"/>
                <w:color w:val="auto"/>
                <w:kern w:val="0"/>
                <w:sz w:val="24"/>
                <w:szCs w:val="24"/>
                <w:highlight w:val="none"/>
              </w:rPr>
              <w:t>。因此项目的建设符合国家及地方的产业政策。</w:t>
            </w:r>
          </w:p>
          <w:p w14:paraId="5F946D1B">
            <w:pPr>
              <w:adjustRightInd w:val="0"/>
              <w:snapToGrid w:val="0"/>
              <w:spacing w:line="500" w:lineRule="exact"/>
              <w:ind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2、用地性质相符性分析</w:t>
            </w:r>
          </w:p>
          <w:p w14:paraId="3566AA14">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（1）本项目最近距《江苏省生态空间管控区域规划》（苏政发〔2020〕1号）中生态空间管控区域范围—长荡湖重要湿地约</w:t>
            </w:r>
            <w:r>
              <w:rPr>
                <w:rFonts w:hint="eastAsia" w:ascii="Times New Roman" w:hAnsi="Times New Roman" w:eastAsia="宋体" w:cs="Times New Roman"/>
                <w:color w:val="auto"/>
                <w:kern w:val="0"/>
                <w:sz w:val="24"/>
                <w:szCs w:val="24"/>
                <w:highlight w:val="none"/>
                <w:lang w:val="en-US" w:eastAsia="zh-CN"/>
              </w:rPr>
              <w:t>10.9</w:t>
            </w:r>
            <w:r>
              <w:rPr>
                <w:rFonts w:hint="default" w:ascii="Times New Roman" w:hAnsi="Times New Roman" w:eastAsia="宋体" w:cs="Times New Roman"/>
                <w:color w:val="auto"/>
                <w:kern w:val="0"/>
                <w:sz w:val="24"/>
                <w:szCs w:val="24"/>
                <w:highlight w:val="none"/>
              </w:rPr>
              <w:t>km，项目不在生态空间管控区域范围内，且不属于湿地生态系统保护禁止活动内容。因此，该用地性质符合要求。由此可见，本项目选址与江苏省生态红线区域保护规划相符。</w:t>
            </w:r>
          </w:p>
          <w:p w14:paraId="30A7C302">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）本项目依托现有标准厂房进行生产建设，已取得不动产权证（苏（202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）金坛区不动产权第001</w:t>
            </w:r>
            <w:r>
              <w:rPr>
                <w:rFonts w:hint="eastAsia" w:ascii="Times New Roman" w:hAnsi="Times New Roman" w:eastAsia="宋体" w:cs="Times New Roman"/>
                <w:color w:val="auto"/>
                <w:kern w:val="0"/>
                <w:sz w:val="24"/>
                <w:szCs w:val="24"/>
                <w:highlight w:val="none"/>
                <w:lang w:val="en-US" w:eastAsia="zh-CN"/>
              </w:rPr>
              <w:t>81769</w:t>
            </w:r>
            <w:r>
              <w:rPr>
                <w:rFonts w:hint="default" w:ascii="Times New Roman" w:hAnsi="Times New Roman" w:eastAsia="宋体" w:cs="Times New Roman"/>
                <w:color w:val="auto"/>
                <w:kern w:val="0"/>
                <w:sz w:val="24"/>
                <w:szCs w:val="24"/>
                <w:highlight w:val="none"/>
              </w:rPr>
              <w:t>号），项目所在地为“工业用地”，本项目从事工业生产，因此，用地性质符合要求。</w:t>
            </w:r>
          </w:p>
          <w:p w14:paraId="7D642B19">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）本项目位于江苏金坛经济开发区内，位于</w:t>
            </w:r>
            <w:r>
              <w:rPr>
                <w:rFonts w:hint="eastAsia" w:ascii="Times New Roman" w:hAnsi="Times New Roman" w:eastAsia="宋体" w:cs="Times New Roman"/>
                <w:color w:val="auto"/>
                <w:kern w:val="0"/>
                <w:sz w:val="24"/>
                <w:szCs w:val="24"/>
                <w:highlight w:val="none"/>
                <w:lang w:eastAsia="zh-CN"/>
              </w:rPr>
              <w:t>常州市金坛区晨风路1136号（金坛控股中南高科创新园）14幢</w:t>
            </w:r>
            <w:r>
              <w:rPr>
                <w:rFonts w:hint="default" w:ascii="Times New Roman" w:hAnsi="Times New Roman" w:eastAsia="宋体" w:cs="Times New Roman"/>
                <w:color w:val="auto"/>
                <w:kern w:val="0"/>
                <w:sz w:val="24"/>
                <w:szCs w:val="24"/>
                <w:highlight w:val="none"/>
              </w:rPr>
              <w:t>。根据《金坛经济开发区发展规划报告书》，项目所在地规划为工业用地。项目所在地用地性质为工业用地，其用地功能与规划用地性质相符；</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sz w:val="24"/>
                <w:szCs w:val="24"/>
                <w:highlight w:val="none"/>
              </w:rPr>
              <w:t>生产光伏组件及电力设备，主要用作各类太阳能光伏设备及电力设备的外壳</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属于新能源配套产业，</w:t>
            </w:r>
            <w:r>
              <w:rPr>
                <w:rFonts w:hint="default" w:ascii="Times New Roman" w:hAnsi="Times New Roman" w:eastAsia="宋体" w:cs="Times New Roman"/>
                <w:color w:val="auto"/>
                <w:kern w:val="0"/>
                <w:sz w:val="24"/>
                <w:szCs w:val="24"/>
                <w:highlight w:val="none"/>
              </w:rPr>
              <w:t>符合金坛经济开发区产业定位中的</w:t>
            </w:r>
            <w:r>
              <w:rPr>
                <w:rFonts w:hint="eastAsia" w:ascii="Times New Roman" w:hAnsi="Times New Roman" w:eastAsia="宋体" w:cs="Times New Roman"/>
                <w:color w:val="auto"/>
                <w:kern w:val="0"/>
                <w:sz w:val="24"/>
                <w:szCs w:val="24"/>
                <w:highlight w:val="none"/>
                <w:lang w:val="en-US" w:eastAsia="zh-CN"/>
              </w:rPr>
              <w:t>新能源产</w:t>
            </w:r>
            <w:r>
              <w:rPr>
                <w:rFonts w:hint="default" w:ascii="Times New Roman" w:hAnsi="Times New Roman" w:eastAsia="宋体" w:cs="Times New Roman"/>
                <w:color w:val="auto"/>
                <w:kern w:val="0"/>
                <w:sz w:val="24"/>
                <w:szCs w:val="24"/>
                <w:highlight w:val="none"/>
              </w:rPr>
              <w:t>业；且项目所在区域给水、排水、供电、供气、交通等基础设备完善，具备污染集中控制条件，符合区域环保规划要求。</w:t>
            </w:r>
          </w:p>
          <w:p w14:paraId="687C2E8F">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）本项目不在《江苏省国家级生态保护红线规划》（苏政发〔2018〕74号）规定的</w:t>
            </w:r>
            <w:r>
              <w:rPr>
                <w:rFonts w:hint="eastAsia" w:ascii="Times New Roman" w:hAnsi="Times New Roman" w:eastAsia="宋体" w:cs="Times New Roman"/>
                <w:color w:val="auto"/>
                <w:kern w:val="0"/>
                <w:sz w:val="24"/>
                <w:szCs w:val="24"/>
                <w:highlight w:val="none"/>
                <w:lang w:val="en-US" w:eastAsia="zh-CN"/>
              </w:rPr>
              <w:t>生态保护红线范围内</w:t>
            </w:r>
            <w:r>
              <w:rPr>
                <w:rFonts w:hint="default" w:ascii="Times New Roman" w:hAnsi="Times New Roman" w:eastAsia="宋体" w:cs="Times New Roman"/>
                <w:color w:val="auto"/>
                <w:kern w:val="0"/>
                <w:sz w:val="24"/>
                <w:szCs w:val="24"/>
                <w:highlight w:val="none"/>
              </w:rPr>
              <w:t>；不在《江苏省生态空间管控区域规划》（苏政发〔2020〕1号）规定的常州市生态红线管控区范围内。</w:t>
            </w:r>
          </w:p>
          <w:p w14:paraId="1E9C5762">
            <w:pPr>
              <w:adjustRightInd w:val="0"/>
              <w:snapToGrid w:val="0"/>
              <w:spacing w:line="500" w:lineRule="exact"/>
              <w:ind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综上所述，本项目选址合理。</w:t>
            </w:r>
          </w:p>
          <w:p w14:paraId="184C60C1">
            <w:pPr>
              <w:snapToGrid w:val="0"/>
              <w:spacing w:line="500" w:lineRule="exact"/>
              <w:ind w:firstLine="48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rPr>
              <w:t>3</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国土空间规划符合性分析</w:t>
            </w:r>
          </w:p>
          <w:p w14:paraId="2BAD65FA">
            <w:pPr>
              <w:snapToGrid w:val="0"/>
              <w:spacing w:line="500" w:lineRule="exact"/>
              <w:ind w:firstLine="482"/>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国务院关于《江苏省国土空间规划（2021</w:t>
            </w:r>
            <w:r>
              <w:rPr>
                <w:rFonts w:hint="default" w:ascii="Times New Roman" w:hAnsi="Times New Roman" w:eastAsia="宋体" w:cs="Times New Roman"/>
                <w:b w:val="0"/>
                <w:bCs w:val="0"/>
                <w:color w:val="auto"/>
                <w:kern w:val="0"/>
                <w:sz w:val="24"/>
                <w:szCs w:val="24"/>
                <w:highlight w:val="none"/>
                <w:lang w:val="en-US" w:eastAsia="zh-CN"/>
              </w:rPr>
              <w:t xml:space="preserve"> </w:t>
            </w:r>
            <w:r>
              <w:rPr>
                <w:rFonts w:hint="default" w:ascii="Times New Roman" w:hAnsi="Times New Roman" w:eastAsia="宋体" w:cs="Times New Roman"/>
                <w:b w:val="0"/>
                <w:bCs w:val="0"/>
                <w:color w:val="auto"/>
                <w:kern w:val="0"/>
                <w:sz w:val="24"/>
                <w:szCs w:val="24"/>
                <w:highlight w:val="none"/>
                <w:lang w:eastAsia="zh-CN"/>
              </w:rPr>
              <w:t>—2035年）》的批复国函〔2023〕69号。金坛区“三区三线”划定成果已正式启用，共划定耕地保护目标图斑31.3788万亩，永久基本农田2</w:t>
            </w:r>
            <w:r>
              <w:rPr>
                <w:rFonts w:hint="eastAsia" w:ascii="Times New Roman" w:hAnsi="Times New Roman" w:eastAsia="宋体" w:cs="Times New Roman"/>
                <w:b w:val="0"/>
                <w:bCs w:val="0"/>
                <w:color w:val="auto"/>
                <w:kern w:val="0"/>
                <w:sz w:val="24"/>
                <w:szCs w:val="24"/>
                <w:highlight w:val="none"/>
                <w:lang w:val="en-US" w:eastAsia="zh-CN"/>
              </w:rPr>
              <w:t>8.2</w:t>
            </w:r>
            <w:r>
              <w:rPr>
                <w:rFonts w:hint="default" w:ascii="Times New Roman" w:hAnsi="Times New Roman" w:eastAsia="宋体" w:cs="Times New Roman"/>
                <w:b w:val="0"/>
                <w:bCs w:val="0"/>
                <w:color w:val="auto"/>
                <w:kern w:val="0"/>
                <w:sz w:val="24"/>
                <w:szCs w:val="24"/>
                <w:highlight w:val="none"/>
                <w:lang w:eastAsia="zh-CN"/>
              </w:rPr>
              <w:t>64万亩，生态保护红线98.67平方公里，城镇开发边界115.67平方公里。</w:t>
            </w:r>
          </w:p>
          <w:p w14:paraId="2D6FFD42">
            <w:pPr>
              <w:snapToGrid w:val="0"/>
              <w:spacing w:line="500" w:lineRule="exact"/>
              <w:ind w:firstLine="482"/>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本项目位于城镇开发边界内，符合金坛区“三区三线”划定成果要求。</w:t>
            </w:r>
          </w:p>
          <w:p w14:paraId="1A2ADA30">
            <w:pPr>
              <w:snapToGrid w:val="0"/>
              <w:spacing w:line="500" w:lineRule="exact"/>
              <w:ind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江苏省</w:t>
            </w:r>
            <w:r>
              <w:rPr>
                <w:rFonts w:hint="default" w:ascii="Times New Roman" w:hAnsi="Times New Roman" w:eastAsia="宋体" w:cs="Times New Roman"/>
                <w:b/>
                <w:bCs/>
                <w:color w:val="auto"/>
                <w:kern w:val="0"/>
                <w:sz w:val="24"/>
                <w:szCs w:val="24"/>
                <w:highlight w:val="none"/>
                <w:lang w:eastAsia="zh-CN"/>
              </w:rPr>
              <w:t>生态环境分区管控”</w:t>
            </w:r>
            <w:r>
              <w:rPr>
                <w:rFonts w:hint="default" w:ascii="Times New Roman" w:hAnsi="Times New Roman" w:eastAsia="宋体" w:cs="Times New Roman"/>
                <w:b/>
                <w:bCs/>
                <w:color w:val="auto"/>
                <w:kern w:val="0"/>
                <w:sz w:val="24"/>
                <w:szCs w:val="24"/>
                <w:highlight w:val="none"/>
              </w:rPr>
              <w:t>符合性分析</w:t>
            </w:r>
          </w:p>
          <w:p w14:paraId="576FA86A">
            <w:pPr>
              <w:adjustRightInd w:val="0"/>
              <w:snapToGrid w:val="0"/>
              <w:spacing w:line="500" w:lineRule="exact"/>
              <w:ind w:firstLine="48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color w:val="auto"/>
                <w:kern w:val="0"/>
                <w:sz w:val="24"/>
                <w:szCs w:val="24"/>
                <w:highlight w:val="none"/>
              </w:rPr>
              <w:t>对照《江苏省2023年度生态环境分区管控动态更新成果公告》，本项目位于</w:t>
            </w:r>
            <w:r>
              <w:rPr>
                <w:rFonts w:hint="eastAsia" w:ascii="Times New Roman" w:hAnsi="Times New Roman" w:eastAsia="宋体" w:cs="Times New Roman"/>
                <w:color w:val="auto"/>
                <w:kern w:val="0"/>
                <w:sz w:val="24"/>
                <w:szCs w:val="24"/>
                <w:highlight w:val="none"/>
                <w:lang w:val="en-US" w:eastAsia="zh-CN"/>
              </w:rPr>
              <w:t>常州市金坛区晨风路1136号（金坛控股中南高科创新园）14幢</w:t>
            </w:r>
            <w:r>
              <w:rPr>
                <w:rFonts w:hint="default" w:ascii="Times New Roman" w:hAnsi="Times New Roman" w:eastAsia="宋体" w:cs="Times New Roman"/>
                <w:color w:val="auto"/>
                <w:kern w:val="0"/>
                <w:sz w:val="24"/>
                <w:szCs w:val="24"/>
                <w:highlight w:val="none"/>
              </w:rPr>
              <w:t>，位于江苏金坛经济开发区，该区域属于重点管控单元，具体环境管控单元准入清单见下表。</w:t>
            </w:r>
          </w:p>
          <w:p w14:paraId="5CD2D6E0">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与“</w:t>
            </w:r>
            <w:r>
              <w:rPr>
                <w:rFonts w:hint="default" w:ascii="Times New Roman" w:hAnsi="Times New Roman" w:eastAsia="宋体" w:cs="Times New Roman"/>
                <w:color w:val="auto"/>
                <w:sz w:val="24"/>
                <w:szCs w:val="24"/>
                <w:highlight w:val="none"/>
                <w:lang w:val="en-US" w:eastAsia="zh-CN"/>
              </w:rPr>
              <w:t>江苏省</w:t>
            </w:r>
            <w:r>
              <w:rPr>
                <w:rFonts w:hint="default" w:ascii="Times New Roman" w:hAnsi="Times New Roman" w:eastAsia="宋体" w:cs="Times New Roman"/>
                <w:color w:val="auto"/>
                <w:sz w:val="24"/>
                <w:szCs w:val="24"/>
                <w:highlight w:val="none"/>
              </w:rPr>
              <w:t>生态环境分区管控总体要求”相符性分析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466"/>
              <w:gridCol w:w="2481"/>
              <w:gridCol w:w="712"/>
            </w:tblGrid>
            <w:tr w14:paraId="62845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94982D5">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管控类别</w:t>
                  </w:r>
                </w:p>
              </w:tc>
              <w:tc>
                <w:tcPr>
                  <w:tcW w:w="2655" w:type="pct"/>
                  <w:vAlign w:val="center"/>
                </w:tcPr>
                <w:p w14:paraId="3A7B80A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重点管控要求</w:t>
                  </w:r>
                </w:p>
              </w:tc>
              <w:tc>
                <w:tcPr>
                  <w:tcW w:w="1475" w:type="pct"/>
                  <w:vAlign w:val="center"/>
                </w:tcPr>
                <w:p w14:paraId="50494A0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对照分析</w:t>
                  </w:r>
                </w:p>
              </w:tc>
              <w:tc>
                <w:tcPr>
                  <w:tcW w:w="423" w:type="pct"/>
                  <w:vAlign w:val="center"/>
                </w:tcPr>
                <w:p w14:paraId="572CF3E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55EEE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4" w:hRule="atLeast"/>
                <w:jc w:val="center"/>
              </w:trPr>
              <w:tc>
                <w:tcPr>
                  <w:tcW w:w="445" w:type="pct"/>
                  <w:vAlign w:val="center"/>
                </w:tcPr>
                <w:p w14:paraId="2604397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2655" w:type="pct"/>
                  <w:vAlign w:val="center"/>
                </w:tcPr>
                <w:p w14:paraId="52CC3393">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15DF301B">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牢牢把握推动长江经济带发展“共抓大保护，不搞大开发”战略导向，对省域范围内需要重点保护的岸线、河段和区域实行严格管控，管住控好排放量大、耗能高、产能过剩的产业，推动长江经济带高质量发展。</w:t>
                  </w:r>
                </w:p>
                <w:p w14:paraId="1EDC2C31">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776F662B">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2D1C3059">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75" w:type="pct"/>
                  <w:shd w:val="clear" w:color="auto" w:fill="auto"/>
                  <w:vAlign w:val="center"/>
                </w:tcPr>
                <w:p w14:paraId="6534AA1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w:t>
                  </w:r>
                  <w:r>
                    <w:rPr>
                      <w:rFonts w:hint="default" w:ascii="Times New Roman" w:hAnsi="Times New Roman" w:eastAsia="宋体" w:cs="Times New Roman"/>
                      <w:color w:val="auto"/>
                      <w:sz w:val="21"/>
                      <w:szCs w:val="21"/>
                      <w:highlight w:val="none"/>
                      <w:lang w:val="en-US" w:eastAsia="zh-CN"/>
                    </w:rPr>
                    <w:t>等文件</w:t>
                  </w:r>
                  <w:r>
                    <w:rPr>
                      <w:rFonts w:hint="default" w:ascii="Times New Roman" w:hAnsi="Times New Roman" w:eastAsia="宋体" w:cs="Times New Roman"/>
                      <w:color w:val="auto"/>
                      <w:sz w:val="21"/>
                      <w:szCs w:val="21"/>
                      <w:highlight w:val="none"/>
                    </w:rPr>
                    <w:t>要求；</w:t>
                  </w:r>
                </w:p>
                <w:p w14:paraId="59A6ADC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2、本项目不属于</w:t>
                  </w:r>
                  <w:r>
                    <w:rPr>
                      <w:rFonts w:hint="default" w:ascii="Times New Roman" w:hAnsi="Times New Roman" w:eastAsia="宋体" w:cs="Times New Roman"/>
                      <w:color w:val="auto"/>
                      <w:sz w:val="21"/>
                      <w:szCs w:val="21"/>
                      <w:highlight w:val="none"/>
                      <w:lang w:val="en-US" w:eastAsia="zh-CN"/>
                    </w:rPr>
                    <w:t>钢铁行业</w:t>
                  </w:r>
                  <w:r>
                    <w:rPr>
                      <w:rFonts w:hint="default" w:ascii="Times New Roman" w:hAnsi="Times New Roman" w:eastAsia="宋体" w:cs="Times New Roman"/>
                      <w:color w:val="auto"/>
                      <w:sz w:val="21"/>
                      <w:szCs w:val="21"/>
                      <w:highlight w:val="none"/>
                    </w:rPr>
                    <w:t>；</w:t>
                  </w:r>
                </w:p>
                <w:p w14:paraId="6E7D7716">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，不在长江干支流1公里范围内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长江干流岸线三公里范围内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太湖流域三级保护区内</w:t>
                  </w:r>
                  <w:r>
                    <w:rPr>
                      <w:rFonts w:hint="default" w:ascii="Times New Roman" w:hAnsi="Times New Roman" w:eastAsia="宋体" w:cs="Times New Roman"/>
                      <w:color w:val="auto"/>
                      <w:sz w:val="21"/>
                      <w:szCs w:val="21"/>
                      <w:highlight w:val="none"/>
                      <w:lang w:eastAsia="zh-CN"/>
                    </w:rPr>
                    <w:t>。</w:t>
                  </w:r>
                </w:p>
              </w:tc>
              <w:tc>
                <w:tcPr>
                  <w:tcW w:w="423" w:type="pct"/>
                  <w:vAlign w:val="center"/>
                </w:tcPr>
                <w:p w14:paraId="5528830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77810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D2971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2655" w:type="pct"/>
                  <w:vAlign w:val="center"/>
                </w:tcPr>
                <w:p w14:paraId="15EC8935">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39309654">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75" w:type="pct"/>
                  <w:shd w:val="clear" w:color="auto" w:fill="auto"/>
                  <w:vAlign w:val="center"/>
                </w:tcPr>
                <w:p w14:paraId="0F1F0CEA">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生产废水经污水处理站处理后回用于前处理</w:t>
                  </w:r>
                  <w:r>
                    <w:rPr>
                      <w:rFonts w:hint="default" w:ascii="Times New Roman" w:hAnsi="Times New Roman" w:eastAsia="宋体" w:cs="Times New Roman"/>
                      <w:bCs/>
                      <w:color w:val="auto"/>
                      <w:sz w:val="21"/>
                      <w:szCs w:val="21"/>
                      <w:highlight w:val="none"/>
                    </w:rPr>
                    <w:t>，生活污水</w:t>
                  </w:r>
                  <w:r>
                    <w:rPr>
                      <w:rFonts w:hint="default" w:ascii="Times New Roman" w:hAnsi="Times New Roman" w:eastAsia="宋体" w:cs="Times New Roman"/>
                      <w:bCs/>
                      <w:color w:val="auto"/>
                      <w:sz w:val="21"/>
                      <w:szCs w:val="21"/>
                      <w:highlight w:val="none"/>
                      <w:lang w:val="en-US" w:eastAsia="zh-CN"/>
                    </w:rPr>
                    <w:t>接管至</w:t>
                  </w:r>
                  <w:r>
                    <w:rPr>
                      <w:rFonts w:hint="default" w:ascii="Times New Roman" w:hAnsi="Times New Roman" w:eastAsia="宋体" w:cs="Times New Roman"/>
                      <w:bCs/>
                      <w:color w:val="auto"/>
                      <w:sz w:val="21"/>
                      <w:szCs w:val="21"/>
                      <w:highlight w:val="none"/>
                    </w:rPr>
                    <w:t>常州市金坛区第二污水处理厂集中处理，总量在污水处理厂内平衡</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打磨废气在打磨室内密闭收集，喷砂废气在设备内密闭收集，两股废气各自收集后合并通过1#旋风除尘器+滤筒除尘器处理，手工喷粉废气经下吸风收集后通过2#旋风除尘器+滤筒除尘器处理，自动喷粉废气经下吸风收集后通过3#旋风除尘器+滤筒除尘器处理，四股废气经处理后最终由一根25m高的排气筒FQ-1排放；天然气采用低氮燃烧器燃烧，燃烧废气、固化废气经烘道两端的集气罩收集后通过1#二级活性炭吸附装置处理，由一根25m高的排气筒FQ-2排放。打胶废气在打胶室密闭收集后通过2#二级活性炭吸附装置处理，由一根25m高的排气筒FQ-3排放。焊接烟尘、切割烟尘经移动式烟尘净化器处理后无组织排放。</w:t>
                  </w:r>
                  <w:r>
                    <w:rPr>
                      <w:rFonts w:hint="default" w:ascii="Times New Roman" w:hAnsi="Times New Roman" w:eastAsia="宋体" w:cs="Times New Roman"/>
                      <w:bCs/>
                      <w:color w:val="auto"/>
                      <w:sz w:val="21"/>
                      <w:szCs w:val="21"/>
                      <w:highlight w:val="none"/>
                      <w:lang w:eastAsia="zh-CN"/>
                    </w:rPr>
                    <w:t>对周围环境影响较小。</w:t>
                  </w:r>
                </w:p>
              </w:tc>
              <w:tc>
                <w:tcPr>
                  <w:tcW w:w="423" w:type="pct"/>
                  <w:vAlign w:val="center"/>
                </w:tcPr>
                <w:p w14:paraId="57E29960">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4B889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B396AE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2655" w:type="pct"/>
                  <w:vAlign w:val="center"/>
                </w:tcPr>
                <w:p w14:paraId="3197BC98">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1．强化饮用水水源环境风险管控。县级以上城市全部建成应急水源或双源供水。</w:t>
                  </w:r>
                </w:p>
                <w:p w14:paraId="1A84B43D">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195B5E07">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3．强化环境事故应急管理。深化跨部门、跨区域环境应急协调联动，分区域建立环境应急物资储备库。各级工业园区（集聚区）和企业的环境应急装备和储备物资应纳入储备体系。</w:t>
                  </w:r>
                </w:p>
                <w:p w14:paraId="1A217A87">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强化环境风险防控能力建设。按照统一信息平台、统一监管力度、统一应急等级、协同应急救援的思路，在沿江发展带、沿海发展带、环太湖等地区构建区域性环境风险预警应急响应机制，实施区域突发环境风险预警联防联</w:t>
                  </w:r>
                </w:p>
                <w:p w14:paraId="79FFA0E6">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控。</w:t>
                  </w:r>
                </w:p>
              </w:tc>
              <w:tc>
                <w:tcPr>
                  <w:tcW w:w="1475" w:type="pct"/>
                  <w:shd w:val="clear" w:color="auto" w:fill="auto"/>
                  <w:vAlign w:val="center"/>
                </w:tcPr>
                <w:p w14:paraId="19D5B3E6">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0B1857F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70333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35078C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资源利用效率要求</w:t>
                  </w:r>
                </w:p>
              </w:tc>
              <w:tc>
                <w:tcPr>
                  <w:tcW w:w="2655" w:type="pct"/>
                  <w:vAlign w:val="center"/>
                </w:tcPr>
                <w:p w14:paraId="4FB7BFE7">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1．水资源利用总量及效率要求：到2025年，全省用水总量控制在525.9亿立方米以内，万元地区生产总值用水量、万元工业增加值用水量下降完成国家下达目标，农田灌溉水有效利用系数提高到0.625。</w:t>
                  </w:r>
                </w:p>
                <w:p w14:paraId="51D8A734">
                  <w:pPr>
                    <w:pStyle w:val="75"/>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2．土地资源总量要求：到2025年，江苏省耕地保有量不低于5977万亩，其中永久基本农田保护面积不低于5344万亩。</w:t>
                  </w:r>
                </w:p>
                <w:p w14:paraId="497BB091">
                  <w:pPr>
                    <w:pStyle w:val="75"/>
                    <w:ind w:firstLine="0" w:firstLineChars="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3．禁燃区要求：在禁燃区内，禁止销售、燃用高污染燃料；禁止新建、扩建燃用高污染燃料的设施，已建成的，应当在城市人民政府规定的期限内改用天然气、页岩气、液化石油气、电或者其他清洁能源</w:t>
                  </w:r>
                  <w:r>
                    <w:rPr>
                      <w:rFonts w:hint="default" w:ascii="Times New Roman" w:hAnsi="Times New Roman" w:eastAsia="宋体" w:cs="Times New Roman"/>
                      <w:color w:val="auto"/>
                      <w:sz w:val="21"/>
                      <w:szCs w:val="21"/>
                      <w:highlight w:val="none"/>
                      <w:lang w:eastAsia="zh-CN"/>
                    </w:rPr>
                    <w:t>。</w:t>
                  </w:r>
                </w:p>
              </w:tc>
              <w:tc>
                <w:tcPr>
                  <w:tcW w:w="1475" w:type="pct"/>
                  <w:shd w:val="clear" w:color="auto" w:fill="auto"/>
                  <w:vAlign w:val="center"/>
                </w:tcPr>
                <w:p w14:paraId="5CDD9FB9">
                  <w:pPr>
                    <w:pStyle w:val="2"/>
                    <w:keepNext w:val="0"/>
                    <w:keepLines w:val="0"/>
                    <w:pageBreakBefore w:val="0"/>
                    <w:kinsoku/>
                    <w:wordWrap/>
                    <w:overflowPunct/>
                    <w:topLinePunct w:val="0"/>
                    <w:autoSpaceDE/>
                    <w:autoSpaceDN/>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本项目使用的主要能源为电能</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天然气</w:t>
                  </w:r>
                </w:p>
              </w:tc>
              <w:tc>
                <w:tcPr>
                  <w:tcW w:w="423" w:type="pct"/>
                  <w:vAlign w:val="center"/>
                </w:tcPr>
                <w:p w14:paraId="7ECC694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bl>
          <w:p w14:paraId="366CA82E">
            <w:pPr>
              <w:tabs>
                <w:tab w:val="left" w:pos="6510"/>
              </w:tabs>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1-6</w:t>
            </w:r>
            <w:r>
              <w:rPr>
                <w:rFonts w:hint="default" w:ascii="Times New Roman" w:hAnsi="Times New Roman" w:eastAsia="宋体" w:cs="Times New Roman"/>
                <w:b/>
                <w:bCs/>
                <w:color w:val="auto"/>
                <w:sz w:val="24"/>
                <w:szCs w:val="24"/>
                <w:highlight w:val="none"/>
              </w:rPr>
              <w:t xml:space="preserve">  与优先管控单元的位置关系一览表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63"/>
              <w:gridCol w:w="1975"/>
              <w:gridCol w:w="1523"/>
              <w:gridCol w:w="1846"/>
            </w:tblGrid>
            <w:tr w14:paraId="18908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1" w:type="pct"/>
                  <w:tcBorders>
                    <w:tl2br w:val="nil"/>
                    <w:tr2bl w:val="nil"/>
                  </w:tcBorders>
                  <w:tcMar>
                    <w:top w:w="0" w:type="dxa"/>
                    <w:left w:w="0" w:type="dxa"/>
                    <w:bottom w:w="0" w:type="dxa"/>
                    <w:right w:w="0" w:type="dxa"/>
                  </w:tcMar>
                  <w:vAlign w:val="center"/>
                </w:tcPr>
                <w:p w14:paraId="746ADE92">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管控单元名称</w:t>
                  </w:r>
                </w:p>
              </w:tc>
              <w:tc>
                <w:tcPr>
                  <w:tcW w:w="1174" w:type="pct"/>
                  <w:tcBorders>
                    <w:tl2br w:val="nil"/>
                    <w:tr2bl w:val="nil"/>
                  </w:tcBorders>
                  <w:tcMar>
                    <w:top w:w="0" w:type="dxa"/>
                    <w:left w:w="0" w:type="dxa"/>
                    <w:bottom w:w="0" w:type="dxa"/>
                    <w:right w:w="0" w:type="dxa"/>
                  </w:tcMar>
                  <w:vAlign w:val="center"/>
                </w:tcPr>
                <w:p w14:paraId="6615AC0F">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环境管控单元编码</w:t>
                  </w:r>
                </w:p>
              </w:tc>
              <w:tc>
                <w:tcPr>
                  <w:tcW w:w="905" w:type="pct"/>
                  <w:tcBorders>
                    <w:tl2br w:val="nil"/>
                    <w:tr2bl w:val="nil"/>
                  </w:tcBorders>
                  <w:tcMar>
                    <w:top w:w="0" w:type="dxa"/>
                    <w:left w:w="0" w:type="dxa"/>
                    <w:bottom w:w="0" w:type="dxa"/>
                    <w:right w:w="0" w:type="dxa"/>
                  </w:tcMar>
                  <w:vAlign w:val="center"/>
                </w:tcPr>
                <w:p w14:paraId="461E54BF">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1097" w:type="pct"/>
                  <w:tcBorders>
                    <w:tl2br w:val="nil"/>
                    <w:tr2bl w:val="nil"/>
                  </w:tcBorders>
                  <w:tcMar>
                    <w:top w:w="0" w:type="dxa"/>
                    <w:left w:w="0" w:type="dxa"/>
                    <w:bottom w:w="0" w:type="dxa"/>
                    <w:right w:w="0" w:type="dxa"/>
                  </w:tcMar>
                  <w:vAlign w:val="center"/>
                </w:tcPr>
                <w:p w14:paraId="6FFD7B8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相对厂界最近距离</w:t>
                  </w:r>
                </w:p>
              </w:tc>
            </w:tr>
            <w:tr w14:paraId="1A814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1" w:type="pct"/>
                  <w:tcBorders>
                    <w:tl2br w:val="nil"/>
                    <w:tr2bl w:val="nil"/>
                  </w:tcBorders>
                  <w:tcMar>
                    <w:top w:w="0" w:type="dxa"/>
                    <w:left w:w="0" w:type="dxa"/>
                    <w:bottom w:w="0" w:type="dxa"/>
                    <w:right w:w="0" w:type="dxa"/>
                  </w:tcMar>
                  <w:vAlign w:val="center"/>
                </w:tcPr>
                <w:p w14:paraId="2CF0E13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钱资荡重要湿地</w:t>
                  </w:r>
                </w:p>
              </w:tc>
              <w:tc>
                <w:tcPr>
                  <w:tcW w:w="1174" w:type="pct"/>
                  <w:tcBorders>
                    <w:tl2br w:val="nil"/>
                    <w:tr2bl w:val="nil"/>
                  </w:tcBorders>
                  <w:tcMar>
                    <w:top w:w="0" w:type="dxa"/>
                    <w:left w:w="0" w:type="dxa"/>
                    <w:bottom w:w="0" w:type="dxa"/>
                    <w:right w:w="0" w:type="dxa"/>
                  </w:tcMar>
                  <w:vAlign w:val="center"/>
                </w:tcPr>
                <w:p w14:paraId="62FCEBF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ZH32041310020</w:t>
                  </w:r>
                </w:p>
              </w:tc>
              <w:tc>
                <w:tcPr>
                  <w:tcW w:w="905" w:type="pct"/>
                  <w:tcBorders>
                    <w:tl2br w:val="nil"/>
                    <w:tr2bl w:val="nil"/>
                  </w:tcBorders>
                  <w:tcMar>
                    <w:top w:w="0" w:type="dxa"/>
                    <w:left w:w="0" w:type="dxa"/>
                    <w:bottom w:w="0" w:type="dxa"/>
                    <w:right w:w="0" w:type="dxa"/>
                  </w:tcMar>
                  <w:vAlign w:val="center"/>
                </w:tcPr>
                <w:p w14:paraId="689D0605">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w:t>
                  </w:r>
                </w:p>
              </w:tc>
              <w:tc>
                <w:tcPr>
                  <w:tcW w:w="1097" w:type="pct"/>
                  <w:tcBorders>
                    <w:tl2br w:val="nil"/>
                    <w:tr2bl w:val="nil"/>
                  </w:tcBorders>
                  <w:tcMar>
                    <w:top w:w="0" w:type="dxa"/>
                    <w:left w:w="0" w:type="dxa"/>
                    <w:bottom w:w="0" w:type="dxa"/>
                    <w:right w:w="0" w:type="dxa"/>
                  </w:tcMar>
                  <w:vAlign w:val="center"/>
                </w:tcPr>
                <w:p w14:paraId="22699FEB">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6.9km</w:t>
                  </w:r>
                </w:p>
              </w:tc>
            </w:tr>
            <w:tr w14:paraId="620AA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1" w:type="pct"/>
                  <w:tcBorders>
                    <w:tl2br w:val="nil"/>
                    <w:tr2bl w:val="nil"/>
                  </w:tcBorders>
                  <w:tcMar>
                    <w:top w:w="0" w:type="dxa"/>
                    <w:left w:w="0" w:type="dxa"/>
                    <w:bottom w:w="0" w:type="dxa"/>
                    <w:right w:w="0" w:type="dxa"/>
                  </w:tcMar>
                  <w:vAlign w:val="center"/>
                </w:tcPr>
                <w:p w14:paraId="738E735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江苏金坛长荡湖国家湿地公园</w:t>
                  </w:r>
                </w:p>
              </w:tc>
              <w:tc>
                <w:tcPr>
                  <w:tcW w:w="1174" w:type="pct"/>
                  <w:tcBorders>
                    <w:tl2br w:val="nil"/>
                    <w:tr2bl w:val="nil"/>
                  </w:tcBorders>
                  <w:tcMar>
                    <w:top w:w="0" w:type="dxa"/>
                    <w:left w:w="0" w:type="dxa"/>
                    <w:bottom w:w="0" w:type="dxa"/>
                    <w:right w:w="0" w:type="dxa"/>
                  </w:tcMar>
                  <w:vAlign w:val="center"/>
                </w:tcPr>
                <w:p w14:paraId="78AB67E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ZH32041310001</w:t>
                  </w:r>
                </w:p>
              </w:tc>
              <w:tc>
                <w:tcPr>
                  <w:tcW w:w="905" w:type="pct"/>
                  <w:tcBorders>
                    <w:tl2br w:val="nil"/>
                    <w:tr2bl w:val="nil"/>
                  </w:tcBorders>
                  <w:shd w:val="clear" w:color="auto" w:fill="auto"/>
                  <w:tcMar>
                    <w:top w:w="0" w:type="dxa"/>
                    <w:left w:w="0" w:type="dxa"/>
                    <w:bottom w:w="0" w:type="dxa"/>
                    <w:right w:w="0" w:type="dxa"/>
                  </w:tcMar>
                  <w:vAlign w:val="center"/>
                </w:tcPr>
                <w:p w14:paraId="5B5E4D61">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w:t>
                  </w:r>
                </w:p>
              </w:tc>
              <w:tc>
                <w:tcPr>
                  <w:tcW w:w="1097" w:type="pct"/>
                  <w:tcBorders>
                    <w:tl2br w:val="nil"/>
                    <w:tr2bl w:val="nil"/>
                  </w:tcBorders>
                  <w:shd w:val="clear" w:color="auto" w:fill="auto"/>
                  <w:tcMar>
                    <w:top w:w="0" w:type="dxa"/>
                    <w:left w:w="0" w:type="dxa"/>
                    <w:bottom w:w="0" w:type="dxa"/>
                    <w:right w:w="0" w:type="dxa"/>
                  </w:tcMar>
                  <w:vAlign w:val="center"/>
                </w:tcPr>
                <w:p w14:paraId="1019A1AB">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10.9km</w:t>
                  </w:r>
                </w:p>
              </w:tc>
            </w:tr>
            <w:tr w14:paraId="55909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1" w:type="pct"/>
                  <w:tcBorders>
                    <w:tl2br w:val="nil"/>
                    <w:tr2bl w:val="nil"/>
                  </w:tcBorders>
                  <w:tcMar>
                    <w:top w:w="0" w:type="dxa"/>
                    <w:left w:w="0" w:type="dxa"/>
                    <w:bottom w:w="0" w:type="dxa"/>
                    <w:right w:w="0" w:type="dxa"/>
                  </w:tcMar>
                  <w:vAlign w:val="center"/>
                </w:tcPr>
                <w:p w14:paraId="5347AE2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天荒湖重要渔业水域</w:t>
                  </w:r>
                </w:p>
              </w:tc>
              <w:tc>
                <w:tcPr>
                  <w:tcW w:w="1174" w:type="pct"/>
                  <w:tcBorders>
                    <w:tl2br w:val="nil"/>
                    <w:tr2bl w:val="nil"/>
                  </w:tcBorders>
                  <w:tcMar>
                    <w:top w:w="0" w:type="dxa"/>
                    <w:left w:w="0" w:type="dxa"/>
                    <w:bottom w:w="0" w:type="dxa"/>
                    <w:right w:w="0" w:type="dxa"/>
                  </w:tcMar>
                  <w:vAlign w:val="center"/>
                </w:tcPr>
                <w:p w14:paraId="0FF5EAB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ZH32041310018</w:t>
                  </w:r>
                </w:p>
              </w:tc>
              <w:tc>
                <w:tcPr>
                  <w:tcW w:w="905" w:type="pct"/>
                  <w:tcBorders>
                    <w:tl2br w:val="nil"/>
                    <w:tr2bl w:val="nil"/>
                  </w:tcBorders>
                  <w:tcMar>
                    <w:top w:w="0" w:type="dxa"/>
                    <w:left w:w="0" w:type="dxa"/>
                    <w:bottom w:w="0" w:type="dxa"/>
                    <w:right w:w="0" w:type="dxa"/>
                  </w:tcMar>
                  <w:vAlign w:val="center"/>
                </w:tcPr>
                <w:p w14:paraId="08EA9ECC">
                  <w:pPr>
                    <w:adjustRightInd w:val="0"/>
                    <w:snapToGrid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NW</w:t>
                  </w:r>
                </w:p>
              </w:tc>
              <w:tc>
                <w:tcPr>
                  <w:tcW w:w="1097" w:type="pct"/>
                  <w:tcBorders>
                    <w:tl2br w:val="nil"/>
                    <w:tr2bl w:val="nil"/>
                  </w:tcBorders>
                  <w:tcMar>
                    <w:top w:w="0" w:type="dxa"/>
                    <w:left w:w="0" w:type="dxa"/>
                    <w:bottom w:w="0" w:type="dxa"/>
                    <w:right w:w="0" w:type="dxa"/>
                  </w:tcMar>
                  <w:vAlign w:val="center"/>
                </w:tcPr>
                <w:p w14:paraId="3517051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9.9km</w:t>
                  </w:r>
                </w:p>
              </w:tc>
            </w:tr>
          </w:tbl>
          <w:p w14:paraId="4908A8CC">
            <w:pPr>
              <w:adjustRightInd w:val="0"/>
              <w:snapToGrid w:val="0"/>
              <w:spacing w:line="500" w:lineRule="exact"/>
              <w:ind w:firstLine="480"/>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lang w:eastAsia="zh-CN"/>
              </w:rPr>
              <w:t>常州市生态环境分区管控</w:t>
            </w:r>
            <w:r>
              <w:rPr>
                <w:rFonts w:hint="default" w:ascii="Times New Roman" w:hAnsi="Times New Roman" w:eastAsia="宋体" w:cs="Times New Roman"/>
                <w:b/>
                <w:bCs/>
                <w:color w:val="auto"/>
                <w:kern w:val="0"/>
                <w:sz w:val="24"/>
                <w:szCs w:val="24"/>
                <w:highlight w:val="none"/>
                <w:lang w:val="en-US" w:eastAsia="zh-CN"/>
              </w:rPr>
              <w:t>”符合性分析</w:t>
            </w:r>
          </w:p>
          <w:p w14:paraId="662BB2E9">
            <w:pPr>
              <w:adjustRightInd w:val="0"/>
              <w:snapToGrid w:val="0"/>
              <w:spacing w:line="500" w:lineRule="exact"/>
              <w:ind w:firstLine="480"/>
              <w:rPr>
                <w:rFonts w:hint="default" w:ascii="Times New Roman" w:hAnsi="Times New Roman" w:eastAsia="宋体" w:cs="Times New Roman"/>
                <w:b/>
                <w:color w:val="auto"/>
                <w:kern w:val="0"/>
                <w:sz w:val="24"/>
                <w:szCs w:val="24"/>
                <w:highlight w:val="none"/>
              </w:rPr>
            </w:pPr>
            <w:bookmarkStart w:id="0" w:name="OLE_LINK4"/>
            <w:r>
              <w:rPr>
                <w:rFonts w:hint="default" w:ascii="Times New Roman" w:hAnsi="Times New Roman" w:eastAsia="宋体" w:cs="Times New Roman"/>
                <w:color w:val="auto"/>
                <w:kern w:val="0"/>
                <w:sz w:val="24"/>
                <w:szCs w:val="24"/>
                <w:highlight w:val="none"/>
              </w:rPr>
              <w:t>本项目位于</w:t>
            </w:r>
            <w:r>
              <w:rPr>
                <w:rFonts w:hint="eastAsia" w:ascii="Times New Roman" w:hAnsi="Times New Roman" w:eastAsia="宋体" w:cs="Times New Roman"/>
                <w:color w:val="auto"/>
                <w:kern w:val="0"/>
                <w:sz w:val="24"/>
                <w:szCs w:val="24"/>
                <w:highlight w:val="none"/>
                <w:lang w:eastAsia="zh-CN"/>
              </w:rPr>
              <w:t>常州市金坛区晨风路1136号（金坛控股中南高科创新园）14幢</w:t>
            </w:r>
            <w:r>
              <w:rPr>
                <w:rFonts w:hint="default" w:ascii="Times New Roman" w:hAnsi="Times New Roman" w:eastAsia="宋体" w:cs="Times New Roman"/>
                <w:color w:val="auto"/>
                <w:kern w:val="0"/>
                <w:sz w:val="24"/>
                <w:szCs w:val="24"/>
                <w:highlight w:val="none"/>
              </w:rPr>
              <w:t>，位于江苏金坛经济开发区，根据《常州市生态环境分区管控动态更新成果（2023年版）公告》，该区域属于重点管控单元，具体环境管控单元准入清单见下表。</w:t>
            </w:r>
          </w:p>
          <w:p w14:paraId="0883EA7E">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eastAsia"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 xml:space="preserve">  与“常州市生态环境分区管控总体要求”相符性分析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465"/>
              <w:gridCol w:w="2481"/>
              <w:gridCol w:w="711"/>
            </w:tblGrid>
            <w:tr w14:paraId="0DC8B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44084BF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管控类别</w:t>
                  </w:r>
                </w:p>
              </w:tc>
              <w:tc>
                <w:tcPr>
                  <w:tcW w:w="2655" w:type="pct"/>
                  <w:vAlign w:val="center"/>
                </w:tcPr>
                <w:p w14:paraId="49208F0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重点管控要求</w:t>
                  </w:r>
                </w:p>
              </w:tc>
              <w:tc>
                <w:tcPr>
                  <w:tcW w:w="1475" w:type="pct"/>
                  <w:vAlign w:val="center"/>
                </w:tcPr>
                <w:p w14:paraId="0DD0404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对照分析</w:t>
                  </w:r>
                </w:p>
              </w:tc>
              <w:tc>
                <w:tcPr>
                  <w:tcW w:w="423" w:type="pct"/>
                  <w:vAlign w:val="center"/>
                </w:tcPr>
                <w:p w14:paraId="441D5F3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67534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8" w:hRule="atLeast"/>
                <w:jc w:val="center"/>
              </w:trPr>
              <w:tc>
                <w:tcPr>
                  <w:tcW w:w="446" w:type="pct"/>
                  <w:vAlign w:val="center"/>
                </w:tcPr>
                <w:p w14:paraId="64BBE2F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4281" w:type="dxa"/>
                  <w:vAlign w:val="center"/>
                </w:tcPr>
                <w:p w14:paraId="7294CB6A">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（1）严格执行《江苏省“三线一单”生态环境分区管控方案》（苏政发〔2020〕49号）附件3江苏省省域生态环境管控要求中“空间布局约束”的相关要求。</w:t>
                  </w:r>
                </w:p>
                <w:p w14:paraId="3E29654A">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（2）严格执行《关于印发各设区市2023年深入打好污染防治攻坚战目标任务书的通知》（苏污防攻坚指办〔2023〕53号）《2023年常州市生态文明建设工作方案》（常政发〔2023〕23号）等文件要求。</w:t>
                  </w:r>
                </w:p>
                <w:p w14:paraId="700E7DBA">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5F387171">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475" w:type="pct"/>
                  <w:vAlign w:val="center"/>
                </w:tcPr>
                <w:p w14:paraId="1D83F90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1、本项目满足《江苏省“三线一单”生态环境分区管控方案》（苏政发〔2020〕49号）附件3江苏省省域生态环境管控要求中“空间布局约束”的相关要求；</w:t>
                  </w:r>
                </w:p>
                <w:p w14:paraId="3B925B4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2、本项目满足《关于印发各设区市2023年深入打好污染防治攻坚战目标任务书的通知》（苏污防攻坚指办〔2023〕53号）《2023年常州市生态文明建设工作方案》（常政发〔2023〕23号）等文件要求；</w:t>
                  </w:r>
                </w:p>
                <w:p w14:paraId="6B38E17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3、本项目不属于管控要求中所列相关禁止类或淘汰类产业；</w:t>
                  </w:r>
                </w:p>
                <w:p w14:paraId="26C2AC5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，不在长江干支流1公里范围内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长江干流岸线三公里范围内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太湖流域三级保护区内</w:t>
                  </w:r>
                  <w:r>
                    <w:rPr>
                      <w:rFonts w:hint="default" w:ascii="Times New Roman" w:hAnsi="Times New Roman" w:eastAsia="宋体" w:cs="Times New Roman"/>
                      <w:color w:val="auto"/>
                      <w:sz w:val="21"/>
                      <w:szCs w:val="21"/>
                      <w:highlight w:val="none"/>
                      <w:lang w:eastAsia="zh-CN"/>
                    </w:rPr>
                    <w:t>。</w:t>
                  </w:r>
                </w:p>
              </w:tc>
              <w:tc>
                <w:tcPr>
                  <w:tcW w:w="423" w:type="pct"/>
                  <w:vAlign w:val="center"/>
                </w:tcPr>
                <w:p w14:paraId="1DC6C14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18A84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37EC7D1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4281" w:type="dxa"/>
                  <w:vAlign w:val="center"/>
                </w:tcPr>
                <w:p w14:paraId="5FFADF7E">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7858FD67">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75" w:type="pct"/>
                  <w:vAlign w:val="center"/>
                </w:tcPr>
                <w:p w14:paraId="37E859D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生产废水经污水处理站处理后回用</w:t>
                  </w:r>
                  <w:r>
                    <w:rPr>
                      <w:rFonts w:hint="default" w:ascii="Times New Roman" w:hAnsi="Times New Roman" w:eastAsia="宋体" w:cs="Times New Roman"/>
                      <w:bCs/>
                      <w:color w:val="auto"/>
                      <w:sz w:val="21"/>
                      <w:szCs w:val="21"/>
                      <w:highlight w:val="none"/>
                    </w:rPr>
                    <w:t>，生活污水</w:t>
                  </w:r>
                  <w:r>
                    <w:rPr>
                      <w:rFonts w:hint="default" w:ascii="Times New Roman" w:hAnsi="Times New Roman" w:eastAsia="宋体" w:cs="Times New Roman"/>
                      <w:bCs/>
                      <w:color w:val="auto"/>
                      <w:sz w:val="21"/>
                      <w:szCs w:val="21"/>
                      <w:highlight w:val="none"/>
                      <w:lang w:val="en-US" w:eastAsia="zh-CN"/>
                    </w:rPr>
                    <w:t>接管至</w:t>
                  </w:r>
                  <w:r>
                    <w:rPr>
                      <w:rFonts w:hint="default" w:ascii="Times New Roman" w:hAnsi="Times New Roman" w:eastAsia="宋体" w:cs="Times New Roman"/>
                      <w:bCs/>
                      <w:color w:val="auto"/>
                      <w:sz w:val="21"/>
                      <w:szCs w:val="21"/>
                      <w:highlight w:val="none"/>
                    </w:rPr>
                    <w:t>常州市金坛区第二污水处理厂集中处理，总量在污水处理厂内平衡</w:t>
                  </w:r>
                  <w:r>
                    <w:rPr>
                      <w:rFonts w:hint="eastAsia"/>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打磨废气在打磨室内密闭收集，喷砂废气在设备内密闭收集，两股废气各自收集后合并通过1#旋风除尘器+滤筒除尘器处理，手工喷粉废气经下吸风收集后通过2#旋风除尘器+滤筒除尘器处理，自动喷粉废气经下吸风收集后通过3#旋风除尘器+滤筒除尘器处理，四股废气经处理后最终由一根25m高的排气筒FQ-1排放；天然气采用低氮燃烧器燃烧，</w:t>
                  </w:r>
                  <w:r>
                    <w:rPr>
                      <w:rFonts w:hint="eastAsia" w:ascii="Times New Roman" w:hAnsi="Times New Roman" w:eastAsia="宋体" w:cs="Times New Roman"/>
                      <w:color w:val="auto"/>
                      <w:sz w:val="21"/>
                      <w:szCs w:val="21"/>
                      <w:highlight w:val="none"/>
                      <w:lang w:eastAsia="zh-CN"/>
                    </w:rPr>
                    <w:t>燃烧废气、固化废气</w:t>
                  </w:r>
                  <w:r>
                    <w:rPr>
                      <w:rFonts w:hint="default" w:ascii="Times New Roman" w:hAnsi="Times New Roman" w:eastAsia="宋体" w:cs="Times New Roman"/>
                      <w:color w:val="auto"/>
                      <w:sz w:val="21"/>
                      <w:szCs w:val="21"/>
                      <w:highlight w:val="none"/>
                    </w:rPr>
                    <w:t>经烘道两端的集气罩收集后通过1#二级活性炭吸附装置处理，由一根25m高的排气筒FQ-2排放。打胶废气在打胶室密闭收集后通过2#二级活性炭吸附装置处理，由一根25m高的排气筒FQ-3排放</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焊接烟尘、切割烟尘经移动式烟尘净化器处理后无组织排放。</w:t>
                  </w:r>
                  <w:r>
                    <w:rPr>
                      <w:rFonts w:hint="default" w:ascii="Times New Roman" w:hAnsi="Times New Roman" w:eastAsia="宋体" w:cs="Times New Roman"/>
                      <w:bCs/>
                      <w:color w:val="auto"/>
                      <w:sz w:val="21"/>
                      <w:szCs w:val="21"/>
                      <w:highlight w:val="none"/>
                      <w:lang w:eastAsia="zh-CN"/>
                    </w:rPr>
                    <w:t>对周围环境影响较小。</w:t>
                  </w:r>
                </w:p>
              </w:tc>
              <w:tc>
                <w:tcPr>
                  <w:tcW w:w="423" w:type="pct"/>
                  <w:vAlign w:val="center"/>
                </w:tcPr>
                <w:p w14:paraId="76928AE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099FC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7C4F78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4281" w:type="dxa"/>
                  <w:vAlign w:val="center"/>
                </w:tcPr>
                <w:p w14:paraId="47184674">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（1）严格执行《江苏省“三线一单”生态环境分区管控方案》（苏政发〔2020〕49号）附件3江苏省省域生态环境管控要求中“环境风险防控”的相关要求。</w:t>
                  </w:r>
                </w:p>
                <w:p w14:paraId="18ABDC1B">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42C40C17">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（3）强化饮用水水源环境风险管控，建成应急水源工程。</w:t>
                  </w:r>
                </w:p>
                <w:p w14:paraId="64E47BC6">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54EE33E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1、本项目将严格执行《江苏省“三线一单”生态环境分区管控方案》（苏政发〔2020〕49号）附件3江苏省省域生态环境管控要求中“环境风险防控”的相关要求。</w:t>
                  </w:r>
                </w:p>
                <w:p w14:paraId="331A086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2、</w:t>
                  </w:r>
                  <w:r>
                    <w:rPr>
                      <w:rFonts w:hint="default"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，不在长江沿江1公里范围内。</w:t>
                  </w:r>
                </w:p>
                <w:p w14:paraId="1C8E19E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0BBE66D3">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43131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4673EF70">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资源利用效率要求</w:t>
                  </w:r>
                </w:p>
              </w:tc>
              <w:tc>
                <w:tcPr>
                  <w:tcW w:w="4281" w:type="dxa"/>
                  <w:vAlign w:val="center"/>
                </w:tcPr>
                <w:p w14:paraId="1A5EC61D">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7D5C8078">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（2）根据《常州市国土空间总体规划（2021-2035年）（上报稿）》，永久基本农田实际划定是7.53万公顷，2035年任务量为7.66万公顷。</w:t>
                  </w:r>
                </w:p>
                <w:p w14:paraId="2F465341">
                  <w:pPr>
                    <w:pStyle w:val="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07DCE302">
                  <w:pPr>
                    <w:pStyle w:val="75"/>
                    <w:ind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75" w:type="pct"/>
                  <w:vAlign w:val="center"/>
                </w:tcPr>
                <w:p w14:paraId="3D1AE327">
                  <w:pPr>
                    <w:pStyle w:val="2"/>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本项目使用的主要能源为电能</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天然气</w:t>
                  </w:r>
                </w:p>
              </w:tc>
              <w:tc>
                <w:tcPr>
                  <w:tcW w:w="423" w:type="pct"/>
                  <w:vAlign w:val="center"/>
                </w:tcPr>
                <w:p w14:paraId="74D41D4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bookmarkEnd w:id="0"/>
          </w:tbl>
          <w:p w14:paraId="2F2403FE">
            <w:pPr>
              <w:spacing w:line="500" w:lineRule="exact"/>
              <w:jc w:val="center"/>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 xml:space="preserve">表1-8  </w:t>
            </w:r>
            <w:r>
              <w:rPr>
                <w:rFonts w:hint="default" w:ascii="Times New Roman" w:hAnsi="Times New Roman" w:eastAsia="宋体" w:cs="Times New Roman"/>
                <w:b/>
                <w:bCs/>
                <w:color w:val="auto"/>
                <w:sz w:val="24"/>
                <w:szCs w:val="24"/>
                <w:highlight w:val="none"/>
              </w:rPr>
              <w:t>与</w:t>
            </w:r>
            <w:r>
              <w:rPr>
                <w:rFonts w:hint="eastAsia" w:ascii="Times New Roman" w:hAnsi="Times New Roman" w:eastAsia="宋体" w:cs="Times New Roman"/>
                <w:b/>
                <w:bCs/>
                <w:color w:val="auto"/>
                <w:sz w:val="24"/>
                <w:szCs w:val="24"/>
                <w:highlight w:val="none"/>
                <w:lang w:val="en-US" w:eastAsia="zh-CN"/>
              </w:rPr>
              <w:t>现行</w:t>
            </w:r>
            <w:r>
              <w:rPr>
                <w:rFonts w:hint="default" w:ascii="Times New Roman" w:hAnsi="Times New Roman" w:eastAsia="宋体" w:cs="Times New Roman"/>
                <w:b/>
                <w:bCs/>
                <w:color w:val="auto"/>
                <w:sz w:val="24"/>
                <w:szCs w:val="24"/>
                <w:highlight w:val="none"/>
              </w:rPr>
              <w:t>江苏金坛经济开发区生态环境准入清单符合性预判情况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4089"/>
              <w:gridCol w:w="2423"/>
              <w:gridCol w:w="962"/>
            </w:tblGrid>
            <w:tr w14:paraId="05F3F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553" w:type="pct"/>
                  <w:tcBorders>
                    <w:tl2br w:val="nil"/>
                    <w:tr2bl w:val="nil"/>
                  </w:tcBorders>
                  <w:vAlign w:val="center"/>
                </w:tcPr>
                <w:p w14:paraId="4D523795">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432" w:type="pct"/>
                  <w:tcBorders>
                    <w:tl2br w:val="nil"/>
                    <w:tr2bl w:val="nil"/>
                  </w:tcBorders>
                  <w:vAlign w:val="center"/>
                </w:tcPr>
                <w:p w14:paraId="1D740611">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生态环境准入清单</w:t>
                  </w:r>
                </w:p>
              </w:tc>
              <w:tc>
                <w:tcPr>
                  <w:tcW w:w="1441" w:type="pct"/>
                  <w:tcBorders>
                    <w:tl2br w:val="nil"/>
                    <w:tr2bl w:val="nil"/>
                  </w:tcBorders>
                  <w:vAlign w:val="center"/>
                </w:tcPr>
                <w:p w14:paraId="1AFD6FC8">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72" w:type="pct"/>
                  <w:tcBorders>
                    <w:tl2br w:val="nil"/>
                    <w:tr2bl w:val="nil"/>
                  </w:tcBorders>
                  <w:vAlign w:val="center"/>
                </w:tcPr>
                <w:p w14:paraId="5DFB6FB4">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16227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75B284AC">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432" w:type="pct"/>
                  <w:tcBorders>
                    <w:tl2br w:val="nil"/>
                    <w:tr2bl w:val="nil"/>
                  </w:tcBorders>
                  <w:vAlign w:val="center"/>
                </w:tcPr>
                <w:p w14:paraId="47859249">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（1）禁止引入纺织服装中废水排放量较大的纯印染和纯染整类企业（除金坛时尚织染集聚区）。</w:t>
                  </w:r>
                </w:p>
                <w:p w14:paraId="356DD60E">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5C019D4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（3）禁止引入化工中与盐化工及下游产品生产不相关的化工项目。</w:t>
                  </w:r>
                </w:p>
                <w:p w14:paraId="062E5E4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（4）禁止引入新材料产业中太阳能电池切片生产项目。</w:t>
                  </w:r>
                </w:p>
                <w:p w14:paraId="0C07CED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（5）禁止引入化工新材料中钢铁等传统型金属材料；水泥等传统型非金属材料。</w:t>
                  </w:r>
                </w:p>
                <w:p w14:paraId="680B53DC">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（6）禁止引入新医药产业中不符合GMP要求的安瓿拉丝灌封机、劳动保护、安瓿灌装注射用无菌粉末、非易折安瓿等。</w:t>
                  </w:r>
                </w:p>
              </w:tc>
              <w:tc>
                <w:tcPr>
                  <w:tcW w:w="1441" w:type="pct"/>
                  <w:tcBorders>
                    <w:tl2br w:val="nil"/>
                    <w:tr2bl w:val="nil"/>
                  </w:tcBorders>
                  <w:vAlign w:val="center"/>
                </w:tcPr>
                <w:p w14:paraId="06E64502">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本项目国民经济行业类别属于</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C3823配电开关控制设备制造、C3825光伏设备及元器件制造</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本项目工艺主要为机加工、前处理、喷粉，</w:t>
                  </w:r>
                  <w:r>
                    <w:rPr>
                      <w:rFonts w:hint="default" w:ascii="Times New Roman" w:hAnsi="Times New Roman" w:eastAsia="宋体" w:cs="Times New Roman"/>
                      <w:color w:val="auto"/>
                      <w:sz w:val="21"/>
                      <w:szCs w:val="21"/>
                      <w:highlight w:val="none"/>
                    </w:rPr>
                    <w:t>不属于以上禁止类别，符合空间布局约束要求。</w:t>
                  </w:r>
                </w:p>
              </w:tc>
              <w:tc>
                <w:tcPr>
                  <w:tcW w:w="572" w:type="pct"/>
                  <w:tcBorders>
                    <w:tl2br w:val="nil"/>
                    <w:tr2bl w:val="nil"/>
                  </w:tcBorders>
                  <w:vAlign w:val="center"/>
                </w:tcPr>
                <w:p w14:paraId="3E1D8C03">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1B4B7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1C783B4E">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432" w:type="pct"/>
                  <w:tcBorders>
                    <w:tl2br w:val="nil"/>
                    <w:tr2bl w:val="nil"/>
                  </w:tcBorders>
                  <w:vAlign w:val="center"/>
                </w:tcPr>
                <w:p w14:paraId="2D2BF8B8">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（1）严格实施污染物总量控制制度，根据区域环境质量改善目标，采取有效措施减少主要污染物排放总量，确保区域环境质量持续改善。</w:t>
                  </w:r>
                </w:p>
                <w:p w14:paraId="7550E99E">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（2）园区污染物排放总量不得突破环评报告及批复的总量。</w:t>
                  </w:r>
                </w:p>
              </w:tc>
              <w:tc>
                <w:tcPr>
                  <w:tcW w:w="1441" w:type="pct"/>
                  <w:tcBorders>
                    <w:tl2br w:val="nil"/>
                    <w:tr2bl w:val="nil"/>
                  </w:tcBorders>
                  <w:vAlign w:val="center"/>
                </w:tcPr>
                <w:p w14:paraId="1DEEB16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废气采取相应的污染防治措施进行处理后达标排放，厂区生活污水接管入金坛区第二污水处理厂。目前，本项目处于环评编制阶段，在环评审批前将严格落实主要污染物排放总量指标控制制度，取得主要污染物排放总量的控制指标和平衡方案，故符合文件要求。</w:t>
                  </w:r>
                </w:p>
              </w:tc>
              <w:tc>
                <w:tcPr>
                  <w:tcW w:w="572" w:type="pct"/>
                  <w:tcBorders>
                    <w:tl2br w:val="nil"/>
                    <w:tr2bl w:val="nil"/>
                  </w:tcBorders>
                  <w:vAlign w:val="center"/>
                </w:tcPr>
                <w:p w14:paraId="4210574A">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5D430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227EEC13">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432" w:type="pct"/>
                  <w:tcBorders>
                    <w:tl2br w:val="nil"/>
                    <w:tr2bl w:val="nil"/>
                  </w:tcBorders>
                  <w:vAlign w:val="center"/>
                </w:tcPr>
                <w:p w14:paraId="2F24BC5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（1）园区建立环境应急体系，完善事故应急救援体系，加强应急物资装备储备，编制突发环境事件应急预案，定期开展演练。</w:t>
                  </w:r>
                </w:p>
                <w:p w14:paraId="0DAFCD05">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441" w:type="pct"/>
                  <w:tcBorders>
                    <w:tl2br w:val="nil"/>
                    <w:tr2bl w:val="nil"/>
                  </w:tcBorders>
                  <w:vAlign w:val="center"/>
                </w:tcPr>
                <w:p w14:paraId="274DAE2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本项目在生产过程中建立事故应急救援体系，加强应急物资装备储备，编制突发环境事件应急预案，定期开展演练，与园区环境应急体系衔接。</w:t>
                  </w:r>
                </w:p>
              </w:tc>
              <w:tc>
                <w:tcPr>
                  <w:tcW w:w="572" w:type="pct"/>
                  <w:tcBorders>
                    <w:tl2br w:val="nil"/>
                    <w:tr2bl w:val="nil"/>
                  </w:tcBorders>
                  <w:vAlign w:val="center"/>
                </w:tcPr>
                <w:p w14:paraId="0AFFF600">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64234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76DCD7D2">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资源开发效率要求</w:t>
                  </w:r>
                </w:p>
              </w:tc>
              <w:tc>
                <w:tcPr>
                  <w:tcW w:w="2432" w:type="pct"/>
                  <w:tcBorders>
                    <w:tl2br w:val="nil"/>
                    <w:tr2bl w:val="nil"/>
                  </w:tcBorders>
                  <w:vAlign w:val="center"/>
                </w:tcPr>
                <w:p w14:paraId="59F9F54C">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（1）大力倡导使用清洁能源。</w:t>
                  </w:r>
                </w:p>
                <w:p w14:paraId="2C1C433A">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（2）提升废水资源化技术，提高水资源回用率。</w:t>
                  </w:r>
                </w:p>
                <w:p w14:paraId="4402297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（3）严禁自建燃煤设施。</w:t>
                  </w:r>
                </w:p>
              </w:tc>
              <w:tc>
                <w:tcPr>
                  <w:tcW w:w="1441" w:type="pct"/>
                  <w:tcBorders>
                    <w:tl2br w:val="nil"/>
                    <w:tr2bl w:val="nil"/>
                  </w:tcBorders>
                  <w:vAlign w:val="center"/>
                </w:tcPr>
                <w:p w14:paraId="343F662A">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本项目使用电</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rPr>
                    <w:t>作为能源，厂区生活污水达标接管入金坛区第二污水处理厂，无燃煤设施。</w:t>
                  </w:r>
                </w:p>
              </w:tc>
              <w:tc>
                <w:tcPr>
                  <w:tcW w:w="572" w:type="pct"/>
                  <w:tcBorders>
                    <w:tl2br w:val="nil"/>
                    <w:tr2bl w:val="nil"/>
                  </w:tcBorders>
                  <w:vAlign w:val="center"/>
                </w:tcPr>
                <w:p w14:paraId="7F95D920">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bl>
          <w:p w14:paraId="3FDE9AA2">
            <w:pPr>
              <w:spacing w:line="500" w:lineRule="exact"/>
              <w:jc w:val="center"/>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 xml:space="preserve">表1-9  </w:t>
            </w:r>
            <w:r>
              <w:rPr>
                <w:rFonts w:hint="default" w:ascii="Times New Roman" w:hAnsi="Times New Roman" w:eastAsia="宋体" w:cs="Times New Roman"/>
                <w:b/>
                <w:bCs/>
                <w:color w:val="auto"/>
                <w:sz w:val="24"/>
                <w:szCs w:val="24"/>
                <w:highlight w:val="none"/>
              </w:rPr>
              <w:t>与</w:t>
            </w:r>
            <w:r>
              <w:rPr>
                <w:rFonts w:hint="eastAsia" w:ascii="Times New Roman" w:hAnsi="Times New Roman" w:eastAsia="宋体" w:cs="Times New Roman"/>
                <w:b/>
                <w:bCs/>
                <w:color w:val="auto"/>
                <w:sz w:val="24"/>
                <w:szCs w:val="24"/>
                <w:highlight w:val="none"/>
                <w:lang w:val="en-US" w:eastAsia="zh-CN"/>
              </w:rPr>
              <w:t>编制中的</w:t>
            </w:r>
            <w:r>
              <w:rPr>
                <w:rFonts w:hint="default" w:ascii="Times New Roman" w:hAnsi="Times New Roman" w:eastAsia="宋体" w:cs="Times New Roman"/>
                <w:b/>
                <w:bCs/>
                <w:color w:val="auto"/>
                <w:sz w:val="24"/>
                <w:szCs w:val="24"/>
                <w:highlight w:val="none"/>
              </w:rPr>
              <w:t>江苏金坛经济开发区生态环境准入清单符合性预判情况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4089"/>
              <w:gridCol w:w="2423"/>
              <w:gridCol w:w="962"/>
            </w:tblGrid>
            <w:tr w14:paraId="615C2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42575F6D">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432" w:type="pct"/>
                  <w:tcBorders>
                    <w:tl2br w:val="nil"/>
                    <w:tr2bl w:val="nil"/>
                  </w:tcBorders>
                  <w:vAlign w:val="center"/>
                </w:tcPr>
                <w:p w14:paraId="60BEBC3B">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生态环境准入清单</w:t>
                  </w:r>
                </w:p>
              </w:tc>
              <w:tc>
                <w:tcPr>
                  <w:tcW w:w="1441" w:type="pct"/>
                  <w:tcBorders>
                    <w:tl2br w:val="nil"/>
                    <w:tr2bl w:val="nil"/>
                  </w:tcBorders>
                  <w:vAlign w:val="center"/>
                </w:tcPr>
                <w:p w14:paraId="0BC1F9B4">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72" w:type="pct"/>
                  <w:tcBorders>
                    <w:tl2br w:val="nil"/>
                    <w:tr2bl w:val="nil"/>
                  </w:tcBorders>
                  <w:vAlign w:val="center"/>
                </w:tcPr>
                <w:p w14:paraId="149449C6">
                  <w:pPr>
                    <w:pStyle w:val="51"/>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0B46A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6B538F20">
                  <w:pPr>
                    <w:pStyle w:val="51"/>
                    <w:snapToGrid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项目准入</w:t>
                  </w:r>
                </w:p>
              </w:tc>
              <w:tc>
                <w:tcPr>
                  <w:tcW w:w="2432" w:type="pct"/>
                  <w:tcBorders>
                    <w:tl2br w:val="nil"/>
                    <w:tr2bl w:val="nil"/>
                  </w:tcBorders>
                  <w:vAlign w:val="center"/>
                </w:tcPr>
                <w:p w14:paraId="224DF738">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优先引入</w:t>
                  </w:r>
                  <w:r>
                    <w:rPr>
                      <w:rFonts w:hint="eastAsia" w:ascii="Times New Roman" w:hAnsi="Times New Roman" w:eastAsia="宋体" w:cs="Times New Roman"/>
                      <w:color w:val="auto"/>
                      <w:sz w:val="21"/>
                      <w:szCs w:val="21"/>
                      <w:highlight w:val="none"/>
                      <w:lang w:eastAsia="zh-CN"/>
                    </w:rPr>
                    <w:t>：</w:t>
                  </w:r>
                </w:p>
                <w:p w14:paraId="34F4550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1、新能源产业：重点发展光伏产业，支持发展光能、风能、氢能等新能源产业和储能产业；</w:t>
                  </w:r>
                </w:p>
                <w:p w14:paraId="5299D48A">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2、新能源汽车产业：发展以正负极、隔膜等动力电池配套材料为主的产业，积极向产业链上游探索发展新能源整车制造、动力电池、驱动电机、电控系统等领域产业；</w:t>
                  </w:r>
                </w:p>
                <w:p w14:paraId="7429DF3D">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3、新智能产业：积极培育新智能、新基建等高端装备制造业，围绕新能源装备配套制造产业，重点关注减速机、智能装备、充换电、储能装备；</w:t>
                  </w:r>
                </w:p>
                <w:p w14:paraId="61115BEA">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4、新医药产业：生物技术开发、医药生产、医疗器械制造；</w:t>
                  </w:r>
                </w:p>
                <w:p w14:paraId="0FD6C5C1">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5、新材料产业：高端结构材料、先进高分子材料、高性能复合材料、前沿新材料、3D 打印材料。</w:t>
                  </w:r>
                </w:p>
                <w:p w14:paraId="2CD700D2">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禁止引入：</w:t>
                  </w:r>
                </w:p>
                <w:p w14:paraId="2BC2E1C8">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1、禁止引入《产业结构调整指导目录（2024年本）》及其他国家和地方产业政策中淘汰或禁止类的建设项目和工艺。</w:t>
                  </w:r>
                </w:p>
                <w:p w14:paraId="37743203">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2、禁止引入不符合《江苏省太湖水污染防治条例》、《长江经济带发展负面清单指南（试行）》、《长江经济带发展负面清单指南（试行）江苏省实施细则》的企业或项目；</w:t>
                  </w:r>
                </w:p>
                <w:p w14:paraId="6C4C4DAB">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3、禁止新建钢铁、煤电、化工、印染项目；</w:t>
                  </w:r>
                </w:p>
                <w:p w14:paraId="2B948D18">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4、禁止引入危险化学品仓储企业；</w:t>
                  </w:r>
                </w:p>
                <w:p w14:paraId="71409FB0">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5、禁止引入国家、省相关文件中规定的高耗能、高排放项目；</w:t>
                  </w:r>
                </w:p>
                <w:p w14:paraId="14861CC7">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6、新能源、新能源汽车，新智能：禁止引入排放重点重金属（铅、汞、镉、铬、砷）的重点行业项目；禁止建设使用高VOCs含量的溶剂型涂料、油墨、胶粘剂等项目（具有不可替代性除外）。</w:t>
                  </w:r>
                </w:p>
                <w:p w14:paraId="282ACF20">
                  <w:pPr>
                    <w:pStyle w:val="51"/>
                    <w:snapToGrid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新医药：禁止引进医药中间体、排放列入名录的恶臭气体（生物发酵的除外）的项目；禁止引进化学合成原料药的中试及生产项目（以生物发酵为起始工艺或者以生物发酵产品为原料进行后续化学反应生产的原料药除外）；</w:t>
                  </w:r>
                </w:p>
                <w:p w14:paraId="160D74B7">
                  <w:pPr>
                    <w:pStyle w:val="51"/>
                    <w:snapToGrid w:val="0"/>
                    <w:spacing w:line="240" w:lineRule="auto"/>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8、新材料：禁止引入化工类新材料项目。</w:t>
                  </w:r>
                </w:p>
              </w:tc>
              <w:tc>
                <w:tcPr>
                  <w:tcW w:w="1441" w:type="pct"/>
                  <w:tcBorders>
                    <w:tl2br w:val="nil"/>
                    <w:tr2bl w:val="nil"/>
                  </w:tcBorders>
                  <w:vAlign w:val="center"/>
                </w:tcPr>
                <w:p w14:paraId="2F0971B6">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本项目生产光伏组件及电力设备，主要用作各类太阳能光伏设备及电力设备的外壳</w:t>
                  </w:r>
                  <w:r>
                    <w:rPr>
                      <w:rFonts w:hint="default" w:ascii="Times New Roman" w:hAnsi="Times New Roman" w:eastAsia="宋体" w:cs="Times New Roman"/>
                      <w:color w:val="auto"/>
                      <w:sz w:val="21"/>
                      <w:szCs w:val="21"/>
                      <w:highlight w:val="none"/>
                      <w:lang w:val="en-US" w:eastAsia="zh-CN"/>
                    </w:rPr>
                    <w:t>，属于</w:t>
                  </w:r>
                  <w:r>
                    <w:rPr>
                      <w:rFonts w:hint="eastAsia" w:ascii="Times New Roman" w:hAnsi="Times New Roman" w:eastAsia="宋体" w:cs="Times New Roman"/>
                      <w:color w:val="auto"/>
                      <w:sz w:val="21"/>
                      <w:szCs w:val="21"/>
                      <w:highlight w:val="none"/>
                      <w:lang w:val="en-US" w:eastAsia="zh-CN"/>
                    </w:rPr>
                    <w:t>新能源配套产业</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符合开发区</w:t>
                  </w:r>
                  <w:r>
                    <w:rPr>
                      <w:rFonts w:hint="eastAsia" w:ascii="Times New Roman" w:hAnsi="Times New Roman" w:eastAsia="宋体" w:cs="Times New Roman"/>
                      <w:color w:val="auto"/>
                      <w:sz w:val="21"/>
                      <w:szCs w:val="21"/>
                      <w:highlight w:val="none"/>
                      <w:lang w:val="en-US" w:eastAsia="zh-CN"/>
                    </w:rPr>
                    <w:t>新能源</w:t>
                  </w:r>
                  <w:r>
                    <w:rPr>
                      <w:rFonts w:hint="default" w:ascii="Times New Roman" w:hAnsi="Times New Roman" w:eastAsia="宋体" w:cs="Times New Roman"/>
                      <w:color w:val="auto"/>
                      <w:sz w:val="21"/>
                      <w:szCs w:val="21"/>
                      <w:highlight w:val="none"/>
                      <w:lang w:val="en-US" w:eastAsia="zh-CN"/>
                    </w:rPr>
                    <w:t>产业</w:t>
                  </w:r>
                  <w:r>
                    <w:rPr>
                      <w:rFonts w:hint="default" w:ascii="Times New Roman" w:hAnsi="Times New Roman" w:eastAsia="宋体" w:cs="Times New Roman"/>
                      <w:color w:val="auto"/>
                      <w:sz w:val="21"/>
                      <w:szCs w:val="21"/>
                      <w:highlight w:val="none"/>
                    </w:rPr>
                    <w:t>定位。</w:t>
                  </w:r>
                </w:p>
              </w:tc>
              <w:tc>
                <w:tcPr>
                  <w:tcW w:w="572" w:type="pct"/>
                  <w:tcBorders>
                    <w:tl2br w:val="nil"/>
                    <w:tr2bl w:val="nil"/>
                  </w:tcBorders>
                  <w:vAlign w:val="center"/>
                </w:tcPr>
                <w:p w14:paraId="3B4589BF">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41AA0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71D2BCA3">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432" w:type="pct"/>
                  <w:tcBorders>
                    <w:tl2br w:val="nil"/>
                    <w:tr2bl w:val="nil"/>
                  </w:tcBorders>
                  <w:vAlign w:val="center"/>
                </w:tcPr>
                <w:p w14:paraId="6B24F9C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、入区项目不得违反《长江经济带发展负面清单指南（试行）》、《长江经济带发展负面清单指南（试行〉江苏省实施细则》规定的河段利用与岸线开发、区域活动、产业发展要求；</w:t>
                  </w:r>
                </w:p>
                <w:p w14:paraId="5525DC34">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2、入区项目需满足《太湖流域管理条例》、《江苏省太湖水污染防治条例》、《江苏省生态空间管控区域规划》、《江苏省国家生态保护红线规划》管控要求；</w:t>
                  </w:r>
                </w:p>
                <w:p w14:paraId="60F30D6C">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3、在居住用地与工业用地之间设置不少于50m的空间隔离带；</w:t>
                  </w:r>
                </w:p>
                <w:p w14:paraId="446CD5F6">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4、入区项目严格按照环评要求设置相应的卫生防护距离或环境防护距离，确保该范围内不涉及住宅、学校等敏感目标。</w:t>
                  </w:r>
                </w:p>
              </w:tc>
              <w:tc>
                <w:tcPr>
                  <w:tcW w:w="1441" w:type="pct"/>
                  <w:tcBorders>
                    <w:tl2br w:val="nil"/>
                    <w:tr2bl w:val="nil"/>
                  </w:tcBorders>
                  <w:vAlign w:val="center"/>
                </w:tcPr>
                <w:p w14:paraId="4507D0E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1、本项目满足《长江经济带发展负面清单指南（试行）》、《长江经济带发展负面清单指南（试行〉江苏省实施细则》规定的河段利用与岸线开发、区域活动、产业发展要求；</w:t>
                  </w:r>
                </w:p>
                <w:p w14:paraId="37710C15">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2、本项目满足《太湖流域管理条例》、《江苏省太湖水污染防治条例》、《江苏省生态空间管控区域规划》、《江苏省国家生态保护红线规划》管控要求；</w:t>
                  </w:r>
                </w:p>
                <w:p w14:paraId="13D32F1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周边50m范围内无</w:t>
                  </w:r>
                  <w:r>
                    <w:rPr>
                      <w:rFonts w:hint="default" w:ascii="Times New Roman" w:hAnsi="Times New Roman" w:eastAsia="宋体" w:cs="Times New Roman"/>
                      <w:color w:val="auto"/>
                      <w:sz w:val="21"/>
                      <w:szCs w:val="21"/>
                      <w:highlight w:val="none"/>
                    </w:rPr>
                    <w:t>居住用地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设置的卫生防护距离范围内不涉及住宅、学校等敏感目标</w:t>
                  </w:r>
                  <w:r>
                    <w:rPr>
                      <w:rFonts w:hint="default" w:ascii="Times New Roman" w:hAnsi="Times New Roman" w:eastAsia="宋体" w:cs="Times New Roman"/>
                      <w:color w:val="auto"/>
                      <w:sz w:val="21"/>
                      <w:szCs w:val="21"/>
                      <w:highlight w:val="none"/>
                      <w:lang w:eastAsia="zh-CN"/>
                    </w:rPr>
                    <w:t>。</w:t>
                  </w:r>
                </w:p>
              </w:tc>
              <w:tc>
                <w:tcPr>
                  <w:tcW w:w="572" w:type="pct"/>
                  <w:tcBorders>
                    <w:tl2br w:val="nil"/>
                    <w:tr2bl w:val="nil"/>
                  </w:tcBorders>
                  <w:vAlign w:val="center"/>
                </w:tcPr>
                <w:p w14:paraId="32915C96">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245AD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4BC5EB9A">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432" w:type="pct"/>
                  <w:tcBorders>
                    <w:tl2br w:val="nil"/>
                    <w:tr2bl w:val="nil"/>
                  </w:tcBorders>
                  <w:vAlign w:val="center"/>
                </w:tcPr>
                <w:p w14:paraId="7FB6CE03">
                  <w:pPr>
                    <w:pStyle w:val="51"/>
                    <w:snapToGrid w:val="0"/>
                    <w:spacing w:line="240" w:lineRule="auto"/>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总体要求</w:t>
                  </w:r>
                  <w:r>
                    <w:rPr>
                      <w:rFonts w:hint="eastAsia" w:ascii="Times New Roman" w:hAnsi="Times New Roman" w:eastAsia="宋体" w:cs="Times New Roman"/>
                      <w:color w:val="auto"/>
                      <w:sz w:val="21"/>
                      <w:szCs w:val="21"/>
                      <w:highlight w:val="none"/>
                      <w:lang w:eastAsia="zh-CN"/>
                    </w:rPr>
                    <w:t>：</w:t>
                  </w:r>
                </w:p>
                <w:p w14:paraId="44413DD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1、排放污染物必须达到国家和地方规定的污染物排放标准；</w:t>
                  </w:r>
                </w:p>
                <w:p w14:paraId="60D9DDF8">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建设项目主要污染物（颗粒物、二氧化硫、氮氧化物、VOCs）排放总量指标按工程减排类项目2倍削减量替代或关闭类项目1.5倍削减量替代等相关要求执行；重点重金属污染物（铅、汞、镉、铬、砷）按有关要求执行“减量置换”或“等量替换”；</w:t>
                  </w:r>
                </w:p>
                <w:p w14:paraId="48ED3D6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3、按照《江苏省挥发性有机物清洁原料替代工作方案》（苏大气办〔2021〕2号）要求，积极开展园区挥发性有机物清洁原料推广替代工作。</w:t>
                  </w:r>
                </w:p>
                <w:p w14:paraId="4C654548">
                  <w:pPr>
                    <w:pStyle w:val="51"/>
                    <w:snapToGrid w:val="0"/>
                    <w:spacing w:line="240" w:lineRule="auto"/>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环境质量</w:t>
                  </w:r>
                  <w:r>
                    <w:rPr>
                      <w:rFonts w:hint="eastAsia" w:ascii="Times New Roman" w:hAnsi="Times New Roman" w:eastAsia="宋体" w:cs="Times New Roman"/>
                      <w:color w:val="auto"/>
                      <w:sz w:val="21"/>
                      <w:szCs w:val="21"/>
                      <w:highlight w:val="none"/>
                      <w:lang w:eastAsia="zh-CN"/>
                    </w:rPr>
                    <w:t>：</w:t>
                  </w:r>
                </w:p>
                <w:p w14:paraId="2FFB49A1">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1、到2027年，PM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、臭氧、二氧化氮年均值分别达到28、158、25微克/立方米；</w:t>
                  </w:r>
                </w:p>
                <w:p w14:paraId="317F6F0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2、丹金溧漕河、尧塘河（金坛段）河道水质分别达到Ⅳ类、Ⅲ类标准，下塘河、金花河、小柘荡河、薛庄河等其他河道达到Ⅳ类标准；</w:t>
                  </w:r>
                </w:p>
                <w:p w14:paraId="0B82E8F9">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3、土壤环境质量达到《土壤环境质量建设用地土壤污染风险管控标准（试行）》（GB36600-2018）表1和表2中的第一类、第二类用地筛选值标准。</w:t>
                  </w:r>
                </w:p>
                <w:p w14:paraId="16060A22">
                  <w:pPr>
                    <w:pStyle w:val="51"/>
                    <w:snapToGrid w:val="0"/>
                    <w:spacing w:line="240" w:lineRule="auto"/>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排污总量</w:t>
                  </w:r>
                  <w:r>
                    <w:rPr>
                      <w:rFonts w:hint="eastAsia" w:ascii="Times New Roman" w:hAnsi="Times New Roman" w:eastAsia="宋体" w:cs="Times New Roman"/>
                      <w:color w:val="auto"/>
                      <w:sz w:val="21"/>
                      <w:szCs w:val="21"/>
                      <w:highlight w:val="none"/>
                      <w:lang w:eastAsia="zh-CN"/>
                    </w:rPr>
                    <w:t>：</w:t>
                  </w:r>
                </w:p>
                <w:p w14:paraId="5555E07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1、大气污染物大气污染物规划近期排放总量（2027年）：颗粒物355.515t/a、SO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 xml:space="preserve"> 675.833t/a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2224.624t/a、VOCs288.399t/a。废气污染物规划末期排放总量（2035年）：颗粒物377.725t/a、SO</w:t>
                  </w:r>
                  <w:r>
                    <w:rPr>
                      <w:rFonts w:hint="default" w:ascii="Times New Roman" w:hAnsi="Times New Roman" w:eastAsia="宋体" w:cs="Times New Roman"/>
                      <w:color w:val="auto"/>
                      <w:sz w:val="21"/>
                      <w:szCs w:val="21"/>
                      <w:highlight w:val="none"/>
                      <w:vertAlign w:val="subscript"/>
                    </w:rPr>
                    <w:t>2</w:t>
                  </w:r>
                </w:p>
                <w:p w14:paraId="520B6B59">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688.475t/a、NO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2295.652t/a、VOCs319.146t/a。</w:t>
                  </w:r>
                </w:p>
                <w:p w14:paraId="4155CA8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水污染物（外排量）水污染物规划近期排放总量（2027年）：废水量1770.65万t/a、COD885.33t/a、氨氮70.83t/a、总磷8.85/a、总氮212.48t/a。废水污染物规划末期排放总量（2035年）：废水量1961.53万t/a、COD980.77t/a、氨氮78.46t/a、总磷9.81t/a、总氮235.38t/a。</w:t>
                  </w:r>
                </w:p>
              </w:tc>
              <w:tc>
                <w:tcPr>
                  <w:tcW w:w="1441" w:type="pct"/>
                  <w:tcBorders>
                    <w:tl2br w:val="nil"/>
                    <w:tr2bl w:val="nil"/>
                  </w:tcBorders>
                  <w:vAlign w:val="center"/>
                </w:tcPr>
                <w:p w14:paraId="47D4803B">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废气采取相应的污染防治措施进行处理后达标排放，厂区生活污水接管入金坛区第二污水处理厂。目前，本项目处于环评编制阶段，在环评审批前将严格落实主要污染物排放总量指标控制制度，取得主要污染物排放总量的控制指标和平衡方案，故符合文件要求。</w:t>
                  </w:r>
                </w:p>
              </w:tc>
              <w:tc>
                <w:tcPr>
                  <w:tcW w:w="572" w:type="pct"/>
                  <w:tcBorders>
                    <w:tl2br w:val="nil"/>
                    <w:tr2bl w:val="nil"/>
                  </w:tcBorders>
                  <w:vAlign w:val="center"/>
                </w:tcPr>
                <w:p w14:paraId="1FFA5260">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4A495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04348666">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432" w:type="pct"/>
                  <w:tcBorders>
                    <w:tl2br w:val="nil"/>
                    <w:tr2bl w:val="nil"/>
                  </w:tcBorders>
                  <w:vAlign w:val="center"/>
                </w:tcPr>
                <w:p w14:paraId="69892751">
                  <w:pPr>
                    <w:pStyle w:val="51"/>
                    <w:snapToGrid w:val="0"/>
                    <w:spacing w:line="240" w:lineRule="auto"/>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企业环境风险防控要求</w:t>
                  </w:r>
                  <w:r>
                    <w:rPr>
                      <w:rFonts w:hint="eastAsia" w:ascii="Times New Roman" w:hAnsi="Times New Roman" w:eastAsia="宋体" w:cs="Times New Roman"/>
                      <w:color w:val="auto"/>
                      <w:sz w:val="21"/>
                      <w:szCs w:val="21"/>
                      <w:highlight w:val="none"/>
                      <w:lang w:eastAsia="zh-CN"/>
                    </w:rPr>
                    <w:t>：</w:t>
                  </w:r>
                </w:p>
                <w:p w14:paraId="0374B01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1、针对搬迁关闭的土壤污染重点监管企业，由土地使用权人负责开展土壤环境状况调查评估，以保障工业企业场地再开发利用的环境安全；</w:t>
                  </w:r>
                </w:p>
                <w:p w14:paraId="2E803200">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2、产生危险废物及一般固体废物的企事业单位，在贮存、转移、利用固体废物（含危险废物）过程中，应配备防扬散、防流失、防渗漏及其他防止污染环境的措施。</w:t>
                  </w:r>
                </w:p>
                <w:p w14:paraId="112FC5B5">
                  <w:pPr>
                    <w:pStyle w:val="51"/>
                    <w:snapToGrid w:val="0"/>
                    <w:spacing w:line="240" w:lineRule="auto"/>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园区环境风险防控要求</w:t>
                  </w:r>
                  <w:r>
                    <w:rPr>
                      <w:rFonts w:hint="eastAsia" w:ascii="Times New Roman" w:hAnsi="Times New Roman" w:eastAsia="宋体" w:cs="Times New Roman"/>
                      <w:color w:val="auto"/>
                      <w:sz w:val="21"/>
                      <w:szCs w:val="21"/>
                      <w:highlight w:val="none"/>
                      <w:lang w:eastAsia="zh-CN"/>
                    </w:rPr>
                    <w:t>：</w:t>
                  </w:r>
                </w:p>
                <w:p w14:paraId="103FA10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1、按相关文件要求及时更新编制园区突发环境事件应急预案；</w:t>
                  </w:r>
                </w:p>
                <w:p w14:paraId="7E8EAF2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2、建立突发环境事件隐患排查制度及突发环境事件应急管理长效机制，完善环境应急物资储备和应急队伍建设，强化环境应急演练，提升园区环境风险防控水平。</w:t>
                  </w:r>
                </w:p>
              </w:tc>
              <w:tc>
                <w:tcPr>
                  <w:tcW w:w="1441" w:type="pct"/>
                  <w:tcBorders>
                    <w:tl2br w:val="nil"/>
                    <w:tr2bl w:val="nil"/>
                  </w:tcBorders>
                  <w:vAlign w:val="center"/>
                </w:tcPr>
                <w:p w14:paraId="1E5DEB3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本项目在生产过程中建立事故应急救援体系，加强应急物资装备储备，编制突发环境事件应急预案，定期开展演练，与园区环境应急体系衔接。</w:t>
                  </w:r>
                </w:p>
              </w:tc>
              <w:tc>
                <w:tcPr>
                  <w:tcW w:w="572" w:type="pct"/>
                  <w:tcBorders>
                    <w:tl2br w:val="nil"/>
                    <w:tr2bl w:val="nil"/>
                  </w:tcBorders>
                  <w:vAlign w:val="center"/>
                </w:tcPr>
                <w:p w14:paraId="5D9C096D">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604D5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tcBorders>
                    <w:tl2br w:val="nil"/>
                    <w:tr2bl w:val="nil"/>
                  </w:tcBorders>
                  <w:vAlign w:val="center"/>
                </w:tcPr>
                <w:p w14:paraId="0BEA231B">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资源开发效率要求</w:t>
                  </w:r>
                </w:p>
              </w:tc>
              <w:tc>
                <w:tcPr>
                  <w:tcW w:w="2432" w:type="pct"/>
                  <w:tcBorders>
                    <w:tl2br w:val="nil"/>
                    <w:tr2bl w:val="nil"/>
                  </w:tcBorders>
                  <w:vAlign w:val="center"/>
                </w:tcPr>
                <w:p w14:paraId="341DBA66">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1、到2035年，园区单位工业增加值新鲜水耗≤2.5m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/万元；</w:t>
                  </w:r>
                </w:p>
                <w:p w14:paraId="106961AF">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2、到2035年，园区单位工业增加值综合能耗≤0.3吨标煤/万元；</w:t>
                  </w:r>
                </w:p>
                <w:p w14:paraId="1B6B7E53">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3、土地资源可利用总面积上限37.81平方公里，建设用地总面积上限36.66平方公里，工业用地总面积上限21.77平方公里。</w:t>
                  </w:r>
                </w:p>
                <w:p w14:paraId="45A1C977">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4、引进项目的生产工艺、设备，以及单位产品水耗、能耗、污染物排放和资源利用效率等应达到同行业国际先进水平。</w:t>
                  </w:r>
                </w:p>
              </w:tc>
              <w:tc>
                <w:tcPr>
                  <w:tcW w:w="1441" w:type="pct"/>
                  <w:tcBorders>
                    <w:tl2br w:val="nil"/>
                    <w:tr2bl w:val="nil"/>
                  </w:tcBorders>
                  <w:vAlign w:val="center"/>
                </w:tcPr>
                <w:p w14:paraId="7D1D1E19">
                  <w:pPr>
                    <w:pStyle w:val="51"/>
                    <w:snapToGrid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本项目使用电</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rPr>
                    <w:t>作为能源，厂区生活污水达标接管入金坛区第二污水处理厂。</w:t>
                  </w:r>
                </w:p>
              </w:tc>
              <w:tc>
                <w:tcPr>
                  <w:tcW w:w="572" w:type="pct"/>
                  <w:tcBorders>
                    <w:tl2br w:val="nil"/>
                    <w:tr2bl w:val="nil"/>
                  </w:tcBorders>
                  <w:vAlign w:val="center"/>
                </w:tcPr>
                <w:p w14:paraId="0B32AE6E">
                  <w:pPr>
                    <w:pStyle w:val="51"/>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bl>
          <w:p w14:paraId="002D23A7">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4、与太湖流域环境政策相符性分析</w:t>
            </w:r>
          </w:p>
          <w:p w14:paraId="011E95AF">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与《太湖流域管理条例》、《江苏省太湖水污染防治条例》、《江苏省太湖流域水环境综合治理规划（2021-2035年）》相符性分析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49"/>
              <w:gridCol w:w="2166"/>
              <w:gridCol w:w="595"/>
            </w:tblGrid>
            <w:tr w14:paraId="7987504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61C6C2A5">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《太湖流域管理条例》相关要求</w:t>
                  </w:r>
                </w:p>
              </w:tc>
              <w:tc>
                <w:tcPr>
                  <w:tcW w:w="1288" w:type="pct"/>
                  <w:vAlign w:val="center"/>
                </w:tcPr>
                <w:p w14:paraId="5406DB32">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300362FA">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1BABAAC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14E1CAAB">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第二十八条</w:t>
                  </w:r>
                </w:p>
              </w:tc>
              <w:tc>
                <w:tcPr>
                  <w:tcW w:w="3047" w:type="pct"/>
                  <w:gridSpan w:val="2"/>
                  <w:vAlign w:val="center"/>
                </w:tcPr>
                <w:p w14:paraId="0A84D888">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排污单位排放水污染物，不得超过经核定的水污染物排放总量，并应当按照规定设置便于检查、采样的规范化排污口，悬挂标志牌；不得私设暗管或者采取其他规避监管的方式排放水污染物。</w:t>
                  </w:r>
                </w:p>
                <w:p w14:paraId="4CEBA60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p w14:paraId="2960A19C">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19F3AC33">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常州市金坛区第二污水处理厂处理，环评中已根据本项目情况核算水污染物排放总量，实际运营过程中不会超过该核定量；本项目为</w:t>
                  </w:r>
                  <w:r>
                    <w:rPr>
                      <w:rFonts w:hint="eastAsia" w:ascii="Times New Roman" w:hAnsi="Times New Roman" w:eastAsia="宋体" w:cs="Times New Roman"/>
                      <w:color w:val="auto"/>
                      <w:sz w:val="21"/>
                      <w:szCs w:val="21"/>
                      <w:highlight w:val="none"/>
                      <w:lang w:eastAsia="zh-CN"/>
                    </w:rPr>
                    <w:t>新建光伏组件及电力设备加工项目</w:t>
                  </w:r>
                  <w:r>
                    <w:rPr>
                      <w:rFonts w:hint="default" w:ascii="Times New Roman" w:hAnsi="Times New Roman" w:eastAsia="宋体" w:cs="Times New Roman"/>
                      <w:color w:val="auto"/>
                      <w:sz w:val="21"/>
                      <w:szCs w:val="21"/>
                      <w:highlight w:val="none"/>
                    </w:rPr>
                    <w:t>，不属于上述禁止项目；项目建成后，将设置便于检查、采样的规范化排污口，悬挂标志牌，定期进行自行监测，监控废水排放达标情况；项目符合清洁生产要求。</w:t>
                  </w:r>
                </w:p>
              </w:tc>
              <w:tc>
                <w:tcPr>
                  <w:tcW w:w="354" w:type="pct"/>
                  <w:vAlign w:val="center"/>
                </w:tcPr>
                <w:p w14:paraId="2831DED3">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79FA88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D3C100F">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第二十九条</w:t>
                  </w:r>
                </w:p>
              </w:tc>
              <w:tc>
                <w:tcPr>
                  <w:tcW w:w="3047" w:type="pct"/>
                  <w:gridSpan w:val="2"/>
                  <w:vAlign w:val="center"/>
                </w:tcPr>
                <w:p w14:paraId="1D43A53B">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新孟河、望虞河以外的其他主要入太湖河道，自河口1万米上溯至5万米河道岸线内及其岸线两侧各1000米范围内，禁止下列行为：</w:t>
                  </w:r>
                </w:p>
                <w:p w14:paraId="759C7E5E">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（一）新建、扩建化工、医药生产项目；</w:t>
                  </w:r>
                </w:p>
                <w:p w14:paraId="65DC100A">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（二）新建、扩建污水集中处理设施排污口以外的排污口；</w:t>
                  </w:r>
                </w:p>
                <w:p w14:paraId="64EB84B8">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（三）扩大水产养殖规模。</w:t>
                  </w:r>
                </w:p>
              </w:tc>
              <w:tc>
                <w:tcPr>
                  <w:tcW w:w="1288" w:type="pct"/>
                  <w:vAlign w:val="center"/>
                </w:tcPr>
                <w:p w14:paraId="714AB863">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，不在此范围内，不属于太湖流域禁止的行业项目，本项目</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697C9B4E">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7F921F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65CEBF28">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第三十条</w:t>
                  </w:r>
                </w:p>
              </w:tc>
              <w:tc>
                <w:tcPr>
                  <w:tcW w:w="3047" w:type="pct"/>
                  <w:gridSpan w:val="2"/>
                  <w:vAlign w:val="center"/>
                </w:tcPr>
                <w:p w14:paraId="7295E047">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1F0D1B43">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（一）设置剧毒物质、危险化学品的贮存、输送设施和废物回收场、垃圾场；</w:t>
                  </w:r>
                </w:p>
                <w:p w14:paraId="5FBCF41C">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（二）设置水上餐饮经营设施；</w:t>
                  </w:r>
                </w:p>
                <w:p w14:paraId="19E2F088">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（三）新建、扩建高尔夫球场；</w:t>
                  </w:r>
                </w:p>
                <w:p w14:paraId="37DED05A">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（四）新建、扩建畜禽养殖场；</w:t>
                  </w:r>
                </w:p>
                <w:p w14:paraId="7E9690D4">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（五）新建、扩建向水体排放污染物的建设项目；</w:t>
                  </w:r>
                </w:p>
                <w:p w14:paraId="48E116FC">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（六）本条例第二十九条规定的行为。</w:t>
                  </w:r>
                </w:p>
                <w:p w14:paraId="5AEB398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已经设置前款第一项、第二项规定设施的，当地县级人民政府应当责令拆除或者关闭。</w:t>
                  </w:r>
                </w:p>
              </w:tc>
              <w:tc>
                <w:tcPr>
                  <w:tcW w:w="1288" w:type="pct"/>
                  <w:vAlign w:val="center"/>
                </w:tcPr>
                <w:p w14:paraId="54654F83">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eastAsia="zh-CN"/>
                    </w:rPr>
                    <w:t>常州市金坛区晨风路1136号（金坛控股中南高科创新园）14幢</w:t>
                  </w:r>
                  <w:r>
                    <w:rPr>
                      <w:rFonts w:hint="default" w:ascii="Times New Roman" w:hAnsi="Times New Roman" w:eastAsia="宋体" w:cs="Times New Roman"/>
                      <w:color w:val="auto"/>
                      <w:sz w:val="21"/>
                      <w:szCs w:val="21"/>
                      <w:highlight w:val="none"/>
                    </w:rPr>
                    <w:t>，不在此范围内，不涉及所列禁止项目，本项目废水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0A3494A6">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8CCC42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38988402">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《江苏省太湖水污染防治条例》相关要求</w:t>
                  </w:r>
                </w:p>
              </w:tc>
              <w:tc>
                <w:tcPr>
                  <w:tcW w:w="1288" w:type="pct"/>
                  <w:vAlign w:val="center"/>
                </w:tcPr>
                <w:p w14:paraId="012474DE">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0AF4E1E6">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4F30070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2E799810">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第四十三条</w:t>
                  </w:r>
                </w:p>
              </w:tc>
              <w:tc>
                <w:tcPr>
                  <w:tcW w:w="3047" w:type="pct"/>
                  <w:gridSpan w:val="2"/>
                  <w:vAlign w:val="center"/>
                </w:tcPr>
                <w:p w14:paraId="6D5E5ED5">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太湖流域一、二、三级保护区禁止下列行为：</w:t>
                  </w:r>
                </w:p>
                <w:p w14:paraId="714A45F8">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（一）新建、改建、扩建化学制浆造纸、制革、酿造、染料、印染、电镀以及其他排放含磷、氮等污染物的企业和项目；</w:t>
                  </w:r>
                </w:p>
                <w:p w14:paraId="3194F7BE">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（二）销售、使用含磷洗涤用品；</w:t>
                  </w:r>
                </w:p>
                <w:p w14:paraId="584B8BEF">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（三）向水体排放或者倾倒油类、酸液、碱液、剧毒废渣废液、含放射性废渣废液、含病原体污水、工业废渣以及其他废弃物；</w:t>
                  </w:r>
                </w:p>
                <w:p w14:paraId="062C3443">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（四）在水体清洗装贮过油类或者有毒有害污染物的车辆、船舶和容器等；</w:t>
                  </w:r>
                </w:p>
                <w:p w14:paraId="1C32CD20">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（五）使用农药等有毒物毒杀水生生物；</w:t>
                  </w:r>
                </w:p>
                <w:p w14:paraId="215E8480">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（六）向水体直接排放人畜粪便、倾倒垃圾；</w:t>
                  </w:r>
                </w:p>
                <w:p w14:paraId="212383D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（七）围湖造地；</w:t>
                  </w:r>
                </w:p>
                <w:p w14:paraId="13C3942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（八）违法开山采石，或者进行破坏林木、植被、水生生物的活动；</w:t>
                  </w:r>
                </w:p>
                <w:p w14:paraId="6BD967FA">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（九）法律、法规禁止的其他行为。</w:t>
                  </w:r>
                </w:p>
              </w:tc>
              <w:tc>
                <w:tcPr>
                  <w:tcW w:w="1288" w:type="pct"/>
                  <w:vAlign w:val="center"/>
                </w:tcPr>
                <w:p w14:paraId="3392CB8F">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本项目位于太湖流域三级保护区范围内，本项目为</w:t>
                  </w:r>
                  <w:r>
                    <w:rPr>
                      <w:rFonts w:hint="eastAsia" w:ascii="Times New Roman" w:hAnsi="Times New Roman" w:eastAsia="宋体" w:cs="Times New Roman"/>
                      <w:color w:val="auto"/>
                      <w:sz w:val="21"/>
                      <w:szCs w:val="21"/>
                      <w:highlight w:val="none"/>
                      <w:lang w:eastAsia="zh-CN"/>
                    </w:rPr>
                    <w:t>新建光伏组件及电力设备加工项目</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使用的脱脂剂、硅烷处理剂不含磷，生产废水经污水站处理后回用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常州市金坛区第二污水处理厂集中处理，不直接向水体排放污染物；不属于所列禁止行为</w:t>
                  </w:r>
                </w:p>
              </w:tc>
              <w:tc>
                <w:tcPr>
                  <w:tcW w:w="354" w:type="pct"/>
                  <w:vAlign w:val="center"/>
                </w:tcPr>
                <w:p w14:paraId="46B251D3">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226471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457F8388">
                  <w:pPr>
                    <w:autoSpaceDE w:val="0"/>
                    <w:autoSpaceDN w:val="0"/>
                    <w:adjustRightIn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第四十六条</w:t>
                  </w:r>
                </w:p>
              </w:tc>
              <w:tc>
                <w:tcPr>
                  <w:tcW w:w="3047" w:type="pct"/>
                  <w:gridSpan w:val="2"/>
                  <w:vAlign w:val="center"/>
                </w:tcPr>
                <w:p w14:paraId="7A70FC3F">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1AA71181">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7187E70C">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本条所指排放含磷、氮等污染物的战略性新兴产业具体类别，由省发展改革部门会同省经济和信息化、环境保护主管部门拟定并报省人民政府批准后公布。</w:t>
                  </w:r>
                </w:p>
                <w:p w14:paraId="6E0AA7A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6501BC41">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本项目位于太湖流域三级保护区范围内，本项目为</w:t>
                  </w:r>
                  <w:r>
                    <w:rPr>
                      <w:rFonts w:hint="eastAsia" w:ascii="Times New Roman" w:hAnsi="Times New Roman" w:eastAsia="宋体" w:cs="Times New Roman"/>
                      <w:color w:val="auto"/>
                      <w:sz w:val="21"/>
                      <w:szCs w:val="21"/>
                      <w:highlight w:val="none"/>
                      <w:lang w:eastAsia="zh-CN"/>
                    </w:rPr>
                    <w:t>新建光伏组件及电力设备加工项目</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5FCC8935">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BECE5E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2A3DA9AB">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《江苏省太湖流域水环境综合治理规划（2021-2035年）》</w:t>
                  </w:r>
                </w:p>
                <w:p w14:paraId="6F4B3A24">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（苏政办发【2022】74号）相关要求</w:t>
                  </w:r>
                </w:p>
              </w:tc>
              <w:tc>
                <w:tcPr>
                  <w:tcW w:w="1288" w:type="pct"/>
                  <w:vAlign w:val="center"/>
                </w:tcPr>
                <w:p w14:paraId="004E7B48">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565FBC4F">
                  <w:pPr>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55CCEF5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58B10E30">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强化工业污染综合治理</w:t>
                  </w:r>
                </w:p>
              </w:tc>
              <w:tc>
                <w:tcPr>
                  <w:tcW w:w="3001" w:type="pct"/>
                  <w:vAlign w:val="center"/>
                </w:tcPr>
                <w:p w14:paraId="3DCF69E2">
                  <w:pPr>
                    <w:autoSpaceDE w:val="0"/>
                    <w:autoSpaceDN w:val="0"/>
                    <w:adjustRightInd w:val="0"/>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1AB74F31">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eastAsia="zh-CN"/>
                    </w:rPr>
                    <w:t>新建光伏组件及电力设备加工项目</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常州市金坛区第二污水处理厂集中处理；本项目实际生产前将依法进行排污许可证申请，做到持证排污、按证排污</w:t>
                  </w:r>
                </w:p>
              </w:tc>
              <w:tc>
                <w:tcPr>
                  <w:tcW w:w="354" w:type="pct"/>
                  <w:vAlign w:val="center"/>
                </w:tcPr>
                <w:p w14:paraId="76FA2B23">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14:paraId="049CAAE2">
            <w:pPr>
              <w:keepNext w:val="0"/>
              <w:keepLines w:val="0"/>
              <w:pageBreakBefore w:val="0"/>
              <w:widowControl w:val="0"/>
              <w:kinsoku/>
              <w:wordWrap/>
              <w:overflowPunct/>
              <w:topLinePunct w:val="0"/>
              <w:autoSpaceDE w:val="0"/>
              <w:autoSpaceDN w:val="0"/>
              <w:bidi w:val="0"/>
              <w:adjustRightInd w:val="0"/>
              <w:snapToGrid w:val="0"/>
              <w:spacing w:before="120" w:line="360" w:lineRule="auto"/>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5、与《长江经济带发展负面清单指南（试行，2022年版）》相符性分析</w:t>
            </w:r>
          </w:p>
          <w:p w14:paraId="3B85F3AA">
            <w:pPr>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表1-</w:t>
            </w:r>
            <w:r>
              <w:rPr>
                <w:rFonts w:hint="eastAsia" w:ascii="Times New Roman" w:hAnsi="Times New Roman" w:eastAsia="宋体" w:cs="Times New Roman"/>
                <w:b/>
                <w:color w:val="auto"/>
                <w:kern w:val="0"/>
                <w:sz w:val="24"/>
                <w:szCs w:val="24"/>
                <w:highlight w:val="none"/>
                <w:lang w:val="en-US" w:eastAsia="zh-CN"/>
              </w:rPr>
              <w:t>11</w:t>
            </w:r>
            <w:r>
              <w:rPr>
                <w:rFonts w:hint="default" w:ascii="Times New Roman" w:hAnsi="Times New Roman" w:eastAsia="宋体" w:cs="Times New Roman"/>
                <w:b/>
                <w:color w:val="auto"/>
                <w:kern w:val="0"/>
                <w:sz w:val="24"/>
                <w:szCs w:val="24"/>
                <w:highlight w:val="none"/>
              </w:rPr>
              <w:t xml:space="preserve">  与《长江经济带发展负面清单指南》相符性分析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6"/>
              <w:gridCol w:w="5187"/>
              <w:gridCol w:w="2714"/>
            </w:tblGrid>
            <w:tr w14:paraId="122013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01" w:type="pct"/>
                  <w:vAlign w:val="center"/>
                </w:tcPr>
                <w:p w14:paraId="5415E883">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3084" w:type="pct"/>
                  <w:vAlign w:val="center"/>
                </w:tcPr>
                <w:p w14:paraId="19A6560F">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政策内容</w:t>
                  </w:r>
                </w:p>
              </w:tc>
              <w:tc>
                <w:tcPr>
                  <w:tcW w:w="1613" w:type="pct"/>
                  <w:vAlign w:val="center"/>
                </w:tcPr>
                <w:p w14:paraId="564E7F59">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相符性分析</w:t>
                  </w:r>
                </w:p>
              </w:tc>
            </w:tr>
            <w:tr w14:paraId="550078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3F36EA8">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3084" w:type="pct"/>
                  <w:vAlign w:val="center"/>
                </w:tcPr>
                <w:p w14:paraId="15198763">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禁止建设不符合全国和省级港口布局规划以及港口总体规划的码头项目，禁止建设不符合《长江千线过江通道布局规划》的过长江通道项目。</w:t>
                  </w:r>
                </w:p>
              </w:tc>
              <w:tc>
                <w:tcPr>
                  <w:tcW w:w="1613" w:type="pct"/>
                  <w:vAlign w:val="center"/>
                </w:tcPr>
                <w:p w14:paraId="1765BBFD">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本项目为</w:t>
                  </w:r>
                  <w:r>
                    <w:rPr>
                      <w:rFonts w:hint="eastAsia" w:ascii="Times New Roman" w:hAnsi="Times New Roman" w:eastAsia="宋体" w:cs="Times New Roman"/>
                      <w:color w:val="auto"/>
                      <w:kern w:val="0"/>
                      <w:sz w:val="21"/>
                      <w:szCs w:val="21"/>
                      <w:highlight w:val="none"/>
                      <w:lang w:eastAsia="zh-CN"/>
                    </w:rPr>
                    <w:t>新建光伏组件及电力设备加工项目</w:t>
                  </w:r>
                  <w:r>
                    <w:rPr>
                      <w:rFonts w:hint="default" w:ascii="Times New Roman" w:hAnsi="Times New Roman" w:eastAsia="宋体" w:cs="Times New Roman"/>
                      <w:color w:val="auto"/>
                      <w:kern w:val="0"/>
                      <w:sz w:val="21"/>
                      <w:szCs w:val="21"/>
                      <w:highlight w:val="none"/>
                    </w:rPr>
                    <w:t>，不属于码头项目、长江通道项目</w:t>
                  </w:r>
                </w:p>
              </w:tc>
            </w:tr>
            <w:tr w14:paraId="7AA3C2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8D5DF18">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3084" w:type="pct"/>
                  <w:vAlign w:val="center"/>
                </w:tcPr>
                <w:p w14:paraId="6CDE8E81">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613" w:type="pct"/>
                  <w:vAlign w:val="center"/>
                </w:tcPr>
                <w:p w14:paraId="165E2E51">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常州市金坛区晨风路1136号（金坛控股中南高科创新园）14幢</w:t>
                  </w:r>
                  <w:r>
                    <w:rPr>
                      <w:rFonts w:hint="default" w:ascii="Times New Roman" w:hAnsi="Times New Roman" w:eastAsia="宋体" w:cs="Times New Roman"/>
                      <w:color w:val="auto"/>
                      <w:kern w:val="0"/>
                      <w:sz w:val="21"/>
                      <w:szCs w:val="21"/>
                      <w:highlight w:val="none"/>
                    </w:rPr>
                    <w:t>，不位于政策所述区域</w:t>
                  </w:r>
                </w:p>
              </w:tc>
            </w:tr>
            <w:tr w14:paraId="2F9F28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D7D63F7">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3084" w:type="pct"/>
                  <w:vAlign w:val="center"/>
                </w:tcPr>
                <w:p w14:paraId="50C89696">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vAlign w:val="center"/>
                </w:tcPr>
                <w:p w14:paraId="2D1182F5">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kern w:val="0"/>
                      <w:sz w:val="21"/>
                      <w:szCs w:val="21"/>
                      <w:highlight w:val="none"/>
                      <w:lang w:eastAsia="zh-CN"/>
                    </w:rPr>
                    <w:t>常州市金坛区晨风路1136号（金坛控股中南高科创新园）14幢</w:t>
                  </w:r>
                  <w:r>
                    <w:rPr>
                      <w:rFonts w:hint="default" w:ascii="Times New Roman" w:hAnsi="Times New Roman" w:eastAsia="宋体" w:cs="Times New Roman"/>
                      <w:color w:val="auto"/>
                      <w:kern w:val="0"/>
                      <w:sz w:val="21"/>
                      <w:szCs w:val="21"/>
                      <w:highlight w:val="none"/>
                    </w:rPr>
                    <w:t>，不位于饮用水水源一级与二级保护区的岸线和河段范围内</w:t>
                  </w:r>
                </w:p>
              </w:tc>
            </w:tr>
            <w:tr w14:paraId="46D82E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0051B28">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3084" w:type="pct"/>
                  <w:vAlign w:val="center"/>
                </w:tcPr>
                <w:p w14:paraId="28576A3B">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vAlign w:val="center"/>
                </w:tcPr>
                <w:p w14:paraId="3007A479">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常州市金坛区晨风路1136号（金坛控股中南高科创新园）14幢</w:t>
                  </w:r>
                  <w:r>
                    <w:rPr>
                      <w:rFonts w:hint="default" w:ascii="Times New Roman" w:hAnsi="Times New Roman" w:eastAsia="宋体" w:cs="Times New Roman"/>
                      <w:color w:val="auto"/>
                      <w:kern w:val="0"/>
                      <w:sz w:val="21"/>
                      <w:szCs w:val="21"/>
                      <w:highlight w:val="none"/>
                    </w:rPr>
                    <w:t>，不位于政策所述区域</w:t>
                  </w:r>
                </w:p>
              </w:tc>
            </w:tr>
            <w:tr w14:paraId="1457F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0C22F14">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3084" w:type="pct"/>
                  <w:vAlign w:val="center"/>
                </w:tcPr>
                <w:p w14:paraId="31A06E20">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vAlign w:val="center"/>
                </w:tcPr>
                <w:p w14:paraId="77F753C1">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本项目位于</w:t>
                  </w:r>
                  <w:r>
                    <w:rPr>
                      <w:rFonts w:hint="eastAsia" w:ascii="Times New Roman" w:hAnsi="Times New Roman" w:eastAsia="宋体" w:cs="Times New Roman"/>
                      <w:color w:val="auto"/>
                      <w:kern w:val="0"/>
                      <w:sz w:val="21"/>
                      <w:szCs w:val="21"/>
                      <w:highlight w:val="none"/>
                      <w:lang w:eastAsia="zh-CN"/>
                    </w:rPr>
                    <w:t>常州市金坛区晨风路1136号（金坛控股中南高科创新园）14幢</w:t>
                  </w:r>
                  <w:r>
                    <w:rPr>
                      <w:rFonts w:hint="default" w:ascii="Times New Roman" w:hAnsi="Times New Roman" w:eastAsia="宋体" w:cs="Times New Roman"/>
                      <w:color w:val="auto"/>
                      <w:kern w:val="0"/>
                      <w:sz w:val="21"/>
                      <w:szCs w:val="21"/>
                      <w:highlight w:val="none"/>
                    </w:rPr>
                    <w:t>，不位于政策所述区域</w:t>
                  </w:r>
                </w:p>
              </w:tc>
            </w:tr>
            <w:tr w14:paraId="751B7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5BAB094">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3084" w:type="pct"/>
                  <w:vAlign w:val="center"/>
                </w:tcPr>
                <w:p w14:paraId="3CFB9738">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禁止未经许可在长江干支流及湖泊新设、改设或扩大排污口。</w:t>
                  </w:r>
                </w:p>
              </w:tc>
              <w:tc>
                <w:tcPr>
                  <w:tcW w:w="1613" w:type="pct"/>
                  <w:vAlign w:val="center"/>
                </w:tcPr>
                <w:p w14:paraId="27387F71">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本项目不涉及</w:t>
                  </w:r>
                </w:p>
              </w:tc>
            </w:tr>
            <w:tr w14:paraId="5E53F8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10916FE">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3084" w:type="pct"/>
                  <w:vAlign w:val="center"/>
                </w:tcPr>
                <w:p w14:paraId="2B360459">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禁止在“一江一口两湖七河”和332个水生生物保护区开展生产性捕捞。</w:t>
                  </w:r>
                </w:p>
              </w:tc>
              <w:tc>
                <w:tcPr>
                  <w:tcW w:w="1613" w:type="pct"/>
                  <w:vAlign w:val="center"/>
                </w:tcPr>
                <w:p w14:paraId="13DAB604">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本项目不涉及</w:t>
                  </w:r>
                </w:p>
              </w:tc>
            </w:tr>
            <w:tr w14:paraId="722BBC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B92A48D">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3084" w:type="pct"/>
                  <w:vAlign w:val="center"/>
                </w:tcPr>
                <w:p w14:paraId="6BD9F962">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vAlign w:val="center"/>
                </w:tcPr>
                <w:p w14:paraId="72763D9C">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本项目为</w:t>
                  </w:r>
                  <w:r>
                    <w:rPr>
                      <w:rFonts w:hint="eastAsia" w:ascii="Times New Roman" w:hAnsi="Times New Roman" w:eastAsia="宋体" w:cs="Times New Roman"/>
                      <w:color w:val="auto"/>
                      <w:kern w:val="0"/>
                      <w:sz w:val="21"/>
                      <w:szCs w:val="21"/>
                      <w:highlight w:val="none"/>
                      <w:lang w:eastAsia="zh-CN"/>
                    </w:rPr>
                    <w:t>新建光伏组件及电力设备加工项目</w:t>
                  </w:r>
                  <w:r>
                    <w:rPr>
                      <w:rFonts w:hint="default" w:ascii="Times New Roman" w:hAnsi="Times New Roman" w:eastAsia="宋体" w:cs="Times New Roman"/>
                      <w:color w:val="auto"/>
                      <w:kern w:val="0"/>
                      <w:sz w:val="21"/>
                      <w:szCs w:val="21"/>
                      <w:highlight w:val="none"/>
                    </w:rPr>
                    <w:t>，不属于政策中所述禁止项目</w:t>
                  </w:r>
                </w:p>
              </w:tc>
            </w:tr>
            <w:tr w14:paraId="416D1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1B89D53">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3084" w:type="pct"/>
                  <w:vAlign w:val="center"/>
                </w:tcPr>
                <w:p w14:paraId="46F30465">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禁止在合规园区外新建、扩建钢铁、石化、化工、焦化、建材、有色、制浆造纸等高污染项目。</w:t>
                  </w:r>
                </w:p>
              </w:tc>
              <w:tc>
                <w:tcPr>
                  <w:tcW w:w="1613" w:type="pct"/>
                  <w:vAlign w:val="center"/>
                </w:tcPr>
                <w:p w14:paraId="092E194A">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本项目为</w:t>
                  </w:r>
                  <w:r>
                    <w:rPr>
                      <w:rFonts w:hint="eastAsia" w:ascii="Times New Roman" w:hAnsi="Times New Roman" w:eastAsia="宋体" w:cs="Times New Roman"/>
                      <w:color w:val="auto"/>
                      <w:kern w:val="0"/>
                      <w:sz w:val="21"/>
                      <w:szCs w:val="21"/>
                      <w:highlight w:val="none"/>
                      <w:lang w:eastAsia="zh-CN"/>
                    </w:rPr>
                    <w:t>新建光伏组件及电力设备加工项目</w:t>
                  </w:r>
                  <w:r>
                    <w:rPr>
                      <w:rFonts w:hint="default" w:ascii="Times New Roman" w:hAnsi="Times New Roman" w:eastAsia="宋体" w:cs="Times New Roman"/>
                      <w:color w:val="auto"/>
                      <w:kern w:val="0"/>
                      <w:sz w:val="21"/>
                      <w:szCs w:val="21"/>
                      <w:highlight w:val="none"/>
                    </w:rPr>
                    <w:t>，不属于政策中所述禁止项目</w:t>
                  </w:r>
                </w:p>
              </w:tc>
            </w:tr>
            <w:tr w14:paraId="310343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F735A49">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3084" w:type="pct"/>
                  <w:vAlign w:val="center"/>
                </w:tcPr>
                <w:p w14:paraId="6E32949D">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禁止新建、扩建不符合国家石化、现代煤化工等产业布局规划的项目。</w:t>
                  </w:r>
                </w:p>
              </w:tc>
              <w:tc>
                <w:tcPr>
                  <w:tcW w:w="1613" w:type="pct"/>
                  <w:vAlign w:val="center"/>
                </w:tcPr>
                <w:p w14:paraId="3FA84892">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本项目为</w:t>
                  </w:r>
                  <w:r>
                    <w:rPr>
                      <w:rFonts w:hint="eastAsia" w:ascii="Times New Roman" w:hAnsi="Times New Roman" w:eastAsia="宋体" w:cs="Times New Roman"/>
                      <w:color w:val="auto"/>
                      <w:kern w:val="0"/>
                      <w:sz w:val="21"/>
                      <w:szCs w:val="21"/>
                      <w:highlight w:val="none"/>
                      <w:lang w:eastAsia="zh-CN"/>
                    </w:rPr>
                    <w:t>新建光伏组件及电力设备加工项目</w:t>
                  </w:r>
                  <w:r>
                    <w:rPr>
                      <w:rFonts w:hint="default" w:ascii="Times New Roman" w:hAnsi="Times New Roman" w:eastAsia="宋体" w:cs="Times New Roman"/>
                      <w:color w:val="auto"/>
                      <w:kern w:val="0"/>
                      <w:sz w:val="21"/>
                      <w:szCs w:val="21"/>
                      <w:highlight w:val="none"/>
                    </w:rPr>
                    <w:t>，不属于政策中所述禁止项目</w:t>
                  </w:r>
                </w:p>
              </w:tc>
            </w:tr>
            <w:tr w14:paraId="4E9E7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2411C7CB">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3084" w:type="pct"/>
                  <w:vAlign w:val="center"/>
                </w:tcPr>
                <w:p w14:paraId="75EB285E">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613" w:type="pct"/>
                  <w:vAlign w:val="center"/>
                </w:tcPr>
                <w:p w14:paraId="4881A24F">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本项目为</w:t>
                  </w:r>
                  <w:r>
                    <w:rPr>
                      <w:rFonts w:hint="eastAsia" w:ascii="Times New Roman" w:hAnsi="Times New Roman" w:eastAsia="宋体" w:cs="Times New Roman"/>
                      <w:color w:val="auto"/>
                      <w:kern w:val="0"/>
                      <w:sz w:val="21"/>
                      <w:szCs w:val="21"/>
                      <w:highlight w:val="none"/>
                      <w:lang w:eastAsia="zh-CN"/>
                    </w:rPr>
                    <w:t>新建光伏组件及电力设备加工项目</w:t>
                  </w:r>
                  <w:r>
                    <w:rPr>
                      <w:rFonts w:hint="default" w:ascii="Times New Roman" w:hAnsi="Times New Roman" w:eastAsia="宋体" w:cs="Times New Roman"/>
                      <w:color w:val="auto"/>
                      <w:kern w:val="0"/>
                      <w:sz w:val="21"/>
                      <w:szCs w:val="21"/>
                      <w:highlight w:val="none"/>
                    </w:rPr>
                    <w:t>，不属于政策中所述禁止项目</w:t>
                  </w:r>
                </w:p>
              </w:tc>
            </w:tr>
            <w:tr w14:paraId="3CECB6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45864C32">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3084" w:type="pct"/>
                  <w:vAlign w:val="center"/>
                </w:tcPr>
                <w:p w14:paraId="0151254E">
                  <w:pP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法律法规及相关政策文件有更加严格规定的从其规定。</w:t>
                  </w:r>
                </w:p>
              </w:tc>
              <w:tc>
                <w:tcPr>
                  <w:tcW w:w="1613" w:type="pct"/>
                  <w:vAlign w:val="center"/>
                </w:tcPr>
                <w:p w14:paraId="30315798">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bl>
          <w:p w14:paraId="533FD754">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6、与《江苏省水污染防治条例》相符性分析</w:t>
            </w:r>
          </w:p>
          <w:p w14:paraId="4AD71E85">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rPr>
              <w:t xml:space="preserve">  与《江苏省水污染防治条例》的相符性分析</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858"/>
              <w:gridCol w:w="5404"/>
              <w:gridCol w:w="2145"/>
            </w:tblGrid>
            <w:tr w14:paraId="6F865A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45F5771C">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条款</w:t>
                  </w:r>
                </w:p>
              </w:tc>
              <w:tc>
                <w:tcPr>
                  <w:tcW w:w="3213" w:type="pct"/>
                  <w:vAlign w:val="center"/>
                </w:tcPr>
                <w:p w14:paraId="39DE9BC3">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1275" w:type="pct"/>
                  <w:vAlign w:val="center"/>
                </w:tcPr>
                <w:p w14:paraId="44E34300">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对照分析</w:t>
                  </w:r>
                </w:p>
              </w:tc>
            </w:tr>
            <w:tr w14:paraId="7B924A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79983EC9">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第二十三条</w:t>
                  </w:r>
                </w:p>
              </w:tc>
              <w:tc>
                <w:tcPr>
                  <w:tcW w:w="3213" w:type="pct"/>
                  <w:vAlign w:val="center"/>
                </w:tcPr>
                <w:p w14:paraId="4AF07CE1">
                  <w:pPr>
                    <w:widowControl/>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禁止工业企业、宾馆、餐饮、洗涤等企业事业单位以及个人使用各类含磷洗涤用品。</w:t>
                  </w:r>
                </w:p>
              </w:tc>
              <w:tc>
                <w:tcPr>
                  <w:tcW w:w="1275" w:type="pct"/>
                  <w:vAlign w:val="center"/>
                </w:tcPr>
                <w:p w14:paraId="41F050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本项目不使用含磷洗涤用品</w:t>
                  </w:r>
                </w:p>
              </w:tc>
            </w:tr>
            <w:tr w14:paraId="0FE0FA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3A63DD7F">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第二十六条</w:t>
                  </w:r>
                </w:p>
              </w:tc>
              <w:tc>
                <w:tcPr>
                  <w:tcW w:w="3213" w:type="pct"/>
                  <w:vAlign w:val="center"/>
                </w:tcPr>
                <w:p w14:paraId="26F07C64">
                  <w:pPr>
                    <w:widowControl/>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向污水集中处理设施排放工业废水的，应当按照国家和省有关规定进行预处理，符合国家、省有关标准和污水集中处理设施的接纳要求。污水集中处理设施尾水，可以采取生态净化等方式处理后排放。</w:t>
                  </w:r>
                </w:p>
                <w:p w14:paraId="37ED8B20">
                  <w:pPr>
                    <w:widowControl/>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实行工业废水与生活污水分质处理，对不符合城镇污水集中处理设施接纳要求的工业废水，限期退出城镇污水管网。</w:t>
                  </w:r>
                </w:p>
              </w:tc>
              <w:tc>
                <w:tcPr>
                  <w:tcW w:w="1275" w:type="pct"/>
                  <w:vAlign w:val="center"/>
                </w:tcPr>
                <w:p w14:paraId="714B7571">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经市政污水管网接至污水处理厂处理</w:t>
                  </w:r>
                  <w:r>
                    <w:rPr>
                      <w:rFonts w:hint="default" w:ascii="Times New Roman" w:hAnsi="Times New Roman" w:eastAsia="宋体" w:cs="Times New Roman"/>
                      <w:color w:val="auto"/>
                      <w:sz w:val="21"/>
                      <w:szCs w:val="21"/>
                      <w:highlight w:val="none"/>
                    </w:rPr>
                    <w:t>，符合本条例要求</w:t>
                  </w:r>
                </w:p>
              </w:tc>
            </w:tr>
          </w:tbl>
          <w:p w14:paraId="73E9684C">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rPr>
              <w:t>7</w:t>
            </w:r>
            <w:r>
              <w:rPr>
                <w:rFonts w:hint="default" w:ascii="Times New Roman" w:hAnsi="Times New Roman" w:eastAsia="宋体" w:cs="Times New Roman"/>
                <w:b/>
                <w:bCs/>
                <w:color w:val="auto"/>
                <w:sz w:val="24"/>
                <w:szCs w:val="24"/>
                <w:highlight w:val="none"/>
                <w:lang w:val="zh-CN"/>
              </w:rPr>
              <w:t>、与《关于做好生态环境和应急管理部门联动工作的意见》（苏环办[2020]101号）相符性分析</w:t>
            </w:r>
          </w:p>
          <w:p w14:paraId="7ED4F145">
            <w:pPr>
              <w:jc w:val="center"/>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表1-</w:t>
            </w:r>
            <w:r>
              <w:rPr>
                <w:rFonts w:hint="eastAsia"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lang w:val="zh-CN"/>
              </w:rPr>
              <w:t xml:space="preserve">  与苏环办[2020]101号文的相符性分析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83"/>
              <w:gridCol w:w="2841"/>
              <w:gridCol w:w="883"/>
            </w:tblGrid>
            <w:tr w14:paraId="4AB068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4F102799">
                  <w:pPr>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文件指导要求</w:t>
                  </w:r>
                </w:p>
              </w:tc>
              <w:tc>
                <w:tcPr>
                  <w:tcW w:w="1689" w:type="pct"/>
                  <w:vAlign w:val="center"/>
                </w:tcPr>
                <w:p w14:paraId="74877128">
                  <w:pPr>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本项目相符性分析</w:t>
                  </w:r>
                </w:p>
              </w:tc>
              <w:tc>
                <w:tcPr>
                  <w:tcW w:w="525" w:type="pct"/>
                  <w:vAlign w:val="center"/>
                </w:tcPr>
                <w:p w14:paraId="2FFBA106">
                  <w:pPr>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相符性</w:t>
                  </w:r>
                </w:p>
              </w:tc>
            </w:tr>
            <w:tr w14:paraId="60284F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54CB5AFC">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vAlign w:val="center"/>
                </w:tcPr>
                <w:p w14:paraId="548FAEBA">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本项目产生的危险废物包括</w:t>
                  </w:r>
                  <w:r>
                    <w:rPr>
                      <w:rFonts w:hint="eastAsia" w:ascii="Times New Roman" w:hAnsi="Times New Roman" w:eastAsia="宋体" w:cs="Times New Roman"/>
                      <w:color w:val="auto"/>
                      <w:sz w:val="21"/>
                      <w:szCs w:val="21"/>
                      <w:highlight w:val="none"/>
                      <w:lang w:val="en-US" w:eastAsia="zh-CN"/>
                    </w:rPr>
                    <w:t>含胶废物、废包装物、含油废抹布手套、废活性炭、污泥、污水处理站浓水</w:t>
                  </w:r>
                  <w:r>
                    <w:rPr>
                      <w:rFonts w:hint="default" w:ascii="Times New Roman" w:hAnsi="Times New Roman" w:eastAsia="宋体" w:cs="Times New Roman"/>
                      <w:bCs/>
                      <w:color w:val="auto"/>
                      <w:sz w:val="21"/>
                      <w:szCs w:val="21"/>
                      <w:highlight w:val="none"/>
                      <w:lang w:val="zh-CN"/>
                    </w:rPr>
                    <w:t>，本项目建成后将按照相关法律法规及标准技术文件对危废进行收集、贮存、运输、处置，危废的管理过程将在“江苏省危险废物全生命周期监控系统”中体现</w:t>
                  </w:r>
                </w:p>
              </w:tc>
              <w:tc>
                <w:tcPr>
                  <w:tcW w:w="525" w:type="pct"/>
                  <w:vAlign w:val="center"/>
                </w:tcPr>
                <w:p w14:paraId="7E065372">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相符</w:t>
                  </w:r>
                </w:p>
              </w:tc>
            </w:tr>
            <w:tr w14:paraId="37FE7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7BDCF5D9">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vAlign w:val="center"/>
                </w:tcPr>
                <w:p w14:paraId="69CCB545">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本项目实施后，按要求编制环保设施安全风险辨识评估报告。</w:t>
                  </w:r>
                </w:p>
              </w:tc>
              <w:tc>
                <w:tcPr>
                  <w:tcW w:w="525" w:type="pct"/>
                  <w:vAlign w:val="center"/>
                </w:tcPr>
                <w:p w14:paraId="396EDCE8">
                  <w:pPr>
                    <w:jc w:val="center"/>
                    <w:rPr>
                      <w:rFonts w:hint="default" w:ascii="Times New Roman" w:hAnsi="Times New Roman" w:eastAsia="宋体" w:cs="Times New Roman"/>
                      <w:bCs/>
                      <w:color w:val="auto"/>
                      <w:sz w:val="21"/>
                      <w:szCs w:val="21"/>
                      <w:highlight w:val="none"/>
                      <w:lang w:val="zh-CN"/>
                    </w:rPr>
                  </w:pPr>
                  <w:r>
                    <w:rPr>
                      <w:rFonts w:hint="default" w:ascii="Times New Roman" w:hAnsi="Times New Roman" w:eastAsia="宋体" w:cs="Times New Roman"/>
                      <w:bCs/>
                      <w:color w:val="auto"/>
                      <w:sz w:val="21"/>
                      <w:szCs w:val="21"/>
                      <w:highlight w:val="none"/>
                      <w:lang w:val="zh-CN"/>
                    </w:rPr>
                    <w:t>相符</w:t>
                  </w:r>
                </w:p>
              </w:tc>
            </w:tr>
          </w:tbl>
          <w:p w14:paraId="3B737FE5">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rPr>
              <w:t>8</w:t>
            </w:r>
            <w:r>
              <w:rPr>
                <w:rFonts w:hint="default" w:ascii="Times New Roman" w:hAnsi="Times New Roman" w:eastAsia="宋体" w:cs="Times New Roman"/>
                <w:b/>
                <w:bCs/>
                <w:color w:val="auto"/>
                <w:sz w:val="24"/>
                <w:szCs w:val="24"/>
                <w:highlight w:val="none"/>
                <w:lang w:val="zh-CN"/>
              </w:rPr>
              <w:t>、与《省生态环境厅关于进一步加强建设项目环评审批和服务工作的指导意见》（苏环办[2020]225号）相符性分析</w:t>
            </w:r>
          </w:p>
          <w:p w14:paraId="44060BBE">
            <w:pPr>
              <w:autoSpaceDE w:val="0"/>
              <w:autoSpaceDN w:val="0"/>
              <w:adjustRightInd w:val="0"/>
              <w:jc w:val="center"/>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表</w:t>
            </w:r>
            <w:r>
              <w:rPr>
                <w:rFonts w:hint="default"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zh-CN"/>
              </w:rPr>
              <w:t>本项目与苏环办[2020]225号文相符性分析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3096"/>
              <w:gridCol w:w="3649"/>
              <w:gridCol w:w="781"/>
            </w:tblGrid>
            <w:tr w14:paraId="72D6AE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663035FD">
                  <w:pPr>
                    <w:autoSpaceDE w:val="0"/>
                    <w:autoSpaceDN w:val="0"/>
                    <w:adjustRightIn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类别</w:t>
                  </w:r>
                </w:p>
              </w:tc>
              <w:tc>
                <w:tcPr>
                  <w:tcW w:w="1840" w:type="pct"/>
                  <w:vAlign w:val="center"/>
                </w:tcPr>
                <w:p w14:paraId="57DC9012">
                  <w:pPr>
                    <w:autoSpaceDE w:val="0"/>
                    <w:autoSpaceDN w:val="0"/>
                    <w:adjustRightIn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文件要求</w:t>
                  </w:r>
                </w:p>
              </w:tc>
              <w:tc>
                <w:tcPr>
                  <w:tcW w:w="2169" w:type="pct"/>
                  <w:vAlign w:val="center"/>
                </w:tcPr>
                <w:p w14:paraId="31DD1F86">
                  <w:pPr>
                    <w:autoSpaceDE w:val="0"/>
                    <w:autoSpaceDN w:val="0"/>
                    <w:adjustRightIn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本项目对照分析</w:t>
                  </w:r>
                </w:p>
              </w:tc>
              <w:tc>
                <w:tcPr>
                  <w:tcW w:w="464" w:type="pct"/>
                  <w:vAlign w:val="center"/>
                </w:tcPr>
                <w:p w14:paraId="506C35DE">
                  <w:pPr>
                    <w:autoSpaceDE w:val="0"/>
                    <w:autoSpaceDN w:val="0"/>
                    <w:adjustRightInd w:val="0"/>
                    <w:ind w:left="-73" w:leftChars="-35" w:right="-73" w:rightChars="-35"/>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相符性</w:t>
                  </w:r>
                </w:p>
              </w:tc>
            </w:tr>
            <w:tr w14:paraId="706BE8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restart"/>
                  <w:vAlign w:val="center"/>
                </w:tcPr>
                <w:p w14:paraId="1F55507F">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严守生态环境质量底线</w:t>
                  </w:r>
                </w:p>
              </w:tc>
              <w:tc>
                <w:tcPr>
                  <w:tcW w:w="1840" w:type="pct"/>
                  <w:vAlign w:val="center"/>
                </w:tcPr>
                <w:p w14:paraId="02279911">
                  <w:pPr>
                    <w:autoSpaceDE w:val="0"/>
                    <w:autoSpaceDN w:val="0"/>
                    <w:adjustRightIn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建设项目所在区域环境质量</w:t>
                  </w:r>
                  <w:r>
                    <w:rPr>
                      <w:rFonts w:hint="eastAsia" w:ascii="Times New Roman" w:hAnsi="Times New Roman" w:eastAsia="宋体" w:cs="Times New Roman"/>
                      <w:color w:val="auto"/>
                      <w:kern w:val="0"/>
                      <w:sz w:val="21"/>
                      <w:szCs w:val="21"/>
                      <w:highlight w:val="none"/>
                      <w:lang w:eastAsia="zh-CN"/>
                    </w:rPr>
                    <w:t>未</w:t>
                  </w:r>
                  <w:r>
                    <w:rPr>
                      <w:rFonts w:hint="default" w:ascii="Times New Roman" w:hAnsi="Times New Roman" w:eastAsia="宋体" w:cs="Times New Roman"/>
                      <w:color w:val="auto"/>
                      <w:kern w:val="0"/>
                      <w:sz w:val="21"/>
                      <w:szCs w:val="21"/>
                      <w:highlight w:val="none"/>
                    </w:rPr>
                    <w:t>达到国家或地方环境质量标准，且项目拟采取的污染防治措施不能满足区域环境质量改善目标管理要求的，一律不得审批。</w:t>
                  </w:r>
                </w:p>
              </w:tc>
              <w:tc>
                <w:tcPr>
                  <w:tcW w:w="2169" w:type="pct"/>
                  <w:vAlign w:val="center"/>
                </w:tcPr>
                <w:p w14:paraId="59A79F1A">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根据《202</w:t>
                  </w:r>
                  <w:r>
                    <w:rPr>
                      <w:rFonts w:hint="default"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年常州市生态环境质量状况公报》，项目所在区域大气环境质量属于不达标区。根据环境质量现状监测数据，地表水、声环境质量均能够满足相应功能区划要求。</w:t>
                  </w:r>
                </w:p>
                <w:p w14:paraId="1D8153CB">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项目建成后采取严格的污染防治措施，废水、厂界噪声均可达标排放，固废合理处置，不会使区域环境质量恶化。</w:t>
                  </w:r>
                </w:p>
              </w:tc>
              <w:tc>
                <w:tcPr>
                  <w:tcW w:w="464" w:type="pct"/>
                  <w:vAlign w:val="center"/>
                </w:tcPr>
                <w:p w14:paraId="542FB3D8">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r w14:paraId="7435BD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3979B27E">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1840" w:type="pct"/>
                  <w:vAlign w:val="center"/>
                </w:tcPr>
                <w:p w14:paraId="5C457856">
                  <w:pPr>
                    <w:autoSpaceDE w:val="0"/>
                    <w:autoSpaceDN w:val="0"/>
                    <w:adjustRightIn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加强规划环评与建设项目环评联动，对不符合规划环评结论及审查意见的项目环评，依法不予审批。规划所包含项目的环评内容，可根据规划环评结论和审查意见予以简化。</w:t>
                  </w:r>
                </w:p>
              </w:tc>
              <w:tc>
                <w:tcPr>
                  <w:tcW w:w="2169" w:type="pct"/>
                  <w:vAlign w:val="center"/>
                </w:tcPr>
                <w:p w14:paraId="152E08CB">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本项目建设于</w:t>
                  </w:r>
                  <w:r>
                    <w:rPr>
                      <w:rFonts w:hint="eastAsia" w:ascii="Times New Roman" w:hAnsi="Times New Roman" w:eastAsia="宋体" w:cs="Times New Roman"/>
                      <w:color w:val="auto"/>
                      <w:kern w:val="0"/>
                      <w:sz w:val="21"/>
                      <w:szCs w:val="21"/>
                      <w:highlight w:val="none"/>
                      <w:lang w:eastAsia="zh-CN"/>
                    </w:rPr>
                    <w:t>常州市金坛区晨风路1136号（金坛控股中南高科创新园）14幢</w:t>
                  </w:r>
                  <w:r>
                    <w:rPr>
                      <w:rFonts w:hint="default" w:ascii="Times New Roman" w:hAnsi="Times New Roman" w:eastAsia="宋体" w:cs="Times New Roman"/>
                      <w:color w:val="auto"/>
                      <w:kern w:val="0"/>
                      <w:sz w:val="21"/>
                      <w:szCs w:val="21"/>
                      <w:highlight w:val="none"/>
                    </w:rPr>
                    <w:t>，位于</w:t>
                  </w:r>
                  <w:r>
                    <w:rPr>
                      <w:rFonts w:hint="eastAsia" w:ascii="Times New Roman" w:hAnsi="Times New Roman" w:eastAsia="宋体" w:cs="Times New Roman"/>
                      <w:color w:val="auto"/>
                      <w:kern w:val="0"/>
                      <w:sz w:val="21"/>
                      <w:szCs w:val="21"/>
                      <w:highlight w:val="none"/>
                      <w:lang w:eastAsia="zh-CN"/>
                    </w:rPr>
                    <w:t>江苏金坛经济开发区</w:t>
                  </w:r>
                  <w:r>
                    <w:rPr>
                      <w:rFonts w:hint="default" w:ascii="Times New Roman" w:hAnsi="Times New Roman" w:eastAsia="宋体" w:cs="Times New Roman"/>
                      <w:color w:val="auto"/>
                      <w:kern w:val="0"/>
                      <w:sz w:val="21"/>
                      <w:szCs w:val="21"/>
                      <w:highlight w:val="none"/>
                    </w:rPr>
                    <w:t>，根据《金坛经济开发区发展规划报告书》，项目所在地规划为工业用地。项目所在地用地性质为工业用地，其用地功能与规划用地性质相符</w:t>
                  </w:r>
                </w:p>
              </w:tc>
              <w:tc>
                <w:tcPr>
                  <w:tcW w:w="464" w:type="pct"/>
                  <w:vAlign w:val="center"/>
                </w:tcPr>
                <w:p w14:paraId="037FC35D">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r w14:paraId="430AE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0F0E3E59">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1840" w:type="pct"/>
                  <w:vAlign w:val="center"/>
                </w:tcPr>
                <w:p w14:paraId="695E8AF5">
                  <w:pPr>
                    <w:autoSpaceDE w:val="0"/>
                    <w:autoSpaceDN w:val="0"/>
                    <w:adjustRightIn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切实加强区域环境容量、环境承载力研究，不得审批突破环境容量和环境承载力的建设项目。</w:t>
                  </w:r>
                </w:p>
              </w:tc>
              <w:tc>
                <w:tcPr>
                  <w:tcW w:w="2169" w:type="pct"/>
                  <w:vAlign w:val="center"/>
                </w:tcPr>
                <w:p w14:paraId="2D2E2A5C">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rPr>
                    <w:t>生活污水</w:t>
                  </w:r>
                  <w:r>
                    <w:rPr>
                      <w:rFonts w:hint="default" w:ascii="Times New Roman" w:hAnsi="Times New Roman" w:eastAsia="宋体" w:cs="Times New Roman"/>
                      <w:color w:val="auto"/>
                      <w:kern w:val="0"/>
                      <w:sz w:val="21"/>
                      <w:szCs w:val="21"/>
                      <w:highlight w:val="none"/>
                      <w:lang w:val="en-US" w:eastAsia="zh-CN"/>
                    </w:rPr>
                    <w:t>经市政污水管网接至</w:t>
                  </w:r>
                  <w:r>
                    <w:rPr>
                      <w:rFonts w:hint="default" w:ascii="Times New Roman" w:hAnsi="Times New Roman" w:eastAsia="宋体" w:cs="Times New Roman"/>
                      <w:color w:val="auto"/>
                      <w:kern w:val="0"/>
                      <w:sz w:val="21"/>
                      <w:szCs w:val="21"/>
                      <w:highlight w:val="none"/>
                    </w:rPr>
                    <w:t>常州市金坛区第二污水处理厂集中处理，水污染物排放总量在常州市金坛区第二污水处理厂内平衡</w:t>
                  </w:r>
                </w:p>
              </w:tc>
              <w:tc>
                <w:tcPr>
                  <w:tcW w:w="464" w:type="pct"/>
                  <w:vAlign w:val="center"/>
                </w:tcPr>
                <w:p w14:paraId="49A090D5">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r w14:paraId="3CF03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468E9065">
                  <w:pPr>
                    <w:autoSpaceDE w:val="0"/>
                    <w:autoSpaceDN w:val="0"/>
                    <w:adjustRightInd w:val="0"/>
                    <w:jc w:val="center"/>
                    <w:rPr>
                      <w:rFonts w:hint="default" w:ascii="Times New Roman" w:hAnsi="Times New Roman" w:eastAsia="宋体" w:cs="Times New Roman"/>
                      <w:color w:val="auto"/>
                      <w:kern w:val="0"/>
                      <w:sz w:val="21"/>
                      <w:szCs w:val="21"/>
                      <w:highlight w:val="none"/>
                    </w:rPr>
                  </w:pPr>
                </w:p>
              </w:tc>
              <w:tc>
                <w:tcPr>
                  <w:tcW w:w="1840" w:type="pct"/>
                  <w:vAlign w:val="center"/>
                </w:tcPr>
                <w:p w14:paraId="0ACCC323">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应将“三线一单”作为建设项目环评审批的重要依据，严格落实生态环境分区管控要求，从严把好环境准入关。</w:t>
                  </w:r>
                </w:p>
              </w:tc>
              <w:tc>
                <w:tcPr>
                  <w:tcW w:w="2169" w:type="pct"/>
                  <w:vAlign w:val="center"/>
                </w:tcPr>
                <w:p w14:paraId="2995C21C">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本项目符合“三线一单”（即生态</w:t>
                  </w:r>
                </w:p>
                <w:p w14:paraId="111E8477">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保护红线、环境质量底线、资源利用上线、环境准入负面清单）管理机制的要求</w:t>
                  </w:r>
                </w:p>
              </w:tc>
              <w:tc>
                <w:tcPr>
                  <w:tcW w:w="464" w:type="pct"/>
                  <w:vAlign w:val="center"/>
                </w:tcPr>
                <w:p w14:paraId="48A2E4B9">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r w14:paraId="617D5F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530BF65F">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严格重点行业环评审批</w:t>
                  </w:r>
                </w:p>
              </w:tc>
              <w:tc>
                <w:tcPr>
                  <w:tcW w:w="1840" w:type="pct"/>
                  <w:vAlign w:val="center"/>
                </w:tcPr>
                <w:p w14:paraId="68337334">
                  <w:pPr>
                    <w:autoSpaceDE w:val="0"/>
                    <w:autoSpaceDN w:val="0"/>
                    <w:adjustRightInd w:val="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严格执行《江苏省长江经济带发展负面清单实施细则</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试行</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》，禁止在合规园区外新建、扩建钢铁、石化、化工、焦化少一。建材、有色等行业中的高污染项目。禁止新建</w:t>
                  </w:r>
                  <w:r>
                    <w:rPr>
                      <w:rFonts w:hint="eastAsia" w:ascii="Times New Roman" w:hAnsi="Times New Roman" w:eastAsia="宋体" w:cs="Times New Roman"/>
                      <w:color w:val="auto"/>
                      <w:kern w:val="0"/>
                      <w:sz w:val="21"/>
                      <w:szCs w:val="21"/>
                      <w:highlight w:val="none"/>
                      <w:lang w:eastAsia="zh-CN"/>
                    </w:rPr>
                    <w:t>燃煤</w:t>
                  </w:r>
                  <w:r>
                    <w:rPr>
                      <w:rFonts w:hint="default" w:ascii="Times New Roman" w:hAnsi="Times New Roman" w:eastAsia="宋体" w:cs="Times New Roman"/>
                      <w:color w:val="auto"/>
                      <w:kern w:val="0"/>
                      <w:sz w:val="21"/>
                      <w:szCs w:val="21"/>
                      <w:highlight w:val="none"/>
                    </w:rPr>
                    <w:t>电厂。</w:t>
                  </w:r>
                </w:p>
              </w:tc>
              <w:tc>
                <w:tcPr>
                  <w:tcW w:w="2169" w:type="pct"/>
                  <w:vAlign w:val="center"/>
                </w:tcPr>
                <w:p w14:paraId="23EF22E9">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本项目不属于禁止类项目</w:t>
                  </w:r>
                </w:p>
              </w:tc>
              <w:tc>
                <w:tcPr>
                  <w:tcW w:w="464" w:type="pct"/>
                  <w:vAlign w:val="center"/>
                </w:tcPr>
                <w:p w14:paraId="682BA922">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bl>
          <w:p w14:paraId="50DAD312">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与《关于加强高耗能、高排放建设项目生态环境源头防控的指导意见》（环环评</w:t>
            </w:r>
            <w:r>
              <w:rPr>
                <w:rFonts w:hint="eastAsia" w:ascii="Times New Roman" w:hAnsi="Times New Roman" w:eastAsia="宋体" w:cs="Times New Roman"/>
                <w:b/>
                <w:bCs/>
                <w:color w:val="auto"/>
                <w:sz w:val="24"/>
                <w:szCs w:val="24"/>
                <w:highlight w:val="none"/>
                <w:lang w:eastAsia="zh-CN"/>
              </w:rPr>
              <w:t>〔2021〕45号</w:t>
            </w:r>
            <w:r>
              <w:rPr>
                <w:rFonts w:hint="default" w:ascii="Times New Roman" w:hAnsi="Times New Roman" w:eastAsia="宋体" w:cs="Times New Roman"/>
                <w:b/>
                <w:bCs/>
                <w:color w:val="auto"/>
                <w:sz w:val="24"/>
                <w:szCs w:val="24"/>
                <w:highlight w:val="none"/>
              </w:rPr>
              <w:t>）相符性分析</w:t>
            </w:r>
          </w:p>
          <w:p w14:paraId="7135A77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表</w:t>
            </w:r>
            <w:r>
              <w:rPr>
                <w:rFonts w:hint="default" w:ascii="Times New Roman" w:hAnsi="Times New Roman" w:eastAsia="宋体" w:cs="Times New Roman"/>
                <w:b/>
                <w:bCs/>
                <w:color w:val="auto"/>
                <w:sz w:val="24"/>
                <w:szCs w:val="24"/>
                <w:highlight w:val="none"/>
              </w:rPr>
              <w:t>1-1</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zh-CN"/>
              </w:rPr>
              <w:t>本项目与</w:t>
            </w:r>
            <w:r>
              <w:rPr>
                <w:rFonts w:hint="default" w:ascii="Times New Roman" w:hAnsi="Times New Roman" w:eastAsia="宋体" w:cs="Times New Roman"/>
                <w:b/>
                <w:bCs/>
                <w:color w:val="auto"/>
                <w:sz w:val="24"/>
                <w:szCs w:val="24"/>
                <w:highlight w:val="none"/>
              </w:rPr>
              <w:t>环环评</w:t>
            </w:r>
            <w:r>
              <w:rPr>
                <w:rFonts w:hint="eastAsia" w:ascii="Times New Roman" w:hAnsi="Times New Roman" w:eastAsia="宋体" w:cs="Times New Roman"/>
                <w:b/>
                <w:bCs/>
                <w:color w:val="auto"/>
                <w:sz w:val="24"/>
                <w:szCs w:val="24"/>
                <w:highlight w:val="none"/>
                <w:lang w:eastAsia="zh-CN"/>
              </w:rPr>
              <w:t>〔2021〕45号</w:t>
            </w:r>
            <w:r>
              <w:rPr>
                <w:rFonts w:hint="default" w:ascii="Times New Roman" w:hAnsi="Times New Roman" w:eastAsia="宋体" w:cs="Times New Roman"/>
                <w:b/>
                <w:bCs/>
                <w:color w:val="auto"/>
                <w:sz w:val="24"/>
                <w:szCs w:val="24"/>
                <w:highlight w:val="none"/>
                <w:lang w:val="zh-CN"/>
              </w:rPr>
              <w:t>文相符性分析</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3"/>
              <w:gridCol w:w="2322"/>
            </w:tblGrid>
            <w:tr w14:paraId="16E69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7D2D62A3">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文件要求</w:t>
                  </w:r>
                </w:p>
              </w:tc>
              <w:tc>
                <w:tcPr>
                  <w:tcW w:w="1381" w:type="pct"/>
                  <w:vAlign w:val="center"/>
                </w:tcPr>
                <w:p w14:paraId="1B0C7787">
                  <w:pPr>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相符性分析</w:t>
                  </w:r>
                </w:p>
              </w:tc>
            </w:tr>
            <w:tr w14:paraId="164F2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2CC7EC0F">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381" w:type="pct"/>
                  <w:vMerge w:val="restart"/>
                  <w:vAlign w:val="center"/>
                </w:tcPr>
                <w:p w14:paraId="750F6E3B">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本项目不属于上述“两高”项目。同时，本项目采用的工艺技术和装备先进且适用，使用清洁能源电</w:t>
                  </w:r>
                  <w:r>
                    <w:rPr>
                      <w:rFonts w:hint="eastAsia" w:ascii="Times New Roman" w:hAnsi="Times New Roman" w:eastAsia="宋体" w:cs="Times New Roman"/>
                      <w:color w:val="auto"/>
                      <w:kern w:val="0"/>
                      <w:sz w:val="21"/>
                      <w:szCs w:val="21"/>
                      <w:highlight w:val="none"/>
                      <w:lang w:val="en-US" w:eastAsia="zh-CN"/>
                    </w:rPr>
                    <w:t>能、天然气</w:t>
                  </w:r>
                  <w:r>
                    <w:rPr>
                      <w:rFonts w:hint="default" w:ascii="Times New Roman" w:hAnsi="Times New Roman" w:eastAsia="宋体" w:cs="Times New Roman"/>
                      <w:color w:val="auto"/>
                      <w:kern w:val="0"/>
                      <w:sz w:val="21"/>
                      <w:szCs w:val="21"/>
                      <w:highlight w:val="none"/>
                    </w:rPr>
                    <w:t>，本项目废气经过有效处理后达标排放，在</w:t>
                  </w:r>
                  <w:r>
                    <w:rPr>
                      <w:rFonts w:hint="eastAsia" w:ascii="Times New Roman" w:hAnsi="Times New Roman" w:eastAsia="宋体" w:cs="Times New Roman"/>
                      <w:color w:val="auto"/>
                      <w:kern w:val="0"/>
                      <w:sz w:val="21"/>
                      <w:szCs w:val="21"/>
                      <w:highlight w:val="none"/>
                      <w:lang w:val="en-US" w:eastAsia="zh-CN"/>
                    </w:rPr>
                    <w:t>经济开发区</w:t>
                  </w:r>
                  <w:r>
                    <w:rPr>
                      <w:rFonts w:hint="default" w:ascii="Times New Roman" w:hAnsi="Times New Roman" w:eastAsia="宋体" w:cs="Times New Roman"/>
                      <w:color w:val="auto"/>
                      <w:kern w:val="0"/>
                      <w:sz w:val="21"/>
                      <w:szCs w:val="21"/>
                      <w:highlight w:val="none"/>
                    </w:rPr>
                    <w:t>区域内平衡；</w:t>
                  </w:r>
                  <w:r>
                    <w:rPr>
                      <w:rFonts w:hint="eastAsia" w:ascii="Times New Roman" w:hAnsi="Times New Roman" w:eastAsia="宋体" w:cs="Times New Roman"/>
                      <w:color w:val="auto"/>
                      <w:sz w:val="21"/>
                      <w:szCs w:val="21"/>
                      <w:highlight w:val="none"/>
                      <w:lang w:val="en-US" w:eastAsia="zh-CN"/>
                    </w:rPr>
                    <w:t>生产废水经污水站处理后回用</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kern w:val="0"/>
                      <w:sz w:val="21"/>
                      <w:szCs w:val="21"/>
                      <w:highlight w:val="none"/>
                    </w:rPr>
                    <w:t>生活污水</w:t>
                  </w:r>
                  <w:r>
                    <w:rPr>
                      <w:rFonts w:hint="default" w:ascii="Times New Roman" w:hAnsi="Times New Roman" w:eastAsia="宋体" w:cs="Times New Roman"/>
                      <w:bCs/>
                      <w:color w:val="auto"/>
                      <w:kern w:val="0"/>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常州市金坛区第二污水厂</w:t>
                  </w:r>
                  <w:r>
                    <w:rPr>
                      <w:rFonts w:hint="default" w:ascii="Times New Roman" w:hAnsi="Times New Roman" w:eastAsia="宋体" w:cs="Times New Roman"/>
                      <w:bCs/>
                      <w:color w:val="auto"/>
                      <w:kern w:val="0"/>
                      <w:sz w:val="21"/>
                      <w:szCs w:val="21"/>
                      <w:highlight w:val="none"/>
                    </w:rPr>
                    <w:t>处理，与文件要求相符。</w:t>
                  </w:r>
                </w:p>
              </w:tc>
            </w:tr>
            <w:tr w14:paraId="3A324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31699D66">
                  <w:pPr>
                    <w:autoSpaceDE w:val="0"/>
                    <w:autoSpaceDN w:val="0"/>
                    <w:adjustRightIn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381" w:type="pct"/>
                  <w:vMerge w:val="continue"/>
                  <w:vAlign w:val="center"/>
                </w:tcPr>
                <w:p w14:paraId="5D38FE1A">
                  <w:pPr>
                    <w:jc w:val="center"/>
                    <w:rPr>
                      <w:rFonts w:hint="default" w:ascii="Times New Roman" w:hAnsi="Times New Roman" w:eastAsia="宋体" w:cs="Times New Roman"/>
                      <w:color w:val="auto"/>
                      <w:kern w:val="0"/>
                      <w:sz w:val="21"/>
                      <w:szCs w:val="21"/>
                      <w:highlight w:val="none"/>
                    </w:rPr>
                  </w:pPr>
                </w:p>
              </w:tc>
            </w:tr>
          </w:tbl>
          <w:p w14:paraId="0BE5437C">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综上，本项目与</w:t>
            </w:r>
            <w:r>
              <w:rPr>
                <w:rFonts w:hint="default" w:ascii="Times New Roman" w:hAnsi="Times New Roman" w:eastAsia="宋体" w:cs="Times New Roman"/>
                <w:bCs/>
                <w:color w:val="auto"/>
                <w:kern w:val="0"/>
                <w:sz w:val="24"/>
                <w:szCs w:val="24"/>
                <w:highlight w:val="none"/>
              </w:rPr>
              <w:t>《关于加强高耗能、高排放建设项目生态环境源头防控的指导意见》（环环评</w:t>
            </w:r>
            <w:r>
              <w:rPr>
                <w:rFonts w:hint="eastAsia" w:ascii="Times New Roman" w:hAnsi="Times New Roman" w:eastAsia="宋体" w:cs="Times New Roman"/>
                <w:bCs/>
                <w:color w:val="auto"/>
                <w:kern w:val="0"/>
                <w:sz w:val="24"/>
                <w:szCs w:val="24"/>
                <w:highlight w:val="none"/>
                <w:lang w:eastAsia="zh-CN"/>
              </w:rPr>
              <w:t>〔2021〕45号</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color w:val="auto"/>
                <w:kern w:val="0"/>
                <w:sz w:val="24"/>
                <w:szCs w:val="24"/>
                <w:highlight w:val="none"/>
              </w:rPr>
              <w:t>的要求相符。</w:t>
            </w:r>
          </w:p>
          <w:p w14:paraId="79969C97">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zh-CN"/>
              </w:rPr>
              <w:t>与</w:t>
            </w:r>
            <w:r>
              <w:rPr>
                <w:rFonts w:hint="default" w:ascii="Times New Roman" w:hAnsi="Times New Roman" w:eastAsia="宋体" w:cs="Times New Roman"/>
                <w:b/>
                <w:bCs/>
                <w:color w:val="auto"/>
                <w:sz w:val="24"/>
                <w:szCs w:val="24"/>
                <w:highlight w:val="none"/>
              </w:rPr>
              <w:t>《关于发布&lt;有毒有害大气污染物名录</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2018 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&gt;的公告》</w:t>
            </w:r>
            <w:r>
              <w:rPr>
                <w:rFonts w:hint="default" w:ascii="Times New Roman" w:hAnsi="Times New Roman" w:eastAsia="宋体" w:cs="Times New Roman"/>
                <w:b/>
                <w:bCs/>
                <w:color w:val="auto"/>
                <w:sz w:val="24"/>
                <w:szCs w:val="24"/>
                <w:highlight w:val="none"/>
                <w:lang w:val="zh-CN"/>
              </w:rPr>
              <w:t>相符性分析</w:t>
            </w:r>
          </w:p>
          <w:p w14:paraId="79F12E4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根据生态环境部、国家卫生健康委员会关于发布《有毒有害大气污染物名录（2018 年）》的公告，有毒有害大气污染物名录（2018年）包含二氯甲烷、甲醛、三氯甲烷、三氯乙烯、四氯乙烯、乙醛、镉及其化合物、铬及其化合物、汞及其化合物、铅及其化合物、砷及其化合物。</w:t>
            </w:r>
          </w:p>
          <w:p w14:paraId="6AF306B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本项目主要使用</w:t>
            </w:r>
            <w:r>
              <w:rPr>
                <w:rFonts w:hint="eastAsia" w:ascii="Times New Roman" w:hAnsi="Times New Roman" w:eastAsia="宋体" w:cs="Times New Roman"/>
                <w:bCs/>
                <w:color w:val="auto"/>
                <w:sz w:val="24"/>
                <w:szCs w:val="24"/>
                <w:highlight w:val="none"/>
                <w:lang w:val="en-US" w:eastAsia="zh-CN"/>
              </w:rPr>
              <w:t>水性胶、脱脂剂、硅烷处理剂、塑粉</w:t>
            </w:r>
            <w:r>
              <w:rPr>
                <w:rFonts w:hint="default" w:ascii="Times New Roman" w:hAnsi="Times New Roman" w:eastAsia="宋体" w:cs="Times New Roman"/>
                <w:bCs/>
                <w:color w:val="auto"/>
                <w:sz w:val="24"/>
                <w:szCs w:val="24"/>
                <w:highlight w:val="none"/>
                <w:lang w:val="en-US" w:eastAsia="zh-CN"/>
              </w:rPr>
              <w:t>等</w:t>
            </w:r>
            <w:r>
              <w:rPr>
                <w:rFonts w:hint="default" w:ascii="Times New Roman" w:hAnsi="Times New Roman" w:eastAsia="宋体" w:cs="Times New Roman"/>
                <w:bCs/>
                <w:color w:val="auto"/>
                <w:sz w:val="24"/>
                <w:szCs w:val="24"/>
                <w:highlight w:val="none"/>
              </w:rPr>
              <w:t>，同时生产过程中有</w:t>
            </w:r>
            <w:r>
              <w:rPr>
                <w:rFonts w:hint="default" w:ascii="Times New Roman" w:hAnsi="Times New Roman" w:eastAsia="宋体" w:cs="Times New Roman"/>
                <w:bCs/>
                <w:color w:val="auto"/>
                <w:sz w:val="24"/>
                <w:szCs w:val="24"/>
                <w:highlight w:val="none"/>
                <w:lang w:val="en-US" w:eastAsia="zh-CN"/>
              </w:rPr>
              <w:t>VOCs</w:t>
            </w:r>
            <w:r>
              <w:rPr>
                <w:rFonts w:hint="default" w:ascii="Times New Roman" w:hAnsi="Times New Roman" w:eastAsia="宋体" w:cs="Times New Roman"/>
                <w:bCs/>
                <w:color w:val="auto"/>
                <w:sz w:val="24"/>
                <w:szCs w:val="24"/>
                <w:highlight w:val="none"/>
              </w:rPr>
              <w:t>（含</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rPr>
              <w:t>）产生，不属于有毒有害大气污染物名录（2018年）中包含的大气污染物，与上述内容相符。</w:t>
            </w:r>
          </w:p>
          <w:p w14:paraId="0CBF29E3">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与</w:t>
            </w:r>
            <w:r>
              <w:rPr>
                <w:rFonts w:hint="default" w:ascii="Times New Roman" w:hAnsi="Times New Roman" w:eastAsia="宋体" w:cs="Times New Roman"/>
                <w:b/>
                <w:bCs/>
                <w:color w:val="auto"/>
                <w:sz w:val="24"/>
                <w:szCs w:val="24"/>
                <w:highlight w:val="none"/>
              </w:rPr>
              <w:t>《市生态环境局关于建设项目的审批指导意见》（试行）</w:t>
            </w:r>
            <w:r>
              <w:rPr>
                <w:rFonts w:hint="default" w:ascii="Times New Roman" w:hAnsi="Times New Roman" w:eastAsia="宋体" w:cs="Times New Roman"/>
                <w:b/>
                <w:color w:val="auto"/>
                <w:sz w:val="24"/>
                <w:szCs w:val="24"/>
                <w:highlight w:val="none"/>
              </w:rPr>
              <w:t>的相符性分析</w:t>
            </w:r>
          </w:p>
          <w:p w14:paraId="2CCF190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1、严格项目总量。实施建设项目大气污染物总量负增长原则，即重点区域内建设项目使用大气污染物总量，原则上在重点区域范围内实施总量平衡，且必须实行总量2倍减量替代。</w:t>
            </w:r>
          </w:p>
          <w:p w14:paraId="7A72695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2、强化环评审批。对重点区域内新上的大气污染物排放的建设项目及全市范围内新上高能耗项目，审批部门对其环评文本应实施质量评估。</w:t>
            </w:r>
          </w:p>
          <w:p w14:paraId="30A989C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3、推进减污降碳。对重点区域内新上的涉及大气污染物排放的建设项目及全市范围内新上高能耗建设项目的严格审批，区级审批部门审批前需向市生态环境局报备，审批部门方可出具审批文件。</w:t>
            </w:r>
          </w:p>
          <w:p w14:paraId="1C09996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43F2458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本项目距离最近的国控点（金坛城区大气国控站点）约</w:t>
            </w:r>
            <w:r>
              <w:rPr>
                <w:rFonts w:hint="eastAsia" w:ascii="Times New Roman" w:hAnsi="Times New Roman" w:eastAsia="宋体" w:cs="Times New Roman"/>
                <w:color w:val="auto"/>
                <w:sz w:val="24"/>
                <w:szCs w:val="24"/>
                <w:highlight w:val="none"/>
                <w:lang w:val="en-US" w:eastAsia="zh-CN"/>
              </w:rPr>
              <w:t>7.1</w:t>
            </w:r>
            <w:r>
              <w:rPr>
                <w:rFonts w:hint="default" w:ascii="Times New Roman" w:hAnsi="Times New Roman" w:eastAsia="宋体" w:cs="Times New Roman"/>
                <w:color w:val="auto"/>
                <w:sz w:val="24"/>
                <w:szCs w:val="24"/>
                <w:highlight w:val="none"/>
              </w:rPr>
              <w:t>km，不在重点区域内。</w:t>
            </w:r>
          </w:p>
          <w:p w14:paraId="2252066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新建光伏组件及电力设备加工项目</w:t>
            </w:r>
            <w:r>
              <w:rPr>
                <w:rFonts w:hint="default" w:ascii="Times New Roman" w:hAnsi="Times New Roman" w:eastAsia="宋体" w:cs="Times New Roman"/>
                <w:color w:val="auto"/>
                <w:sz w:val="24"/>
                <w:szCs w:val="24"/>
                <w:highlight w:val="none"/>
              </w:rPr>
              <w:t>，行业类别为</w:t>
            </w:r>
            <w:r>
              <w:rPr>
                <w:rFonts w:hint="default" w:ascii="Times New Roman" w:hAnsi="Times New Roman" w:eastAsia="宋体" w:cs="Times New Roman"/>
                <w:color w:val="auto"/>
                <w:sz w:val="24"/>
                <w:highlight w:val="none"/>
              </w:rPr>
              <w:t>C3823配电开关控制设备制造、C3825光伏设备及元器件制造</w:t>
            </w:r>
            <w:r>
              <w:rPr>
                <w:rFonts w:hint="default" w:ascii="Times New Roman" w:hAnsi="Times New Roman" w:eastAsia="宋体" w:cs="Times New Roman"/>
                <w:color w:val="auto"/>
                <w:sz w:val="24"/>
                <w:szCs w:val="24"/>
                <w:highlight w:val="none"/>
              </w:rPr>
              <w:t>，对照《省生态环境厅关于报送高耗能、高排放项目清单的通知》项目报送范围，本项目不属于两高项目。</w:t>
            </w:r>
          </w:p>
          <w:p w14:paraId="2824D8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、与《胶粘剂挥发性有机化合物限量》（GB33372-2020）相符性分析</w:t>
            </w:r>
          </w:p>
          <w:p w14:paraId="56BE70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根据建设单位提供的水性胶水的挥发性有机化合物（VOC）检测报告（见附件），本项目所使用水性胶水VOC含量限值为</w:t>
            </w:r>
            <w:r>
              <w:rPr>
                <w:rFonts w:hint="eastAsia" w:ascii="Times New Roman" w:hAnsi="Times New Roman" w:eastAsia="宋体" w:cs="Times New Roman"/>
                <w:color w:val="auto"/>
                <w:sz w:val="24"/>
                <w:szCs w:val="24"/>
                <w:highlight w:val="none"/>
                <w:lang w:val="en-US" w:eastAsia="zh-CN"/>
              </w:rPr>
              <w:t>6.686</w:t>
            </w:r>
            <w:r>
              <w:rPr>
                <w:rFonts w:hint="default" w:ascii="Times New Roman" w:hAnsi="Times New Roman" w:eastAsia="宋体" w:cs="Times New Roman"/>
                <w:color w:val="auto"/>
                <w:sz w:val="24"/>
                <w:szCs w:val="24"/>
                <w:highlight w:val="none"/>
                <w:lang w:val="en-US" w:eastAsia="zh-CN"/>
              </w:rPr>
              <w:t>g/L，符合《胶粘剂挥发性有机化合物限量》（GB33372-2020）中表2</w:t>
            </w:r>
            <w:r>
              <w:rPr>
                <w:rFonts w:hint="eastAsia" w:ascii="Times New Roman" w:hAnsi="Times New Roman" w:eastAsia="宋体" w:cs="Times New Roman"/>
                <w:color w:val="auto"/>
                <w:sz w:val="24"/>
                <w:szCs w:val="24"/>
                <w:highlight w:val="none"/>
                <w:lang w:val="en-US" w:eastAsia="zh-CN"/>
              </w:rPr>
              <w:t>聚氨酯</w:t>
            </w:r>
            <w:r>
              <w:rPr>
                <w:rFonts w:hint="default" w:ascii="Times New Roman" w:hAnsi="Times New Roman" w:eastAsia="宋体" w:cs="Times New Roman"/>
                <w:color w:val="auto"/>
                <w:sz w:val="24"/>
                <w:szCs w:val="24"/>
                <w:highlight w:val="none"/>
                <w:lang w:val="en-US" w:eastAsia="zh-CN"/>
              </w:rPr>
              <w:t>类-其他类标准（50g/L）</w:t>
            </w:r>
            <w:r>
              <w:rPr>
                <w:rFonts w:hint="default" w:ascii="Times New Roman" w:hAnsi="Times New Roman" w:eastAsia="宋体" w:cs="Times New Roman"/>
                <w:color w:val="auto"/>
                <w:kern w:val="0"/>
                <w:sz w:val="24"/>
                <w:szCs w:val="24"/>
                <w:highlight w:val="none"/>
              </w:rPr>
              <w:t>。</w:t>
            </w:r>
          </w:p>
          <w:p w14:paraId="288A6AD0">
            <w:pPr>
              <w:spacing w:line="360" w:lineRule="auto"/>
              <w:jc w:val="left"/>
              <w:rPr>
                <w:rFonts w:hint="default" w:ascii="Times New Roman" w:hAnsi="Times New Roman" w:eastAsia="宋体" w:cs="Times New Roman"/>
                <w:color w:val="auto"/>
                <w:sz w:val="24"/>
                <w:szCs w:val="24"/>
                <w:highlight w:val="none"/>
              </w:rPr>
            </w:pPr>
          </w:p>
        </w:tc>
      </w:tr>
    </w:tbl>
    <w:p w14:paraId="33E0E64B">
      <w:pPr>
        <w:rPr>
          <w:rFonts w:hint="default" w:ascii="Times New Roman" w:hAnsi="Times New Roman" w:eastAsia="宋体" w:cs="Times New Roman"/>
          <w:color w:val="auto"/>
          <w:sz w:val="24"/>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1EC9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0" w:type="dxa"/>
          </w:tcPr>
          <w:p w14:paraId="7565588B">
            <w:pPr>
              <w:pStyle w:val="6"/>
              <w:rPr>
                <w:rFonts w:hint="default" w:ascii="Times New Roman" w:hAnsi="Times New Roman" w:cs="Times New Roman"/>
                <w:color w:val="auto"/>
                <w:highlight w:val="none"/>
                <w:vertAlign w:val="baseline"/>
              </w:rPr>
            </w:pPr>
          </w:p>
        </w:tc>
        <w:tc>
          <w:tcPr>
            <w:tcW w:w="12978" w:type="dxa"/>
          </w:tcPr>
          <w:p w14:paraId="7D021441">
            <w:pPr>
              <w:spacing w:line="360" w:lineRule="auto"/>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1</w:t>
            </w:r>
            <w:r>
              <w:rPr>
                <w:rFonts w:hint="eastAsia" w:ascii="Times New Roman" w:hAnsi="Times New Roman" w:eastAsia="宋体"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rPr>
              <w:t>、与相关环保法律法规相符性分析</w:t>
            </w:r>
          </w:p>
          <w:p w14:paraId="11DF9BC1">
            <w:pPr>
              <w:spacing w:line="360" w:lineRule="auto"/>
              <w:ind w:firstLine="480"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本项目与相关法律法规相符性分析见表1-</w:t>
            </w:r>
            <w:r>
              <w:rPr>
                <w:rFonts w:hint="default"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p>
          <w:p w14:paraId="729037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default" w:ascii="Times New Roman" w:hAnsi="Times New Roman" w:eastAsia="宋体"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项目与相关环保法律法规相符性分析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0"/>
              <w:gridCol w:w="2827"/>
              <w:gridCol w:w="886"/>
            </w:tblGrid>
            <w:tr w14:paraId="45B47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65661E1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802" w:type="pct"/>
                  <w:tcBorders>
                    <w:tl2br w:val="nil"/>
                    <w:tr2bl w:val="nil"/>
                  </w:tcBorders>
                  <w:vAlign w:val="center"/>
                </w:tcPr>
                <w:p w14:paraId="053138A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文件名称</w:t>
                  </w:r>
                </w:p>
              </w:tc>
              <w:tc>
                <w:tcPr>
                  <w:tcW w:w="2534" w:type="pct"/>
                  <w:tcBorders>
                    <w:tl2br w:val="nil"/>
                    <w:tr2bl w:val="nil"/>
                  </w:tcBorders>
                  <w:vAlign w:val="center"/>
                </w:tcPr>
                <w:p w14:paraId="61B9B06D">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文件要求</w:t>
                  </w:r>
                </w:p>
              </w:tc>
              <w:tc>
                <w:tcPr>
                  <w:tcW w:w="1107" w:type="pct"/>
                  <w:tcBorders>
                    <w:tl2br w:val="nil"/>
                    <w:tr2bl w:val="nil"/>
                  </w:tcBorders>
                  <w:vAlign w:val="center"/>
                </w:tcPr>
                <w:p w14:paraId="6ECE1E56">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347" w:type="pct"/>
                  <w:tcBorders>
                    <w:tl2br w:val="nil"/>
                    <w:tr2bl w:val="nil"/>
                  </w:tcBorders>
                  <w:vAlign w:val="center"/>
                </w:tcPr>
                <w:p w14:paraId="3CBE375F">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是否符合</w:t>
                  </w:r>
                </w:p>
              </w:tc>
            </w:tr>
            <w:tr w14:paraId="28819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3F10CB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802" w:type="pct"/>
                  <w:tcBorders>
                    <w:tl2br w:val="nil"/>
                    <w:tr2bl w:val="nil"/>
                  </w:tcBorders>
                  <w:vAlign w:val="center"/>
                </w:tcPr>
                <w:p w14:paraId="5FF55F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《中华人民共和国大气污染防治法》（2018年修正）</w:t>
                  </w:r>
                </w:p>
              </w:tc>
              <w:tc>
                <w:tcPr>
                  <w:tcW w:w="2534" w:type="pct"/>
                  <w:tcBorders>
                    <w:tl2br w:val="nil"/>
                    <w:tr2bl w:val="nil"/>
                  </w:tcBorders>
                  <w:vAlign w:val="center"/>
                </w:tcPr>
                <w:p w14:paraId="4358AF16">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178181F1">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第四十五条  产生含挥发性有机物废气的生产和服务活动，应当在密闭空间或者设备中进行，并按照规定安装、使用污染防治设施；无法密闭的，应当采取措施减少废气排放。</w:t>
                  </w:r>
                </w:p>
              </w:tc>
              <w:tc>
                <w:tcPr>
                  <w:tcW w:w="1107" w:type="pct"/>
                  <w:vMerge w:val="restart"/>
                  <w:tcBorders>
                    <w:tl2br w:val="nil"/>
                    <w:tr2bl w:val="nil"/>
                  </w:tcBorders>
                  <w:vAlign w:val="center"/>
                </w:tcPr>
                <w:p w14:paraId="7DD6ED90">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本项目生产光伏组件及电力设备，主要用作各类太阳能光伏设备及电力设备的外壳</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打磨工序产生的废气在打磨室内密闭收集，喷砂产生的废气在</w:t>
                  </w:r>
                  <w:r>
                    <w:rPr>
                      <w:rFonts w:hint="eastAsia" w:ascii="Times New Roman" w:hAnsi="Times New Roman" w:eastAsia="宋体" w:cs="Times New Roman"/>
                      <w:color w:val="auto"/>
                      <w:sz w:val="21"/>
                      <w:szCs w:val="21"/>
                      <w:highlight w:val="none"/>
                      <w:lang w:val="en-US" w:eastAsia="zh-CN"/>
                    </w:rPr>
                    <w:t>设备</w:t>
                  </w:r>
                  <w:r>
                    <w:rPr>
                      <w:rFonts w:hint="eastAsia" w:ascii="Times New Roman" w:hAnsi="Times New Roman" w:eastAsia="宋体" w:cs="Times New Roman"/>
                      <w:color w:val="auto"/>
                      <w:sz w:val="21"/>
                      <w:szCs w:val="21"/>
                      <w:highlight w:val="none"/>
                      <w:lang w:eastAsia="zh-CN"/>
                    </w:rPr>
                    <w:t>内密闭收集，合并通过1#旋风除尘器+滤筒除尘器处理后通过25m高排气筒FQ-1排放。手工喷粉废气经下吸风收集后通过2#旋风除尘器+滤筒除尘器处理，自动喷粉废气经下吸风收集后通过3</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旋风除尘器+滤筒除尘器处理，两股废气一并由一根25m高的排气筒FQ-1排放。固化废气经集气罩收集后通过1#二级活性炭吸附装置处理，由一根25m高的排气筒FQ-2排放，天然气经低氮燃烧器</w:t>
                  </w:r>
                  <w:r>
                    <w:rPr>
                      <w:rFonts w:hint="eastAsia" w:ascii="Times New Roman" w:hAnsi="Times New Roman" w:eastAsia="宋体" w:cs="Times New Roman"/>
                      <w:color w:val="auto"/>
                      <w:sz w:val="21"/>
                      <w:szCs w:val="21"/>
                      <w:highlight w:val="none"/>
                      <w:lang w:val="en-US" w:eastAsia="zh-CN"/>
                    </w:rPr>
                    <w:t>燃烧</w:t>
                  </w:r>
                  <w:r>
                    <w:rPr>
                      <w:rFonts w:hint="eastAsia" w:ascii="Times New Roman" w:hAnsi="Times New Roman" w:eastAsia="宋体" w:cs="Times New Roman"/>
                      <w:color w:val="auto"/>
                      <w:sz w:val="21"/>
                      <w:szCs w:val="21"/>
                      <w:highlight w:val="none"/>
                      <w:lang w:eastAsia="zh-CN"/>
                    </w:rPr>
                    <w:t>处理后经集气罩收集后通过1#二级活性炭吸附装置处理，由一根25m高的排气筒FQ-2排放。打胶废气在打胶室密闭收集后通过2#二级活性炭吸附装置处理，由一根25m高的排气筒FQ-3排放。焊接烟尘、切割烟尘经移动式烟尘净化器处理后无组织排放。</w:t>
                  </w:r>
                  <w:r>
                    <w:rPr>
                      <w:rFonts w:hint="default" w:ascii="Times New Roman" w:hAnsi="Times New Roman" w:eastAsia="宋体" w:cs="Times New Roman"/>
                      <w:color w:val="auto"/>
                      <w:sz w:val="21"/>
                      <w:szCs w:val="21"/>
                      <w:highlight w:val="none"/>
                    </w:rPr>
                    <w:t>理后无组织排放。本项目不属于重点行业，废气处理设施对有机废气的处理效率不低于75%。本项目产生的废气采取了有效的防治措施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对周围环境影响较小。</w:t>
                  </w:r>
                </w:p>
              </w:tc>
              <w:tc>
                <w:tcPr>
                  <w:tcW w:w="347" w:type="pct"/>
                  <w:tcBorders>
                    <w:tl2br w:val="nil"/>
                    <w:tr2bl w:val="nil"/>
                  </w:tcBorders>
                  <w:vAlign w:val="center"/>
                </w:tcPr>
                <w:p w14:paraId="0DA381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5492D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72BCAF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802" w:type="pct"/>
                  <w:tcBorders>
                    <w:tl2br w:val="nil"/>
                    <w:tr2bl w:val="nil"/>
                  </w:tcBorders>
                  <w:vAlign w:val="center"/>
                </w:tcPr>
                <w:p w14:paraId="7D081E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《江苏省大气污染防治条例》（2018年修正）</w:t>
                  </w:r>
                </w:p>
              </w:tc>
              <w:tc>
                <w:tcPr>
                  <w:tcW w:w="2534" w:type="pct"/>
                  <w:tcBorders>
                    <w:tl2br w:val="nil"/>
                    <w:tr2bl w:val="nil"/>
                  </w:tcBorders>
                  <w:vAlign w:val="center"/>
                </w:tcPr>
                <w:p w14:paraId="2A99503A">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第三十八条  在生产经营过程中产生有毒有害大气污染物的，排污单位应当安装收集净化装置或者采取其他措施，达到国家和省规定的排放标准或者其他相关要求。禁止直接排放有毒有害大气污染物。</w:t>
                  </w:r>
                </w:p>
                <w:p w14:paraId="7CB10D44">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07" w:type="pct"/>
                  <w:vMerge w:val="continue"/>
                  <w:tcBorders>
                    <w:tl2br w:val="nil"/>
                    <w:tr2bl w:val="nil"/>
                  </w:tcBorders>
                  <w:vAlign w:val="center"/>
                </w:tcPr>
                <w:p w14:paraId="50834618">
                  <w:pPr>
                    <w:widowControl/>
                    <w:jc w:val="left"/>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42F00CEC">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w:t>
                  </w:r>
                </w:p>
              </w:tc>
            </w:tr>
            <w:tr w14:paraId="0719B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ACBD6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02" w:type="pct"/>
                  <w:tcBorders>
                    <w:tl2br w:val="nil"/>
                    <w:tr2bl w:val="nil"/>
                  </w:tcBorders>
                  <w:vAlign w:val="center"/>
                </w:tcPr>
                <w:p w14:paraId="30D042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《江苏省挥发性有机物污染防治管理办法》（省政府令第119号）</w:t>
                  </w:r>
                </w:p>
              </w:tc>
              <w:tc>
                <w:tcPr>
                  <w:tcW w:w="2534" w:type="pct"/>
                  <w:tcBorders>
                    <w:tl2br w:val="nil"/>
                    <w:tr2bl w:val="nil"/>
                  </w:tcBorders>
                  <w:vAlign w:val="center"/>
                </w:tcPr>
                <w:p w14:paraId="43B38EE3">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第二十一条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0FF3FB90">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无法在密闭空间进行的生产经营活动应当采取有效措施，减少挥发性有机物排放量。</w:t>
                  </w:r>
                </w:p>
              </w:tc>
              <w:tc>
                <w:tcPr>
                  <w:tcW w:w="1107" w:type="pct"/>
                  <w:vMerge w:val="continue"/>
                  <w:tcBorders>
                    <w:tl2br w:val="nil"/>
                    <w:tr2bl w:val="nil"/>
                  </w:tcBorders>
                  <w:vAlign w:val="center"/>
                </w:tcPr>
                <w:p w14:paraId="27A46FD4">
                  <w:pPr>
                    <w:widowControl/>
                    <w:jc w:val="left"/>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767B126D">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14:paraId="30AC7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38C004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802" w:type="pct"/>
                  <w:tcBorders>
                    <w:tl2br w:val="nil"/>
                    <w:tr2bl w:val="nil"/>
                  </w:tcBorders>
                  <w:vAlign w:val="center"/>
                </w:tcPr>
                <w:p w14:paraId="35792FD4">
                  <w:pPr>
                    <w:widowControl/>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《江苏省重点行业挥发性有机物污染控制指南》（苏环办[2014]128号）</w:t>
                  </w:r>
                </w:p>
              </w:tc>
              <w:tc>
                <w:tcPr>
                  <w:tcW w:w="2534" w:type="pct"/>
                  <w:tcBorders>
                    <w:tl2br w:val="nil"/>
                    <w:tr2bl w:val="nil"/>
                  </w:tcBorders>
                  <w:vAlign w:val="center"/>
                </w:tcPr>
                <w:p w14:paraId="37D4C9F8">
                  <w:pPr>
                    <w:widowControl/>
                    <w:spacing w:line="240" w:lineRule="atLeas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07" w:type="pct"/>
                  <w:vMerge w:val="continue"/>
                  <w:tcBorders>
                    <w:tl2br w:val="nil"/>
                    <w:tr2bl w:val="nil"/>
                  </w:tcBorders>
                  <w:vAlign w:val="center"/>
                </w:tcPr>
                <w:p w14:paraId="3497CDFC">
                  <w:pPr>
                    <w:widowControl/>
                    <w:jc w:val="left"/>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7D89FE92">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14:paraId="66CA4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84B6B8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802" w:type="pct"/>
                  <w:tcBorders>
                    <w:tl2br w:val="nil"/>
                    <w:tr2bl w:val="nil"/>
                  </w:tcBorders>
                  <w:vAlign w:val="center"/>
                </w:tcPr>
                <w:p w14:paraId="2D54E8E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省大气办关于印发《江苏省挥发性有机物清洁原料替代工作方案》的通知（苏大气办[2021]2号）</w:t>
                  </w:r>
                </w:p>
              </w:tc>
              <w:tc>
                <w:tcPr>
                  <w:tcW w:w="2534" w:type="pct"/>
                  <w:tcBorders>
                    <w:tl2br w:val="nil"/>
                    <w:tr2bl w:val="nil"/>
                  </w:tcBorders>
                  <w:vAlign w:val="center"/>
                </w:tcPr>
                <w:p w14:paraId="6B3134BE">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明确替代要求。以工业涂装、包装印刷、木材加工、纺织等行业为重点，分阶段推进3130家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w:t>
                  </w:r>
                  <w:r>
                    <w:rPr>
                      <w:rFonts w:hint="eastAsia"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挥发性有机化合物限量》（GB33372-2020）规定的水基型、本体型</w:t>
                  </w:r>
                  <w:r>
                    <w:rPr>
                      <w:rFonts w:hint="eastAsia"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产品。若确实无法达到上述要求，应提供相应的论证说明，相关涂料、油墨、清洗剂、</w:t>
                  </w:r>
                  <w:r>
                    <w:rPr>
                      <w:rFonts w:hint="eastAsia"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等产品应符合相关标准中VOCs含量的限值要求。</w:t>
                  </w:r>
                </w:p>
              </w:tc>
              <w:tc>
                <w:tcPr>
                  <w:tcW w:w="1107" w:type="pct"/>
                  <w:tcBorders>
                    <w:tl2br w:val="nil"/>
                    <w:tr2bl w:val="nil"/>
                  </w:tcBorders>
                  <w:vAlign w:val="center"/>
                </w:tcPr>
                <w:p w14:paraId="269334C4">
                  <w:pPr>
                    <w:widowControl/>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w:t>
                  </w:r>
                  <w:r>
                    <w:rPr>
                      <w:rFonts w:hint="eastAsia" w:ascii="Times New Roman" w:hAnsi="Times New Roman" w:eastAsia="宋体" w:cs="Times New Roman"/>
                      <w:color w:val="auto"/>
                      <w:sz w:val="21"/>
                      <w:szCs w:val="21"/>
                      <w:highlight w:val="none"/>
                      <w:lang w:val="en-US" w:eastAsia="zh-CN"/>
                    </w:rPr>
                    <w:t>水性胶符合</w:t>
                  </w:r>
                  <w:r>
                    <w:rPr>
                      <w:rFonts w:hint="default" w:ascii="Times New Roman" w:hAnsi="Times New Roman" w:eastAsia="宋体" w:cs="Times New Roman"/>
                      <w:color w:val="auto"/>
                      <w:sz w:val="21"/>
                      <w:szCs w:val="21"/>
                      <w:highlight w:val="none"/>
                      <w:lang w:val="en-US" w:eastAsia="zh-CN"/>
                    </w:rPr>
                    <w:t>《胶粘剂挥发性有机化合物限量》（GB33372-2020）中</w:t>
                  </w:r>
                  <w:r>
                    <w:rPr>
                      <w:rFonts w:hint="eastAsia" w:ascii="Times New Roman" w:hAnsi="Times New Roman" w:eastAsia="宋体" w:cs="Times New Roman"/>
                      <w:color w:val="auto"/>
                      <w:sz w:val="21"/>
                      <w:szCs w:val="21"/>
                      <w:highlight w:val="none"/>
                      <w:lang w:val="en-US" w:eastAsia="zh-CN"/>
                    </w:rPr>
                    <w:t>规定的标准限值。</w:t>
                  </w:r>
                </w:p>
              </w:tc>
              <w:tc>
                <w:tcPr>
                  <w:tcW w:w="347" w:type="pct"/>
                  <w:tcBorders>
                    <w:tl2br w:val="nil"/>
                    <w:tr2bl w:val="nil"/>
                  </w:tcBorders>
                  <w:vAlign w:val="center"/>
                </w:tcPr>
                <w:p w14:paraId="3B9191FF">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是</w:t>
                  </w:r>
                </w:p>
              </w:tc>
            </w:tr>
            <w:tr w14:paraId="64575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B958A9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802" w:type="pct"/>
                  <w:tcBorders>
                    <w:tl2br w:val="nil"/>
                    <w:tr2bl w:val="nil"/>
                  </w:tcBorders>
                  <w:vAlign w:val="center"/>
                </w:tcPr>
                <w:p w14:paraId="2F3F5B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《省生态环境厅关于报送高耗能、高排放项目清单的通知》（苏环便函</w:t>
                  </w:r>
                  <w:r>
                    <w:rPr>
                      <w:rFonts w:hint="eastAsia" w:ascii="Times New Roman" w:hAnsi="Times New Roman" w:eastAsia="宋体" w:cs="Times New Roman"/>
                      <w:color w:val="auto"/>
                      <w:sz w:val="21"/>
                      <w:szCs w:val="21"/>
                      <w:highlight w:val="none"/>
                      <w:lang w:eastAsia="zh-CN"/>
                    </w:rPr>
                    <w:t>〔2021〕903号</w:t>
                  </w:r>
                  <w:r>
                    <w:rPr>
                      <w:rFonts w:hint="default" w:ascii="Times New Roman" w:hAnsi="Times New Roman" w:eastAsia="宋体" w:cs="Times New Roman"/>
                      <w:color w:val="auto"/>
                      <w:sz w:val="21"/>
                      <w:szCs w:val="21"/>
                      <w:highlight w:val="none"/>
                    </w:rPr>
                    <w:t>）</w:t>
                  </w:r>
                </w:p>
              </w:tc>
              <w:tc>
                <w:tcPr>
                  <w:tcW w:w="2534" w:type="pct"/>
                  <w:tcBorders>
                    <w:tl2br w:val="nil"/>
                    <w:tr2bl w:val="nil"/>
                  </w:tcBorders>
                  <w:vAlign w:val="center"/>
                </w:tcPr>
                <w:p w14:paraId="383AA10D">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一、“两高”项目范围</w:t>
                  </w:r>
                </w:p>
                <w:p w14:paraId="20D2E4B5">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两高（高耗能、高排放）项目范围包括煤电、石化化工、钢铁、有色金属冶炼、建材、造纸、纺织印染行业，根据附件1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建材项目报送范围为：3011水泥制造、3012石灰和石膏制造、3031</w:t>
                  </w:r>
                  <w:r>
                    <w:rPr>
                      <w:rFonts w:hint="eastAsia" w:ascii="Times New Roman" w:hAnsi="Times New Roman" w:eastAsia="宋体" w:cs="Times New Roman"/>
                      <w:color w:val="auto"/>
                      <w:sz w:val="21"/>
                      <w:szCs w:val="21"/>
                      <w:highlight w:val="none"/>
                      <w:lang w:eastAsia="zh-CN"/>
                    </w:rPr>
                    <w:t>黏土砖瓦</w:t>
                  </w:r>
                  <w:r>
                    <w:rPr>
                      <w:rFonts w:hint="default" w:ascii="Times New Roman" w:hAnsi="Times New Roman" w:eastAsia="宋体" w:cs="Times New Roman"/>
                      <w:color w:val="auto"/>
                      <w:sz w:val="21"/>
                      <w:szCs w:val="21"/>
                      <w:highlight w:val="none"/>
                    </w:rPr>
                    <w:t>及建筑砌块制造、3041平板玻璃制造、3061玻璃纤维及制品制造、3071建筑陶瓷制品制造、3089耐火陶瓷制品及其他耐火材料制造。</w:t>
                  </w:r>
                </w:p>
              </w:tc>
              <w:tc>
                <w:tcPr>
                  <w:tcW w:w="1107" w:type="pct"/>
                  <w:tcBorders>
                    <w:tl2br w:val="nil"/>
                    <w:tr2bl w:val="nil"/>
                  </w:tcBorders>
                  <w:vAlign w:val="center"/>
                </w:tcPr>
                <w:p w14:paraId="303F28BA">
                  <w:pPr>
                    <w:widowControl/>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本项目生产光伏组件及电力设备，主要用作各类太阳能光伏设备及电力设备的外壳</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行业类别为C3484 机械零部件加工，不在《环境保护综合名录(2021)年版》的“高污染、高环境风险”产品名录中，不属于两高行业。项目距离最近的国控站点金坛城区直线距离约</w:t>
                  </w:r>
                  <w:r>
                    <w:rPr>
                      <w:rFonts w:hint="eastAsia" w:ascii="Times New Roman" w:hAnsi="Times New Roman" w:eastAsia="宋体" w:cs="Times New Roman"/>
                      <w:color w:val="auto"/>
                      <w:sz w:val="21"/>
                      <w:szCs w:val="21"/>
                      <w:highlight w:val="none"/>
                      <w:lang w:val="en-US" w:eastAsia="zh-CN"/>
                    </w:rPr>
                    <w:t>7.1</w:t>
                  </w:r>
                  <w:r>
                    <w:rPr>
                      <w:rFonts w:hint="default" w:ascii="Times New Roman" w:hAnsi="Times New Roman" w:eastAsia="宋体" w:cs="Times New Roman"/>
                      <w:color w:val="auto"/>
                      <w:sz w:val="21"/>
                      <w:szCs w:val="21"/>
                      <w:highlight w:val="none"/>
                    </w:rPr>
                    <w:t>km，不属于重点区域。</w:t>
                  </w:r>
                </w:p>
              </w:tc>
              <w:tc>
                <w:tcPr>
                  <w:tcW w:w="347" w:type="pct"/>
                  <w:tcBorders>
                    <w:tl2br w:val="nil"/>
                    <w:tr2bl w:val="nil"/>
                  </w:tcBorders>
                  <w:vAlign w:val="center"/>
                </w:tcPr>
                <w:p w14:paraId="3A716615">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22294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3BC28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802" w:type="pct"/>
                  <w:tcBorders>
                    <w:tl2br w:val="nil"/>
                    <w:tr2bl w:val="nil"/>
                  </w:tcBorders>
                  <w:vAlign w:val="center"/>
                </w:tcPr>
                <w:p w14:paraId="0D31E2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《关于加强高耗能、高排放建设项目生态环境源头防控的指导意见》（环环评</w:t>
                  </w:r>
                  <w:r>
                    <w:rPr>
                      <w:rFonts w:hint="eastAsia" w:ascii="Times New Roman" w:hAnsi="Times New Roman" w:eastAsia="宋体" w:cs="Times New Roman"/>
                      <w:color w:val="auto"/>
                      <w:sz w:val="21"/>
                      <w:szCs w:val="21"/>
                      <w:highlight w:val="none"/>
                      <w:lang w:eastAsia="zh-CN"/>
                    </w:rPr>
                    <w:t>〔2021〕45号</w:t>
                  </w:r>
                  <w:r>
                    <w:rPr>
                      <w:rFonts w:hint="default" w:ascii="Times New Roman" w:hAnsi="Times New Roman" w:eastAsia="宋体" w:cs="Times New Roman"/>
                      <w:color w:val="auto"/>
                      <w:sz w:val="21"/>
                      <w:szCs w:val="21"/>
                      <w:highlight w:val="none"/>
                    </w:rPr>
                    <w:t>）</w:t>
                  </w:r>
                </w:p>
              </w:tc>
              <w:tc>
                <w:tcPr>
                  <w:tcW w:w="2534" w:type="pct"/>
                  <w:tcBorders>
                    <w:tl2br w:val="nil"/>
                    <w:tr2bl w:val="nil"/>
                  </w:tcBorders>
                  <w:vAlign w:val="center"/>
                </w:tcPr>
                <w:p w14:paraId="28960556">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二、严格“两高”项目环评审批</w:t>
                  </w:r>
                </w:p>
                <w:p w14:paraId="2345CBA7">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07" w:type="pct"/>
                  <w:vMerge w:val="restart"/>
                  <w:tcBorders>
                    <w:tl2br w:val="nil"/>
                    <w:tr2bl w:val="nil"/>
                  </w:tcBorders>
                  <w:vAlign w:val="center"/>
                </w:tcPr>
                <w:p w14:paraId="3D49755E">
                  <w:pPr>
                    <w:widowControl/>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本项目从事</w:t>
                  </w:r>
                  <w:r>
                    <w:rPr>
                      <w:rFonts w:hint="eastAsia" w:ascii="Times New Roman" w:hAnsi="Times New Roman" w:eastAsia="宋体" w:cs="Times New Roman"/>
                      <w:color w:val="auto"/>
                      <w:sz w:val="21"/>
                      <w:szCs w:val="21"/>
                      <w:highlight w:val="none"/>
                      <w:lang w:val="en-US" w:eastAsia="zh-CN"/>
                    </w:rPr>
                    <w:t>光伏组件及电力设备</w:t>
                  </w:r>
                  <w:r>
                    <w:rPr>
                      <w:rFonts w:hint="default" w:ascii="Times New Roman" w:hAnsi="Times New Roman" w:eastAsia="宋体" w:cs="Times New Roman"/>
                      <w:color w:val="auto"/>
                      <w:sz w:val="21"/>
                      <w:szCs w:val="21"/>
                      <w:highlight w:val="none"/>
                    </w:rPr>
                    <w:t>的生产，行业类别为C3823配电开关控制设备制造、C3825光伏设备及元器件制造，不在《环境保护综合名录(2021)年版》的“高污染、高环境风险”产品名录中，不属于两高行业。</w:t>
                  </w:r>
                </w:p>
              </w:tc>
              <w:tc>
                <w:tcPr>
                  <w:tcW w:w="347" w:type="pct"/>
                  <w:tcBorders>
                    <w:tl2br w:val="nil"/>
                    <w:tr2bl w:val="nil"/>
                  </w:tcBorders>
                  <w:vAlign w:val="center"/>
                </w:tcPr>
                <w:p w14:paraId="49001FD9">
                  <w:pPr>
                    <w:widowControl/>
                    <w:jc w:val="center"/>
                    <w:rPr>
                      <w:rFonts w:hint="default"/>
                      <w:color w:val="auto"/>
                      <w:highlight w:val="none"/>
                    </w:rPr>
                  </w:pPr>
                  <w:r>
                    <w:rPr>
                      <w:rFonts w:hint="default" w:ascii="Times New Roman" w:hAnsi="Times New Roman" w:eastAsia="宋体" w:cs="Times New Roman"/>
                      <w:color w:val="auto"/>
                      <w:sz w:val="21"/>
                      <w:szCs w:val="21"/>
                      <w:highlight w:val="none"/>
                    </w:rPr>
                    <w:t>是</w:t>
                  </w:r>
                </w:p>
              </w:tc>
            </w:tr>
            <w:tr w14:paraId="161AB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734ECC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802" w:type="pct"/>
                  <w:tcBorders>
                    <w:tl2br w:val="nil"/>
                    <w:tr2bl w:val="nil"/>
                  </w:tcBorders>
                  <w:vAlign w:val="center"/>
                </w:tcPr>
                <w:p w14:paraId="1786E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关于印发《环境保护综合名录（2021年版）的通知》</w:t>
                  </w:r>
                </w:p>
              </w:tc>
              <w:tc>
                <w:tcPr>
                  <w:tcW w:w="2534" w:type="pct"/>
                  <w:tcBorders>
                    <w:tl2br w:val="nil"/>
                    <w:tr2bl w:val="nil"/>
                  </w:tcBorders>
                  <w:vAlign w:val="center"/>
                </w:tcPr>
                <w:p w14:paraId="465B7158">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07" w:type="pct"/>
                  <w:vMerge w:val="continue"/>
                  <w:tcBorders>
                    <w:tl2br w:val="nil"/>
                    <w:tr2bl w:val="nil"/>
                  </w:tcBorders>
                  <w:vAlign w:val="center"/>
                </w:tcPr>
                <w:p w14:paraId="4F1AF368">
                  <w:pPr>
                    <w:widowControl/>
                    <w:jc w:val="left"/>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4E9E7377">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182A2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82A4F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02" w:type="pct"/>
                  <w:tcBorders>
                    <w:tl2br w:val="nil"/>
                    <w:tr2bl w:val="nil"/>
                  </w:tcBorders>
                  <w:vAlign w:val="center"/>
                </w:tcPr>
                <w:p w14:paraId="11D028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市生态环境局关于建设项目的审批指导意见（试行）</w:t>
                  </w:r>
                </w:p>
              </w:tc>
              <w:tc>
                <w:tcPr>
                  <w:tcW w:w="2534" w:type="pct"/>
                  <w:tcBorders>
                    <w:tl2br w:val="nil"/>
                    <w:tr2bl w:val="nil"/>
                  </w:tcBorders>
                  <w:vAlign w:val="center"/>
                </w:tcPr>
                <w:p w14:paraId="76F793B8">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1107" w:type="pct"/>
                  <w:tcBorders>
                    <w:tl2br w:val="nil"/>
                    <w:tr2bl w:val="nil"/>
                  </w:tcBorders>
                  <w:vAlign w:val="center"/>
                </w:tcPr>
                <w:p w14:paraId="59B585AD">
                  <w:pPr>
                    <w:widowControl/>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项目距离最近的国控站点金坛城区直线距离约</w:t>
                  </w:r>
                  <w:r>
                    <w:rPr>
                      <w:rFonts w:hint="eastAsia" w:ascii="Times New Roman" w:hAnsi="Times New Roman" w:eastAsia="宋体" w:cs="Times New Roman"/>
                      <w:color w:val="auto"/>
                      <w:sz w:val="21"/>
                      <w:szCs w:val="21"/>
                      <w:highlight w:val="none"/>
                      <w:lang w:val="en-US" w:eastAsia="zh-CN"/>
                    </w:rPr>
                    <w:t>7.1</w:t>
                  </w:r>
                  <w:r>
                    <w:rPr>
                      <w:rFonts w:hint="default" w:ascii="Times New Roman" w:hAnsi="Times New Roman" w:eastAsia="宋体" w:cs="Times New Roman"/>
                      <w:color w:val="auto"/>
                      <w:sz w:val="21"/>
                      <w:szCs w:val="21"/>
                      <w:highlight w:val="none"/>
                    </w:rPr>
                    <w:t>km，不属于重点区域。</w:t>
                  </w:r>
                </w:p>
              </w:tc>
              <w:tc>
                <w:tcPr>
                  <w:tcW w:w="347" w:type="pct"/>
                  <w:tcBorders>
                    <w:tl2br w:val="nil"/>
                    <w:tr2bl w:val="nil"/>
                  </w:tcBorders>
                  <w:vAlign w:val="center"/>
                </w:tcPr>
                <w:p w14:paraId="6FEE50E3">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14:paraId="18907AC5">
            <w:pPr>
              <w:pStyle w:val="6"/>
              <w:rPr>
                <w:rFonts w:hint="default" w:ascii="Times New Roman" w:hAnsi="Times New Roman" w:cs="Times New Roman"/>
                <w:color w:val="auto"/>
                <w:highlight w:val="none"/>
                <w:vertAlign w:val="baseline"/>
              </w:rPr>
            </w:pPr>
          </w:p>
        </w:tc>
      </w:tr>
    </w:tbl>
    <w:p w14:paraId="516E0327">
      <w:pPr>
        <w:pStyle w:val="6"/>
        <w:rPr>
          <w:rFonts w:hint="default" w:ascii="Times New Roman" w:hAnsi="Times New Roman" w:cs="Times New Roman"/>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1F7ACE84">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二、建设项目工程分析</w:t>
      </w:r>
    </w:p>
    <w:tbl>
      <w:tblPr>
        <w:tblStyle w:val="2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574"/>
      </w:tblGrid>
      <w:tr w14:paraId="6B8C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08C556F8">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建设内容</w:t>
            </w:r>
          </w:p>
        </w:tc>
        <w:tc>
          <w:tcPr>
            <w:tcW w:w="4622" w:type="pct"/>
          </w:tcPr>
          <w:p w14:paraId="6E2775DD">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1、工程概况</w:t>
            </w:r>
          </w:p>
          <w:p w14:paraId="2DD0EBC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常州威斯曼科技有限公司（以下简称“</w:t>
            </w:r>
            <w:r>
              <w:rPr>
                <w:rFonts w:hint="eastAsia" w:ascii="Times New Roman" w:hAnsi="Times New Roman" w:eastAsia="宋体" w:cs="Times New Roman"/>
                <w:color w:val="auto"/>
                <w:sz w:val="24"/>
                <w:highlight w:val="none"/>
                <w:lang w:val="en-US" w:eastAsia="zh-CN"/>
              </w:rPr>
              <w:t>威斯曼</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成立于20</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rPr>
              <w:t>日，本公司经营范围包括</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许可项目：民用核安全设备设计；民用核安全设备制造；特种设备制造；货物进出口；技术进出口（依法须经批准的项目，经相关部门批准后方可开展经营活动，具体经营项目以审批结果为准）一般项目：软件开发；新兴能源技术研发；技术服务、技术开发、技术咨询、技术交流、技术转让、技术推广；机械设备销售；电气机械设备销售；电机制造；电力电子元器件制造；电力电子元器件销售；电动机制造；电机及其控制系统研发；输配电及控制设备制造；电子元器件与机电组件设备销售；智能控制系统集成；电气信号设备装置制造；配电开关控制设备制造；五金产品制造；五金产品零售；通用设备制造（不含特种设备制造）；仪器仪表制造；仪器仪表销售；橡胶制品制造；橡胶制品销售；信息安全设备销售；信息系统集成服务；通讯设备销售；通信设备制造；安防设备销售；安防设备制造；喷涂加工；家用电器销售；家用电器研发；机械电气设备制造（除依法须经批准的项目外，凭营业执照依法自主开展经营活动）</w:t>
            </w:r>
            <w:r>
              <w:rPr>
                <w:rFonts w:hint="default" w:ascii="Times New Roman" w:hAnsi="Times New Roman" w:eastAsia="宋体" w:cs="Times New Roman"/>
                <w:color w:val="auto"/>
                <w:sz w:val="24"/>
                <w:highlight w:val="none"/>
                <w:lang w:val="en-US" w:eastAsia="zh-CN"/>
              </w:rPr>
              <w:t>。</w:t>
            </w:r>
          </w:p>
          <w:p w14:paraId="4E97BA1B">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威斯曼原为一家销售公司，不涉及生产，随着业务的持续发展，企业计划自主生产光伏组件及电力设备。威斯曼</w:t>
            </w:r>
            <w:r>
              <w:rPr>
                <w:rFonts w:hint="default" w:ascii="Times New Roman" w:hAnsi="Times New Roman" w:eastAsia="宋体" w:cs="Times New Roman"/>
                <w:color w:val="auto"/>
                <w:sz w:val="24"/>
                <w:highlight w:val="none"/>
              </w:rPr>
              <w:t>于202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租赁</w:t>
            </w:r>
            <w:r>
              <w:rPr>
                <w:rFonts w:hint="default" w:ascii="Times New Roman" w:hAnsi="Times New Roman" w:eastAsia="宋体" w:cs="Times New Roman"/>
                <w:color w:val="auto"/>
                <w:sz w:val="24"/>
                <w:highlight w:val="none"/>
                <w:lang w:val="en-US" w:eastAsia="zh-CN"/>
              </w:rPr>
              <w:t>位于</w:t>
            </w:r>
            <w:r>
              <w:rPr>
                <w:rFonts w:hint="eastAsia" w:ascii="Times New Roman" w:hAnsi="Times New Roman" w:eastAsia="宋体" w:cs="Times New Roman"/>
                <w:color w:val="auto"/>
                <w:sz w:val="24"/>
                <w:highlight w:val="none"/>
                <w:lang w:eastAsia="zh-CN"/>
              </w:rPr>
              <w:t>常州市金坛区晨风路1136号（金坛控股中南高科创新园）14幢</w:t>
            </w:r>
            <w:r>
              <w:rPr>
                <w:rFonts w:hint="default" w:ascii="Times New Roman" w:hAnsi="Times New Roman" w:eastAsia="宋体" w:cs="Times New Roman"/>
                <w:color w:val="auto"/>
                <w:sz w:val="24"/>
                <w:highlight w:val="none"/>
                <w:lang w:val="en-US" w:eastAsia="zh-CN"/>
              </w:rPr>
              <w:t>现有空置厂房</w:t>
            </w:r>
            <w:r>
              <w:rPr>
                <w:rFonts w:hint="eastAsia" w:ascii="Times New Roman" w:hAnsi="Times New Roman" w:eastAsia="宋体" w:cs="Times New Roman"/>
                <w:color w:val="auto"/>
                <w:sz w:val="24"/>
                <w:highlight w:val="none"/>
                <w:lang w:val="en-US" w:eastAsia="zh-CN"/>
              </w:rPr>
              <w:t>（根据威斯曼和常州金坛锦城运营管理有限公司签订的厂房合同，在威斯曼投产并正常持续生产经营、税收考核达标前【2027年12月31日】土地使用权归属于常州金坛锦城运营管理有限公司）</w:t>
            </w:r>
            <w:r>
              <w:rPr>
                <w:rFonts w:hint="default" w:ascii="Times New Roman" w:hAnsi="Times New Roman" w:eastAsia="宋体" w:cs="Times New Roman"/>
                <w:color w:val="auto"/>
                <w:sz w:val="24"/>
                <w:highlight w:val="none"/>
                <w:lang w:val="en-US" w:eastAsia="zh-CN"/>
              </w:rPr>
              <w:t>，建筑面积为</w:t>
            </w:r>
            <w:r>
              <w:rPr>
                <w:rFonts w:hint="eastAsia" w:ascii="Times New Roman" w:hAnsi="Times New Roman" w:eastAsia="宋体" w:cs="Times New Roman"/>
                <w:color w:val="auto"/>
                <w:sz w:val="24"/>
                <w:highlight w:val="none"/>
                <w:lang w:val="en-US" w:eastAsia="zh-CN"/>
              </w:rPr>
              <w:t>13652.88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现拟</w:t>
            </w:r>
            <w:r>
              <w:rPr>
                <w:rFonts w:hint="default" w:ascii="Times New Roman" w:hAnsi="Times New Roman" w:eastAsia="宋体" w:cs="Times New Roman"/>
                <w:color w:val="auto"/>
                <w:sz w:val="24"/>
                <w:highlight w:val="none"/>
              </w:rPr>
              <w:t>购置自动喷涂线、切割机、剪板机等设备，形成年产光伏组件及电力设备3000套的生产能力。</w:t>
            </w:r>
          </w:p>
          <w:p w14:paraId="7E81672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该项目已于202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日取得</w:t>
            </w:r>
            <w:r>
              <w:rPr>
                <w:rFonts w:hint="eastAsia" w:ascii="Times New Roman" w:hAnsi="Times New Roman" w:eastAsia="宋体" w:cs="Times New Roman"/>
                <w:color w:val="auto"/>
                <w:sz w:val="24"/>
                <w:highlight w:val="none"/>
                <w:lang w:eastAsia="zh-CN"/>
              </w:rPr>
              <w:t>江苏金坛经济开发区经济发展局</w:t>
            </w:r>
            <w:r>
              <w:rPr>
                <w:rFonts w:hint="default" w:ascii="Times New Roman" w:hAnsi="Times New Roman" w:eastAsia="宋体" w:cs="Times New Roman"/>
                <w:color w:val="auto"/>
                <w:sz w:val="24"/>
                <w:highlight w:val="none"/>
              </w:rPr>
              <w:t>的项目备案证明，备案证号：</w:t>
            </w:r>
            <w:r>
              <w:rPr>
                <w:rFonts w:hint="eastAsia" w:ascii="Times New Roman" w:hAnsi="Times New Roman" w:eastAsia="宋体" w:cs="Times New Roman"/>
                <w:color w:val="auto"/>
                <w:sz w:val="24"/>
                <w:highlight w:val="none"/>
                <w:lang w:eastAsia="zh-CN"/>
              </w:rPr>
              <w:t>坛开经发备字〔2024〕239号</w:t>
            </w:r>
            <w:r>
              <w:rPr>
                <w:rFonts w:hint="default" w:ascii="Times New Roman" w:hAnsi="Times New Roman" w:eastAsia="宋体" w:cs="Times New Roman"/>
                <w:color w:val="auto"/>
                <w:sz w:val="24"/>
                <w:highlight w:val="none"/>
              </w:rPr>
              <w:t>，项目代码：</w:t>
            </w:r>
            <w:r>
              <w:rPr>
                <w:rFonts w:hint="eastAsia" w:ascii="Times New Roman" w:hAnsi="Times New Roman" w:eastAsia="宋体" w:cs="Times New Roman"/>
                <w:color w:val="auto"/>
                <w:sz w:val="24"/>
                <w:highlight w:val="none"/>
                <w:lang w:eastAsia="zh-CN"/>
              </w:rPr>
              <w:t>2411-320458-89-01-900330</w:t>
            </w:r>
            <w:r>
              <w:rPr>
                <w:rFonts w:hint="default" w:ascii="Times New Roman" w:hAnsi="Times New Roman" w:eastAsia="宋体" w:cs="Times New Roman"/>
                <w:color w:val="auto"/>
                <w:sz w:val="24"/>
                <w:highlight w:val="none"/>
              </w:rPr>
              <w:t>，项目建成后将形成年产光伏组件及电力设备3000套的生产能力。</w:t>
            </w:r>
          </w:p>
          <w:p w14:paraId="038BA62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三十</w:t>
            </w:r>
            <w:r>
              <w:rPr>
                <w:rFonts w:hint="eastAsia" w:ascii="Times New Roman" w:hAnsi="Times New Roman" w:eastAsia="宋体" w:cs="Times New Roman"/>
                <w:color w:val="auto"/>
                <w:sz w:val="24"/>
                <w:highlight w:val="none"/>
                <w:lang w:val="en-US" w:eastAsia="zh-CN"/>
              </w:rPr>
              <w:t>五</w:t>
            </w:r>
            <w:r>
              <w:rPr>
                <w:rFonts w:hint="default" w:ascii="Times New Roman" w:hAnsi="Times New Roman" w:eastAsia="宋体" w:cs="Times New Roman"/>
                <w:color w:val="auto"/>
                <w:sz w:val="24"/>
                <w:highlight w:val="none"/>
              </w:rPr>
              <w:t xml:space="preserve">、电气机械和器材制造业 </w:t>
            </w:r>
            <w:r>
              <w:rPr>
                <w:rFonts w:hint="eastAsia" w:ascii="Times New Roman" w:hAnsi="Times New Roman" w:eastAsia="宋体" w:cs="Times New Roman"/>
                <w:color w:val="auto"/>
                <w:sz w:val="24"/>
                <w:highlight w:val="none"/>
                <w:lang w:val="en-US" w:eastAsia="zh-CN"/>
              </w:rPr>
              <w:t>38-77</w:t>
            </w:r>
            <w:r>
              <w:rPr>
                <w:rFonts w:hint="default" w:ascii="Times New Roman" w:hAnsi="Times New Roman" w:eastAsia="宋体" w:cs="Times New Roman"/>
                <w:color w:val="auto"/>
                <w:sz w:val="24"/>
                <w:highlight w:val="none"/>
              </w:rPr>
              <w:t xml:space="preserve"> 输配电及控制设备制造382</w:t>
            </w:r>
            <w:r>
              <w:rPr>
                <w:rFonts w:hint="eastAsia" w:ascii="Times New Roman" w:hAnsi="Times New Roman" w:eastAsia="宋体" w:cs="Times New Roman"/>
                <w:color w:val="auto"/>
                <w:sz w:val="24"/>
                <w:highlight w:val="none"/>
                <w:lang w:val="en-US" w:eastAsia="zh-CN"/>
              </w:rPr>
              <w:t>-其他</w:t>
            </w:r>
            <w:r>
              <w:rPr>
                <w:rFonts w:hint="default" w:ascii="Times New Roman" w:hAnsi="Times New Roman" w:eastAsia="宋体" w:cs="Times New Roman"/>
                <w:color w:val="auto"/>
                <w:sz w:val="24"/>
                <w:highlight w:val="none"/>
              </w:rPr>
              <w:t>（仅分割、焊接、组装的除外；年用非溶剂型低VOCs含量涂料10吨以下的除外）”，应编制环境影响评价报告表。</w:t>
            </w:r>
            <w:r>
              <w:rPr>
                <w:rFonts w:hint="eastAsia" w:ascii="Times New Roman" w:hAnsi="Times New Roman" w:eastAsia="宋体" w:cs="Times New Roman"/>
                <w:color w:val="auto"/>
                <w:sz w:val="24"/>
                <w:highlight w:val="none"/>
                <w:lang w:eastAsia="zh-CN"/>
              </w:rPr>
              <w:t>常州威斯曼科技有限公司</w:t>
            </w:r>
            <w:r>
              <w:rPr>
                <w:rFonts w:hint="default" w:ascii="Times New Roman" w:hAnsi="Times New Roman" w:eastAsia="宋体" w:cs="Times New Roman"/>
                <w:color w:val="auto"/>
                <w:sz w:val="24"/>
                <w:highlight w:val="none"/>
              </w:rPr>
              <w:t>委托</w:t>
            </w:r>
            <w:r>
              <w:rPr>
                <w:rFonts w:hint="default" w:ascii="Times New Roman" w:hAnsi="Times New Roman" w:eastAsia="宋体" w:cs="Times New Roman"/>
                <w:color w:val="auto"/>
                <w:sz w:val="24"/>
                <w:highlight w:val="none"/>
                <w:lang w:eastAsia="zh-CN"/>
              </w:rPr>
              <w:t>常州爱森环保科技有限公司</w:t>
            </w:r>
            <w:r>
              <w:rPr>
                <w:rFonts w:hint="default" w:ascii="Times New Roman" w:hAnsi="Times New Roman" w:eastAsia="宋体" w:cs="Times New Roman"/>
                <w:color w:val="auto"/>
                <w:sz w:val="24"/>
                <w:highlight w:val="none"/>
              </w:rPr>
              <w:t>编制建设项目环境影响报告表，</w:t>
            </w:r>
            <w:r>
              <w:rPr>
                <w:rFonts w:hint="default" w:ascii="Times New Roman" w:hAnsi="Times New Roman" w:eastAsia="宋体" w:cs="Times New Roman"/>
                <w:color w:val="auto"/>
                <w:sz w:val="24"/>
                <w:highlight w:val="none"/>
                <w:lang w:eastAsia="zh-CN"/>
              </w:rPr>
              <w:t>常州爱森环保科技有限公司</w:t>
            </w:r>
            <w:r>
              <w:rPr>
                <w:rFonts w:hint="default" w:ascii="Times New Roman" w:hAnsi="Times New Roman" w:eastAsia="宋体" w:cs="Times New Roman"/>
                <w:color w:val="auto"/>
                <w:sz w:val="24"/>
                <w:highlight w:val="none"/>
              </w:rPr>
              <w:t>接受委托后即组织进行现场勘查、相关资料收集及其他相关工作，最终完成了该项目环境影响评价报告表的编制。</w:t>
            </w:r>
          </w:p>
          <w:p w14:paraId="1540E664">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2、建设内容和规模</w:t>
            </w:r>
          </w:p>
          <w:p w14:paraId="5D6A580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eastAsia" w:ascii="Times New Roman" w:hAnsi="Times New Roman" w:eastAsia="宋体" w:cs="Times New Roman"/>
                <w:color w:val="auto"/>
                <w:sz w:val="24"/>
                <w:highlight w:val="none"/>
                <w:lang w:eastAsia="zh-CN"/>
              </w:rPr>
              <w:t>新建光伏组件及电力设备加工项目</w:t>
            </w:r>
            <w:r>
              <w:rPr>
                <w:rFonts w:hint="default" w:ascii="Times New Roman" w:hAnsi="Times New Roman" w:eastAsia="宋体" w:cs="Times New Roman"/>
                <w:color w:val="auto"/>
                <w:sz w:val="24"/>
                <w:highlight w:val="none"/>
              </w:rPr>
              <w:t>；</w:t>
            </w:r>
          </w:p>
          <w:p w14:paraId="21119C7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r>
              <w:rPr>
                <w:rFonts w:hint="eastAsia" w:ascii="Times New Roman" w:hAnsi="Times New Roman" w:eastAsia="宋体" w:cs="Times New Roman"/>
                <w:color w:val="auto"/>
                <w:sz w:val="24"/>
                <w:highlight w:val="none"/>
                <w:lang w:eastAsia="zh-CN"/>
              </w:rPr>
              <w:t>常州威斯曼科技有限公司</w:t>
            </w:r>
            <w:r>
              <w:rPr>
                <w:rFonts w:hint="default" w:ascii="Times New Roman" w:hAnsi="Times New Roman" w:eastAsia="宋体" w:cs="Times New Roman"/>
                <w:color w:val="auto"/>
                <w:sz w:val="24"/>
                <w:highlight w:val="none"/>
              </w:rPr>
              <w:t>；</w:t>
            </w:r>
          </w:p>
          <w:p w14:paraId="5158D30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r>
              <w:rPr>
                <w:rFonts w:hint="eastAsia" w:ascii="Times New Roman" w:hAnsi="Times New Roman" w:eastAsia="宋体" w:cs="Times New Roman"/>
                <w:color w:val="auto"/>
                <w:sz w:val="24"/>
                <w:highlight w:val="none"/>
                <w:lang w:eastAsia="zh-CN"/>
              </w:rPr>
              <w:t>常州市金坛区晨风路1136号（金坛控股中南高科创新园）14幢</w:t>
            </w:r>
            <w:r>
              <w:rPr>
                <w:rFonts w:hint="default" w:ascii="Times New Roman" w:hAnsi="Times New Roman" w:eastAsia="宋体" w:cs="Times New Roman"/>
                <w:color w:val="auto"/>
                <w:sz w:val="24"/>
                <w:highlight w:val="none"/>
              </w:rPr>
              <w:t>；</w:t>
            </w:r>
          </w:p>
          <w:p w14:paraId="4802B80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建设性质：新建；</w:t>
            </w:r>
          </w:p>
          <w:p w14:paraId="380E15F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建筑面积：</w:t>
            </w:r>
            <w:r>
              <w:rPr>
                <w:rFonts w:hint="eastAsia" w:ascii="Times New Roman" w:hAnsi="Times New Roman" w:eastAsia="宋体" w:cs="Times New Roman"/>
                <w:color w:val="auto"/>
                <w:sz w:val="24"/>
                <w:highlight w:val="none"/>
                <w:lang w:val="en-US" w:eastAsia="zh-CN"/>
              </w:rPr>
              <w:t>13652.88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14:paraId="4B2FD959">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建设内容和规模：</w:t>
            </w:r>
            <w:r>
              <w:rPr>
                <w:rFonts w:hint="eastAsia" w:ascii="Times New Roman" w:hAnsi="Times New Roman" w:eastAsia="宋体" w:cs="Times New Roman"/>
                <w:color w:val="auto"/>
                <w:sz w:val="24"/>
                <w:highlight w:val="none"/>
                <w:lang w:val="en-US" w:eastAsia="zh-CN"/>
              </w:rPr>
              <w:t>租赁现有标准厂房13652.88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购置自动喷涂线、切割机、剪板机等设备，形成年产光伏组件及电力设备3000套的生产能力</w:t>
            </w:r>
            <w:r>
              <w:rPr>
                <w:rFonts w:hint="eastAsia" w:ascii="Times New Roman" w:hAnsi="Times New Roman" w:eastAsia="宋体" w:cs="Times New Roman"/>
                <w:color w:val="auto"/>
                <w:sz w:val="24"/>
                <w:highlight w:val="none"/>
                <w:lang w:eastAsia="zh-CN"/>
              </w:rPr>
              <w:t>。</w:t>
            </w:r>
          </w:p>
          <w:p w14:paraId="2C6B3A7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投资情况：</w:t>
            </w:r>
            <w:r>
              <w:rPr>
                <w:rFonts w:hint="eastAsia" w:ascii="Times New Roman" w:hAnsi="Times New Roman" w:eastAsia="宋体" w:cs="Times New Roman"/>
                <w:color w:val="auto"/>
                <w:sz w:val="24"/>
                <w:highlight w:val="none"/>
                <w:lang w:val="en-US" w:eastAsia="zh-CN"/>
              </w:rPr>
              <w:t>1000</w:t>
            </w:r>
            <w:r>
              <w:rPr>
                <w:rFonts w:hint="default" w:ascii="Times New Roman" w:hAnsi="Times New Roman" w:eastAsia="宋体" w:cs="Times New Roman"/>
                <w:color w:val="auto"/>
                <w:sz w:val="24"/>
                <w:highlight w:val="none"/>
              </w:rPr>
              <w:t>万元，其中环保投资</w:t>
            </w:r>
            <w:r>
              <w:rPr>
                <w:rFonts w:hint="eastAsia"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万元</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占总投资的</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14:paraId="38E2F59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劳动定员及工作制度：</w:t>
            </w:r>
            <w:r>
              <w:rPr>
                <w:rFonts w:hint="default" w:ascii="Times New Roman" w:hAnsi="Times New Roman" w:eastAsia="宋体" w:cs="Times New Roman"/>
                <w:bCs/>
                <w:color w:val="auto"/>
                <w:sz w:val="24"/>
                <w:szCs w:val="24"/>
                <w:highlight w:val="none"/>
              </w:rPr>
              <w:t>劳动定员为</w:t>
            </w:r>
            <w:r>
              <w:rPr>
                <w:rFonts w:hint="eastAsia" w:ascii="Times New Roman" w:hAnsi="Times New Roman" w:eastAsia="宋体" w:cs="Times New Roman"/>
                <w:bCs/>
                <w:color w:val="auto"/>
                <w:sz w:val="24"/>
                <w:szCs w:val="24"/>
                <w:highlight w:val="none"/>
                <w:lang w:val="en-US" w:eastAsia="zh-CN"/>
              </w:rPr>
              <w:t>45</w:t>
            </w:r>
            <w:r>
              <w:rPr>
                <w:rFonts w:hint="default" w:ascii="Times New Roman" w:hAnsi="Times New Roman" w:eastAsia="宋体" w:cs="Times New Roman"/>
                <w:bCs/>
                <w:color w:val="auto"/>
                <w:sz w:val="24"/>
                <w:szCs w:val="24"/>
                <w:highlight w:val="none"/>
              </w:rPr>
              <w:t>人</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highlight w:val="none"/>
              </w:rPr>
              <w:t>年工作300天，每天工作1班，每班工作8小时，年工作时间为2400小时；</w:t>
            </w:r>
          </w:p>
          <w:p w14:paraId="587BB78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其他：本项目不设置食堂、宿舍等其他生活设施。</w:t>
            </w:r>
          </w:p>
          <w:p w14:paraId="1915094C">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、产品及产能</w:t>
            </w:r>
          </w:p>
          <w:p w14:paraId="538F1BC3">
            <w:pPr>
              <w:pStyle w:val="53"/>
              <w:spacing w:line="360" w:lineRule="auto"/>
              <w:ind w:firstLine="484"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pacing w:val="1"/>
                <w:sz w:val="24"/>
                <w:highlight w:val="none"/>
              </w:rPr>
              <w:t>本项目</w:t>
            </w:r>
            <w:r>
              <w:rPr>
                <w:rFonts w:hint="default" w:ascii="Times New Roman" w:hAnsi="Times New Roman" w:eastAsia="宋体" w:cs="Times New Roman"/>
                <w:color w:val="auto"/>
                <w:spacing w:val="-2"/>
                <w:sz w:val="24"/>
                <w:highlight w:val="none"/>
              </w:rPr>
              <w:t>产品方案详见表2-1。</w:t>
            </w:r>
          </w:p>
          <w:p w14:paraId="0FD396E7">
            <w:pPr>
              <w:jc w:val="center"/>
              <w:rPr>
                <w:rFonts w:hint="default" w:ascii="Times New Roman" w:hAnsi="Times New Roman" w:eastAsia="宋体" w:cs="Times New Roman"/>
                <w:b/>
                <w:color w:val="auto"/>
                <w:sz w:val="24"/>
                <w:highlight w:val="none"/>
              </w:rPr>
            </w:pPr>
          </w:p>
          <w:p w14:paraId="205A3D2C">
            <w:pPr>
              <w:jc w:val="center"/>
              <w:rPr>
                <w:rFonts w:hint="default" w:ascii="Times New Roman" w:hAnsi="Times New Roman" w:eastAsia="宋体" w:cs="Times New Roman"/>
                <w:b/>
                <w:color w:val="auto"/>
                <w:sz w:val="24"/>
                <w:highlight w:val="none"/>
              </w:rPr>
            </w:pPr>
          </w:p>
          <w:p w14:paraId="11CB975C">
            <w:pPr>
              <w:jc w:val="center"/>
              <w:rPr>
                <w:rFonts w:hint="default" w:ascii="Times New Roman" w:hAnsi="Times New Roman" w:eastAsia="宋体" w:cs="Times New Roman"/>
                <w:b/>
                <w:color w:val="auto"/>
                <w:sz w:val="24"/>
                <w:highlight w:val="none"/>
              </w:rPr>
            </w:pPr>
          </w:p>
          <w:p w14:paraId="5C8A8377">
            <w:pPr>
              <w:jc w:val="center"/>
              <w:rPr>
                <w:rFonts w:hint="default" w:ascii="Times New Roman" w:hAnsi="Times New Roman" w:eastAsia="宋体" w:cs="Times New Roman"/>
                <w:b/>
                <w:color w:val="auto"/>
                <w:sz w:val="24"/>
                <w:highlight w:val="none"/>
              </w:rPr>
            </w:pPr>
          </w:p>
          <w:p w14:paraId="0ABB06BF">
            <w:pPr>
              <w:jc w:val="center"/>
              <w:rPr>
                <w:rFonts w:hint="default" w:ascii="Times New Roman" w:hAnsi="Times New Roman" w:eastAsia="宋体" w:cs="Times New Roman"/>
                <w:b/>
                <w:color w:val="auto"/>
                <w:sz w:val="24"/>
                <w:highlight w:val="none"/>
              </w:rPr>
            </w:pPr>
          </w:p>
          <w:p w14:paraId="3D6CBF53">
            <w:pPr>
              <w:jc w:val="center"/>
              <w:rPr>
                <w:rFonts w:hint="default" w:ascii="Times New Roman" w:hAnsi="Times New Roman" w:eastAsia="宋体" w:cs="Times New Roman"/>
                <w:b/>
                <w:color w:val="auto"/>
                <w:sz w:val="24"/>
                <w:highlight w:val="none"/>
              </w:rPr>
            </w:pPr>
          </w:p>
          <w:p w14:paraId="4A995C93">
            <w:pPr>
              <w:jc w:val="center"/>
              <w:rPr>
                <w:rFonts w:hint="default" w:ascii="Times New Roman" w:hAnsi="Times New Roman" w:eastAsia="宋体" w:cs="Times New Roman"/>
                <w:b/>
                <w:color w:val="auto"/>
                <w:sz w:val="24"/>
                <w:highlight w:val="none"/>
              </w:rPr>
            </w:pPr>
          </w:p>
          <w:p w14:paraId="6D7FCD16">
            <w:pPr>
              <w:jc w:val="center"/>
              <w:rPr>
                <w:rFonts w:hint="default" w:ascii="Times New Roman" w:hAnsi="Times New Roman" w:eastAsia="宋体" w:cs="Times New Roman"/>
                <w:b/>
                <w:color w:val="auto"/>
                <w:sz w:val="24"/>
                <w:highlight w:val="none"/>
              </w:rPr>
            </w:pPr>
          </w:p>
          <w:p w14:paraId="088A2D84">
            <w:pPr>
              <w:jc w:val="center"/>
              <w:rPr>
                <w:rFonts w:hint="default" w:ascii="Times New Roman" w:hAnsi="Times New Roman" w:eastAsia="宋体" w:cs="Times New Roman"/>
                <w:b/>
                <w:color w:val="auto"/>
                <w:sz w:val="24"/>
                <w:highlight w:val="none"/>
              </w:rPr>
            </w:pPr>
          </w:p>
          <w:p w14:paraId="4BD21802">
            <w:pPr>
              <w:jc w:val="center"/>
              <w:rPr>
                <w:rFonts w:hint="default" w:ascii="Times New Roman" w:hAnsi="Times New Roman" w:eastAsia="宋体" w:cs="Times New Roman"/>
                <w:b/>
                <w:color w:val="auto"/>
                <w:sz w:val="24"/>
                <w:highlight w:val="none"/>
              </w:rPr>
            </w:pPr>
          </w:p>
          <w:p w14:paraId="7BD822EA">
            <w:pPr>
              <w:jc w:val="center"/>
              <w:rPr>
                <w:rFonts w:hint="default" w:ascii="Times New Roman" w:hAnsi="Times New Roman" w:eastAsia="宋体" w:cs="Times New Roman"/>
                <w:b/>
                <w:color w:val="auto"/>
                <w:sz w:val="24"/>
                <w:highlight w:val="none"/>
              </w:rPr>
            </w:pPr>
          </w:p>
          <w:p w14:paraId="5AEAAFCA">
            <w:pPr>
              <w:jc w:val="center"/>
              <w:rPr>
                <w:rFonts w:hint="default" w:ascii="Times New Roman" w:hAnsi="Times New Roman" w:eastAsia="宋体" w:cs="Times New Roman"/>
                <w:b/>
                <w:color w:val="auto"/>
                <w:sz w:val="24"/>
                <w:highlight w:val="none"/>
              </w:rPr>
            </w:pPr>
          </w:p>
          <w:p w14:paraId="18FB0E4E">
            <w:pPr>
              <w:jc w:val="center"/>
              <w:rPr>
                <w:rFonts w:hint="default" w:ascii="Times New Roman" w:hAnsi="Times New Roman" w:eastAsia="宋体" w:cs="Times New Roman"/>
                <w:b/>
                <w:color w:val="auto"/>
                <w:sz w:val="24"/>
                <w:highlight w:val="none"/>
              </w:rPr>
            </w:pPr>
          </w:p>
          <w:p w14:paraId="3256E313">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建设项目产品方案</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8"/>
              <w:gridCol w:w="1060"/>
              <w:gridCol w:w="1342"/>
              <w:gridCol w:w="2700"/>
              <w:gridCol w:w="1370"/>
              <w:gridCol w:w="1358"/>
            </w:tblGrid>
            <w:tr w14:paraId="53B31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5" w:type="pct"/>
                  <w:vAlign w:val="center"/>
                </w:tcPr>
                <w:p w14:paraId="2EE3E15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34" w:type="pct"/>
                  <w:vAlign w:val="center"/>
                </w:tcPr>
                <w:p w14:paraId="44F164C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产品名称</w:t>
                  </w:r>
                </w:p>
              </w:tc>
              <w:tc>
                <w:tcPr>
                  <w:tcW w:w="802" w:type="pct"/>
                  <w:vAlign w:val="center"/>
                </w:tcPr>
                <w:p w14:paraId="1CFA6C46">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产品参数</w:t>
                  </w:r>
                </w:p>
              </w:tc>
              <w:tc>
                <w:tcPr>
                  <w:tcW w:w="1615" w:type="pct"/>
                  <w:vAlign w:val="center"/>
                </w:tcPr>
                <w:p w14:paraId="68E4B2CD">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产品照片</w:t>
                  </w:r>
                </w:p>
              </w:tc>
              <w:tc>
                <w:tcPr>
                  <w:tcW w:w="819" w:type="pct"/>
                  <w:vAlign w:val="center"/>
                </w:tcPr>
                <w:p w14:paraId="6F455A72">
                  <w:pPr>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设计能力</w:t>
                  </w:r>
                </w:p>
              </w:tc>
              <w:tc>
                <w:tcPr>
                  <w:tcW w:w="812" w:type="pct"/>
                  <w:vAlign w:val="center"/>
                </w:tcPr>
                <w:p w14:paraId="5E7DD14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年运行时数</w:t>
                  </w:r>
                </w:p>
              </w:tc>
            </w:tr>
            <w:tr w14:paraId="0F057D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0" w:hRule="atLeast"/>
              </w:trPr>
              <w:tc>
                <w:tcPr>
                  <w:tcW w:w="315" w:type="pct"/>
                  <w:vMerge w:val="restart"/>
                  <w:vAlign w:val="center"/>
                </w:tcPr>
                <w:p w14:paraId="4C884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4" w:type="pct"/>
                  <w:vMerge w:val="restart"/>
                  <w:vAlign w:val="center"/>
                </w:tcPr>
                <w:p w14:paraId="5015E5E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光伏组件及电力设备</w:t>
                  </w:r>
                </w:p>
              </w:tc>
              <w:tc>
                <w:tcPr>
                  <w:tcW w:w="802" w:type="pct"/>
                  <w:vAlign w:val="center"/>
                </w:tcPr>
                <w:p w14:paraId="351E3BE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797*637*100</w:t>
                  </w:r>
                  <w:r>
                    <w:rPr>
                      <w:rFonts w:hint="eastAsia" w:ascii="Times New Roman" w:hAnsi="Times New Roman" w:eastAsia="宋体" w:cs="Times New Roman"/>
                      <w:color w:val="auto"/>
                      <w:sz w:val="21"/>
                      <w:szCs w:val="21"/>
                      <w:highlight w:val="none"/>
                      <w:lang w:val="en-US" w:eastAsia="zh-CN"/>
                    </w:rPr>
                    <w:t>mm</w:t>
                  </w:r>
                </w:p>
              </w:tc>
              <w:tc>
                <w:tcPr>
                  <w:tcW w:w="1615" w:type="pct"/>
                  <w:vAlign w:val="center"/>
                </w:tcPr>
                <w:p w14:paraId="799E789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drawing>
                      <wp:inline distT="0" distB="0" distL="114300" distR="114300">
                        <wp:extent cx="1440180" cy="1920240"/>
                        <wp:effectExtent l="0" t="0" r="7620" b="3810"/>
                        <wp:docPr id="3" name="图片 3" descr="7f60fb0468c82ce182a0204928dc78b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60fb0468c82ce182a0204928dc78b4_"/>
                                <pic:cNvPicPr>
                                  <a:picLocks noChangeAspect="1"/>
                                </pic:cNvPicPr>
                              </pic:nvPicPr>
                              <pic:blipFill>
                                <a:blip r:embed="rId14"/>
                                <a:stretch>
                                  <a:fillRect/>
                                </a:stretch>
                              </pic:blipFill>
                              <pic:spPr>
                                <a:xfrm>
                                  <a:off x="0" y="0"/>
                                  <a:ext cx="1440180" cy="1920240"/>
                                </a:xfrm>
                                <a:prstGeom prst="rect">
                                  <a:avLst/>
                                </a:prstGeom>
                              </pic:spPr>
                            </pic:pic>
                          </a:graphicData>
                        </a:graphic>
                      </wp:inline>
                    </w:drawing>
                  </w:r>
                </w:p>
              </w:tc>
              <w:tc>
                <w:tcPr>
                  <w:tcW w:w="819" w:type="pct"/>
                  <w:vMerge w:val="restart"/>
                  <w:vAlign w:val="center"/>
                </w:tcPr>
                <w:p w14:paraId="04FC9169">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00套/年</w:t>
                  </w:r>
                </w:p>
              </w:tc>
              <w:tc>
                <w:tcPr>
                  <w:tcW w:w="812" w:type="pct"/>
                  <w:vMerge w:val="restart"/>
                  <w:vAlign w:val="center"/>
                </w:tcPr>
                <w:p w14:paraId="448F89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2400h</w:t>
                  </w:r>
                </w:p>
              </w:tc>
            </w:tr>
            <w:tr w14:paraId="2138E1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0" w:hRule="atLeast"/>
              </w:trPr>
              <w:tc>
                <w:tcPr>
                  <w:tcW w:w="315" w:type="pct"/>
                  <w:vMerge w:val="continue"/>
                  <w:vAlign w:val="center"/>
                </w:tcPr>
                <w:p w14:paraId="092B948E">
                  <w:pPr>
                    <w:jc w:val="center"/>
                    <w:rPr>
                      <w:color w:val="auto"/>
                      <w:highlight w:val="none"/>
                    </w:rPr>
                  </w:pPr>
                </w:p>
              </w:tc>
              <w:tc>
                <w:tcPr>
                  <w:tcW w:w="634" w:type="pct"/>
                  <w:vMerge w:val="continue"/>
                  <w:vAlign w:val="center"/>
                </w:tcPr>
                <w:p w14:paraId="6113AD48">
                  <w:pPr>
                    <w:jc w:val="center"/>
                    <w:rPr>
                      <w:rFonts w:hint="default" w:ascii="Times New Roman" w:hAnsi="Times New Roman" w:eastAsia="宋体" w:cs="Times New Roman"/>
                      <w:color w:val="auto"/>
                      <w:sz w:val="21"/>
                      <w:szCs w:val="21"/>
                      <w:highlight w:val="none"/>
                      <w:lang w:val="en-US" w:eastAsia="zh-CN"/>
                    </w:rPr>
                  </w:pPr>
                </w:p>
              </w:tc>
              <w:tc>
                <w:tcPr>
                  <w:tcW w:w="802" w:type="pct"/>
                  <w:vAlign w:val="center"/>
                </w:tcPr>
                <w:p w14:paraId="3E0E0F9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3060*1000*200mm</w:t>
                  </w:r>
                </w:p>
              </w:tc>
              <w:tc>
                <w:tcPr>
                  <w:tcW w:w="1615" w:type="pct"/>
                  <w:vAlign w:val="center"/>
                </w:tcPr>
                <w:p w14:paraId="0916AB7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drawing>
                      <wp:inline distT="0" distB="0" distL="114300" distR="114300">
                        <wp:extent cx="1522095" cy="1142365"/>
                        <wp:effectExtent l="0" t="0" r="1905" b="635"/>
                        <wp:docPr id="8" name="图片 8" descr="54b14e12d7e122aca02afcc3413b48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b14e12d7e122aca02afcc3413b4899_"/>
                                <pic:cNvPicPr>
                                  <a:picLocks noChangeAspect="1"/>
                                </pic:cNvPicPr>
                              </pic:nvPicPr>
                              <pic:blipFill>
                                <a:blip r:embed="rId15"/>
                                <a:stretch>
                                  <a:fillRect/>
                                </a:stretch>
                              </pic:blipFill>
                              <pic:spPr>
                                <a:xfrm>
                                  <a:off x="0" y="0"/>
                                  <a:ext cx="1522095" cy="1142365"/>
                                </a:xfrm>
                                <a:prstGeom prst="rect">
                                  <a:avLst/>
                                </a:prstGeom>
                              </pic:spPr>
                            </pic:pic>
                          </a:graphicData>
                        </a:graphic>
                      </wp:inline>
                    </w:drawing>
                  </w:r>
                </w:p>
              </w:tc>
              <w:tc>
                <w:tcPr>
                  <w:tcW w:w="819" w:type="pct"/>
                  <w:vMerge w:val="continue"/>
                  <w:vAlign w:val="center"/>
                </w:tcPr>
                <w:p w14:paraId="27FFE532">
                  <w:pPr>
                    <w:jc w:val="center"/>
                    <w:rPr>
                      <w:rFonts w:hint="eastAsia" w:ascii="Times New Roman" w:hAnsi="Times New Roman" w:eastAsia="宋体" w:cs="Times New Roman"/>
                      <w:color w:val="auto"/>
                      <w:sz w:val="21"/>
                      <w:szCs w:val="21"/>
                      <w:highlight w:val="none"/>
                      <w:lang w:val="en-US" w:eastAsia="zh-CN"/>
                    </w:rPr>
                  </w:pPr>
                </w:p>
              </w:tc>
              <w:tc>
                <w:tcPr>
                  <w:tcW w:w="812" w:type="pct"/>
                  <w:vMerge w:val="continue"/>
                  <w:vAlign w:val="center"/>
                </w:tcPr>
                <w:p w14:paraId="58E06AED">
                  <w:pPr>
                    <w:jc w:val="center"/>
                    <w:rPr>
                      <w:rFonts w:hint="eastAsia" w:ascii="Times New Roman" w:hAnsi="Times New Roman" w:eastAsia="宋体" w:cs="Times New Roman"/>
                      <w:color w:val="auto"/>
                      <w:sz w:val="21"/>
                      <w:szCs w:val="21"/>
                      <w:highlight w:val="none"/>
                      <w:lang w:val="en-US" w:eastAsia="zh-CN"/>
                    </w:rPr>
                  </w:pPr>
                </w:p>
              </w:tc>
            </w:tr>
            <w:tr w14:paraId="3E0B0A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40" w:hRule="atLeast"/>
              </w:trPr>
              <w:tc>
                <w:tcPr>
                  <w:tcW w:w="315" w:type="pct"/>
                  <w:vMerge w:val="continue"/>
                  <w:vAlign w:val="center"/>
                </w:tcPr>
                <w:p w14:paraId="7ABA53D4">
                  <w:pPr>
                    <w:jc w:val="center"/>
                    <w:rPr>
                      <w:rFonts w:hint="eastAsia" w:ascii="Times New Roman" w:hAnsi="Times New Roman" w:eastAsia="宋体" w:cs="Times New Roman"/>
                      <w:color w:val="auto"/>
                      <w:sz w:val="21"/>
                      <w:szCs w:val="21"/>
                      <w:highlight w:val="none"/>
                      <w:lang w:val="en-US" w:eastAsia="zh-CN"/>
                    </w:rPr>
                  </w:pPr>
                </w:p>
              </w:tc>
              <w:tc>
                <w:tcPr>
                  <w:tcW w:w="634" w:type="pct"/>
                  <w:vMerge w:val="continue"/>
                  <w:vAlign w:val="center"/>
                </w:tcPr>
                <w:p w14:paraId="124FF3BE">
                  <w:pPr>
                    <w:jc w:val="center"/>
                    <w:rPr>
                      <w:rFonts w:hint="default" w:ascii="Times New Roman" w:hAnsi="Times New Roman" w:eastAsia="宋体" w:cs="Times New Roman"/>
                      <w:color w:val="auto"/>
                      <w:sz w:val="21"/>
                      <w:szCs w:val="21"/>
                      <w:highlight w:val="none"/>
                      <w:lang w:val="en-US" w:eastAsia="zh-CN"/>
                    </w:rPr>
                  </w:pPr>
                </w:p>
              </w:tc>
              <w:tc>
                <w:tcPr>
                  <w:tcW w:w="802" w:type="pct"/>
                  <w:vAlign w:val="center"/>
                </w:tcPr>
                <w:p w14:paraId="711E244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1000*500*250mm</w:t>
                  </w:r>
                </w:p>
              </w:tc>
              <w:tc>
                <w:tcPr>
                  <w:tcW w:w="1615" w:type="pct"/>
                  <w:vAlign w:val="center"/>
                </w:tcPr>
                <w:p w14:paraId="1FCC258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drawing>
                      <wp:inline distT="0" distB="0" distL="114300" distR="114300">
                        <wp:extent cx="1552575" cy="1164590"/>
                        <wp:effectExtent l="0" t="0" r="0" b="6985"/>
                        <wp:docPr id="5" name="图片 5" descr="a437f6cf7af1867dd6cca3d11481aec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37f6cf7af1867dd6cca3d11481aec7_"/>
                                <pic:cNvPicPr>
                                  <a:picLocks noChangeAspect="1"/>
                                </pic:cNvPicPr>
                              </pic:nvPicPr>
                              <pic:blipFill>
                                <a:blip r:embed="rId16"/>
                                <a:stretch>
                                  <a:fillRect/>
                                </a:stretch>
                              </pic:blipFill>
                              <pic:spPr>
                                <a:xfrm>
                                  <a:off x="0" y="0"/>
                                  <a:ext cx="1552575" cy="1164590"/>
                                </a:xfrm>
                                <a:prstGeom prst="rect">
                                  <a:avLst/>
                                </a:prstGeom>
                              </pic:spPr>
                            </pic:pic>
                          </a:graphicData>
                        </a:graphic>
                      </wp:inline>
                    </w:drawing>
                  </w:r>
                </w:p>
              </w:tc>
              <w:tc>
                <w:tcPr>
                  <w:tcW w:w="819" w:type="pct"/>
                  <w:vMerge w:val="continue"/>
                  <w:vAlign w:val="center"/>
                </w:tcPr>
                <w:p w14:paraId="7366EE26">
                  <w:pPr>
                    <w:jc w:val="center"/>
                    <w:rPr>
                      <w:rFonts w:hint="eastAsia" w:ascii="Times New Roman" w:hAnsi="Times New Roman" w:eastAsia="宋体" w:cs="Times New Roman"/>
                      <w:color w:val="auto"/>
                      <w:sz w:val="21"/>
                      <w:szCs w:val="21"/>
                      <w:highlight w:val="none"/>
                      <w:lang w:val="en-US" w:eastAsia="zh-CN"/>
                    </w:rPr>
                  </w:pPr>
                </w:p>
              </w:tc>
              <w:tc>
                <w:tcPr>
                  <w:tcW w:w="812" w:type="pct"/>
                  <w:vMerge w:val="continue"/>
                  <w:vAlign w:val="center"/>
                </w:tcPr>
                <w:p w14:paraId="2E9F915E">
                  <w:pPr>
                    <w:jc w:val="center"/>
                    <w:rPr>
                      <w:rFonts w:hint="eastAsia" w:ascii="Times New Roman" w:hAnsi="Times New Roman" w:eastAsia="宋体" w:cs="Times New Roman"/>
                      <w:color w:val="auto"/>
                      <w:sz w:val="21"/>
                      <w:szCs w:val="21"/>
                      <w:highlight w:val="none"/>
                      <w:lang w:val="en-US" w:eastAsia="zh-CN"/>
                    </w:rPr>
                  </w:pPr>
                </w:p>
              </w:tc>
            </w:tr>
          </w:tbl>
          <w:p w14:paraId="2E011F6B">
            <w:pPr>
              <w:spacing w:line="360" w:lineRule="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注：本项目生产的产品主要用作各类太阳能光伏设备及电力设备的外壳，具体参数根据客户要求而定，</w:t>
            </w:r>
            <w:r>
              <w:rPr>
                <w:rFonts w:hint="eastAsia" w:ascii="Times New Roman" w:hAnsi="Times New Roman" w:eastAsia="宋体" w:cs="Times New Roman"/>
                <w:color w:val="auto"/>
                <w:sz w:val="21"/>
                <w:szCs w:val="21"/>
                <w:highlight w:val="none"/>
                <w:lang w:val="en-US" w:eastAsia="zh-CN"/>
              </w:rPr>
              <w:t>本项目产品方案挑选了几个具有代表性的产品。</w:t>
            </w:r>
          </w:p>
          <w:p w14:paraId="55BCF768">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、生产设施</w:t>
            </w:r>
          </w:p>
          <w:p w14:paraId="48A6DBD6">
            <w:pPr>
              <w:pStyle w:val="54"/>
              <w:snapToGrid/>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本项目主要设备见表2-</w:t>
            </w:r>
            <w:r>
              <w:rPr>
                <w:rFonts w:hint="eastAsia" w:ascii="Times New Roman" w:hAnsi="Times New Roman" w:eastAsia="宋体" w:cs="Times New Roman"/>
                <w:color w:val="auto"/>
                <w:sz w:val="24"/>
                <w:highlight w:val="none"/>
                <w:lang w:val="en-US" w:eastAsia="zh-CN"/>
              </w:rPr>
              <w:t>2、2-3</w:t>
            </w:r>
            <w:r>
              <w:rPr>
                <w:rFonts w:hint="default" w:ascii="Times New Roman" w:hAnsi="Times New Roman" w:eastAsia="宋体" w:cs="Times New Roman"/>
                <w:color w:val="auto"/>
                <w:sz w:val="24"/>
                <w:highlight w:val="none"/>
              </w:rPr>
              <w:t>。</w:t>
            </w:r>
          </w:p>
          <w:p w14:paraId="16BE9308">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主要设备清单一览表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0"/>
              <w:gridCol w:w="2070"/>
              <w:gridCol w:w="1676"/>
              <w:gridCol w:w="1117"/>
              <w:gridCol w:w="1025"/>
              <w:gridCol w:w="1777"/>
            </w:tblGrid>
            <w:tr w14:paraId="3F4F4E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0D81FE8A">
                  <w:pPr>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序号</w:t>
                  </w:r>
                </w:p>
              </w:tc>
              <w:tc>
                <w:tcPr>
                  <w:tcW w:w="1238" w:type="pct"/>
                  <w:vAlign w:val="center"/>
                </w:tcPr>
                <w:p w14:paraId="4B4E232F">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1002" w:type="pct"/>
                  <w:vAlign w:val="center"/>
                </w:tcPr>
                <w:p w14:paraId="3526F6B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规格、型号</w:t>
                  </w:r>
                </w:p>
              </w:tc>
              <w:tc>
                <w:tcPr>
                  <w:tcW w:w="668" w:type="pct"/>
                  <w:vAlign w:val="center"/>
                </w:tcPr>
                <w:p w14:paraId="4D8E08F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613" w:type="pct"/>
                  <w:vAlign w:val="center"/>
                </w:tcPr>
                <w:p w14:paraId="2F6F5442">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c>
                <w:tcPr>
                  <w:tcW w:w="1063" w:type="pct"/>
                  <w:vAlign w:val="center"/>
                </w:tcPr>
                <w:p w14:paraId="55C6A3E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66E269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622486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1238" w:type="pct"/>
                  <w:vAlign w:val="center"/>
                </w:tcPr>
                <w:p w14:paraId="41AF3C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数控激光切割设备</w:t>
                  </w:r>
                </w:p>
              </w:tc>
              <w:tc>
                <w:tcPr>
                  <w:tcW w:w="1002" w:type="pct"/>
                  <w:vAlign w:val="center"/>
                </w:tcPr>
                <w:p w14:paraId="685BB6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TruLaser 3030</w:t>
                  </w:r>
                </w:p>
              </w:tc>
              <w:tc>
                <w:tcPr>
                  <w:tcW w:w="668" w:type="pct"/>
                  <w:vAlign w:val="center"/>
                </w:tcPr>
                <w:p w14:paraId="7B1893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613" w:type="pct"/>
                  <w:vAlign w:val="center"/>
                </w:tcPr>
                <w:p w14:paraId="2CE148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063" w:type="pct"/>
                  <w:vMerge w:val="restart"/>
                  <w:vAlign w:val="center"/>
                </w:tcPr>
                <w:p w14:paraId="6B27C07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w:t>
                  </w:r>
                </w:p>
              </w:tc>
            </w:tr>
            <w:tr w14:paraId="6A723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119FE1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1238" w:type="pct"/>
                  <w:shd w:val="clear" w:color="auto" w:fill="auto"/>
                  <w:vAlign w:val="center"/>
                </w:tcPr>
                <w:p w14:paraId="6B195F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激光剪板机</w:t>
                  </w:r>
                </w:p>
              </w:tc>
              <w:tc>
                <w:tcPr>
                  <w:tcW w:w="1002" w:type="pct"/>
                  <w:shd w:val="clear" w:color="auto" w:fill="auto"/>
                  <w:vAlign w:val="center"/>
                </w:tcPr>
                <w:p w14:paraId="47C58F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shd w:val="clear" w:color="auto" w:fill="auto"/>
                  <w:vAlign w:val="center"/>
                </w:tcPr>
                <w:p w14:paraId="387B8C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shd w:val="clear" w:color="auto" w:fill="auto"/>
                  <w:vAlign w:val="center"/>
                </w:tcPr>
                <w:p w14:paraId="421C617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75CD4383">
                  <w:pPr>
                    <w:jc w:val="center"/>
                    <w:rPr>
                      <w:rFonts w:hint="default" w:ascii="Times New Roman" w:hAnsi="Times New Roman" w:eastAsia="宋体" w:cs="Times New Roman"/>
                      <w:color w:val="auto"/>
                      <w:sz w:val="21"/>
                      <w:szCs w:val="21"/>
                      <w:highlight w:val="none"/>
                      <w:lang w:val="en-US" w:eastAsia="zh-CN"/>
                    </w:rPr>
                  </w:pPr>
                </w:p>
              </w:tc>
            </w:tr>
            <w:tr w14:paraId="3148AC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33A785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1238" w:type="pct"/>
                  <w:vAlign w:val="center"/>
                </w:tcPr>
                <w:p w14:paraId="6A8AA1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通快数控冲床</w:t>
                  </w:r>
                </w:p>
              </w:tc>
              <w:tc>
                <w:tcPr>
                  <w:tcW w:w="1002" w:type="pct"/>
                  <w:vAlign w:val="center"/>
                </w:tcPr>
                <w:p w14:paraId="1D9E586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TruPunch 5000</w:t>
                  </w:r>
                </w:p>
              </w:tc>
              <w:tc>
                <w:tcPr>
                  <w:tcW w:w="668" w:type="pct"/>
                  <w:vAlign w:val="center"/>
                </w:tcPr>
                <w:p w14:paraId="2067D3D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0B65EE7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1063" w:type="pct"/>
                  <w:vMerge w:val="restart"/>
                  <w:vAlign w:val="center"/>
                </w:tcPr>
                <w:p w14:paraId="34E1D1B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造型</w:t>
                  </w:r>
                </w:p>
              </w:tc>
            </w:tr>
            <w:tr w14:paraId="5157F5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37324B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1238" w:type="pct"/>
                  <w:vAlign w:val="center"/>
                </w:tcPr>
                <w:p w14:paraId="1A3A56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数控折弯机</w:t>
                  </w:r>
                </w:p>
              </w:tc>
              <w:tc>
                <w:tcPr>
                  <w:tcW w:w="1002" w:type="pct"/>
                  <w:vAlign w:val="center"/>
                </w:tcPr>
                <w:p w14:paraId="78DB89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8" w:type="pct"/>
                  <w:vAlign w:val="center"/>
                </w:tcPr>
                <w:p w14:paraId="7741358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613" w:type="pct"/>
                  <w:vAlign w:val="center"/>
                </w:tcPr>
                <w:p w14:paraId="2C97ED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063" w:type="pct"/>
                  <w:vMerge w:val="continue"/>
                  <w:vAlign w:val="center"/>
                </w:tcPr>
                <w:p w14:paraId="07AB4C7A">
                  <w:pPr>
                    <w:jc w:val="center"/>
                    <w:rPr>
                      <w:rFonts w:hint="default" w:ascii="Times New Roman" w:hAnsi="Times New Roman" w:eastAsia="宋体" w:cs="Times New Roman"/>
                      <w:color w:val="auto"/>
                      <w:sz w:val="21"/>
                      <w:szCs w:val="21"/>
                      <w:highlight w:val="none"/>
                      <w:lang w:val="en-US" w:eastAsia="zh-CN"/>
                    </w:rPr>
                  </w:pPr>
                </w:p>
              </w:tc>
            </w:tr>
            <w:tr w14:paraId="4D68A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267B41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1238" w:type="pct"/>
                  <w:vAlign w:val="center"/>
                </w:tcPr>
                <w:p w14:paraId="039B79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激光切管机</w:t>
                  </w:r>
                </w:p>
              </w:tc>
              <w:tc>
                <w:tcPr>
                  <w:tcW w:w="1002" w:type="pct"/>
                  <w:vAlign w:val="center"/>
                </w:tcPr>
                <w:p w14:paraId="692A21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0E79E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00954F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063" w:type="pct"/>
                  <w:vMerge w:val="continue"/>
                  <w:vAlign w:val="center"/>
                </w:tcPr>
                <w:p w14:paraId="5B89561C">
                  <w:pPr>
                    <w:jc w:val="center"/>
                    <w:rPr>
                      <w:rFonts w:hint="default" w:ascii="Times New Roman" w:hAnsi="Times New Roman" w:eastAsia="宋体" w:cs="Times New Roman"/>
                      <w:color w:val="auto"/>
                      <w:sz w:val="21"/>
                      <w:szCs w:val="21"/>
                      <w:highlight w:val="none"/>
                      <w:lang w:val="en-US" w:eastAsia="zh-CN"/>
                    </w:rPr>
                  </w:pPr>
                </w:p>
              </w:tc>
            </w:tr>
            <w:tr w14:paraId="62791C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1EF24C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1238" w:type="pct"/>
                  <w:vAlign w:val="center"/>
                </w:tcPr>
                <w:p w14:paraId="0D3C06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攻丝机</w:t>
                  </w:r>
                </w:p>
              </w:tc>
              <w:tc>
                <w:tcPr>
                  <w:tcW w:w="1002" w:type="pct"/>
                  <w:vAlign w:val="center"/>
                </w:tcPr>
                <w:p w14:paraId="15D3C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3F5F6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3273596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0DD96C6B">
                  <w:pPr>
                    <w:jc w:val="center"/>
                    <w:rPr>
                      <w:rFonts w:hint="default" w:ascii="Times New Roman" w:hAnsi="Times New Roman" w:eastAsia="宋体" w:cs="Times New Roman"/>
                      <w:color w:val="auto"/>
                      <w:sz w:val="21"/>
                      <w:szCs w:val="21"/>
                      <w:highlight w:val="none"/>
                      <w:lang w:val="en-US" w:eastAsia="zh-CN"/>
                    </w:rPr>
                  </w:pPr>
                </w:p>
              </w:tc>
            </w:tr>
            <w:tr w14:paraId="1B7C3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7A8F14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1238" w:type="pct"/>
                  <w:vAlign w:val="center"/>
                </w:tcPr>
                <w:p w14:paraId="6CD1F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Style w:val="78"/>
                      <w:rFonts w:hint="default" w:ascii="Times New Roman" w:hAnsi="Times New Roman" w:cs="Times New Roman"/>
                      <w:color w:val="auto"/>
                      <w:highlight w:val="none"/>
                      <w:lang w:val="en-US" w:eastAsia="zh-CN" w:bidi="ar"/>
                    </w:rPr>
                    <w:t>带冷却钻机</w:t>
                  </w:r>
                </w:p>
              </w:tc>
              <w:tc>
                <w:tcPr>
                  <w:tcW w:w="1002" w:type="pct"/>
                  <w:vAlign w:val="center"/>
                </w:tcPr>
                <w:p w14:paraId="6B2750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366DEB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6F1252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41E24975">
                  <w:pPr>
                    <w:jc w:val="center"/>
                    <w:rPr>
                      <w:rFonts w:hint="default" w:ascii="Times New Roman" w:hAnsi="Times New Roman" w:eastAsia="宋体" w:cs="Times New Roman"/>
                      <w:color w:val="auto"/>
                      <w:sz w:val="21"/>
                      <w:szCs w:val="21"/>
                      <w:highlight w:val="none"/>
                      <w:lang w:val="en-US" w:eastAsia="zh-CN"/>
                    </w:rPr>
                  </w:pPr>
                </w:p>
              </w:tc>
            </w:tr>
            <w:tr w14:paraId="58D08C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73BD0F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1238" w:type="pct"/>
                  <w:vAlign w:val="center"/>
                </w:tcPr>
                <w:p w14:paraId="6CFA5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压铆机</w:t>
                  </w:r>
                </w:p>
              </w:tc>
              <w:tc>
                <w:tcPr>
                  <w:tcW w:w="1002" w:type="pct"/>
                  <w:vAlign w:val="center"/>
                </w:tcPr>
                <w:p w14:paraId="04A024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C-618Plus</w:t>
                  </w:r>
                </w:p>
              </w:tc>
              <w:tc>
                <w:tcPr>
                  <w:tcW w:w="668" w:type="pct"/>
                  <w:vAlign w:val="center"/>
                </w:tcPr>
                <w:p w14:paraId="1E449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02BB30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2129F851">
                  <w:pPr>
                    <w:jc w:val="center"/>
                    <w:rPr>
                      <w:rFonts w:hint="default" w:ascii="Times New Roman" w:hAnsi="Times New Roman" w:eastAsia="宋体" w:cs="Times New Roman"/>
                      <w:color w:val="auto"/>
                      <w:sz w:val="21"/>
                      <w:szCs w:val="21"/>
                      <w:highlight w:val="none"/>
                      <w:lang w:val="en-US" w:eastAsia="zh-CN"/>
                    </w:rPr>
                  </w:pPr>
                </w:p>
              </w:tc>
            </w:tr>
            <w:tr w14:paraId="1E23A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3D0FA7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1238" w:type="pct"/>
                  <w:vAlign w:val="center"/>
                </w:tcPr>
                <w:p w14:paraId="54069D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打孔机</w:t>
                  </w:r>
                </w:p>
              </w:tc>
              <w:tc>
                <w:tcPr>
                  <w:tcW w:w="1002" w:type="pct"/>
                  <w:vAlign w:val="center"/>
                </w:tcPr>
                <w:p w14:paraId="1873FC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34B1A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2C3F3E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5C3812A0">
                  <w:pPr>
                    <w:jc w:val="center"/>
                    <w:rPr>
                      <w:rFonts w:hint="default" w:ascii="Times New Roman" w:hAnsi="Times New Roman" w:eastAsia="宋体" w:cs="Times New Roman"/>
                      <w:color w:val="auto"/>
                      <w:sz w:val="21"/>
                      <w:szCs w:val="21"/>
                      <w:highlight w:val="none"/>
                      <w:lang w:val="en-US" w:eastAsia="zh-CN"/>
                    </w:rPr>
                  </w:pPr>
                </w:p>
              </w:tc>
            </w:tr>
            <w:tr w14:paraId="27D301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584F1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1238" w:type="pct"/>
                  <w:shd w:val="clear" w:color="auto" w:fill="auto"/>
                  <w:vAlign w:val="center"/>
                </w:tcPr>
                <w:p w14:paraId="4DEF479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
                    </w:rPr>
                  </w:pPr>
                  <w:r>
                    <w:rPr>
                      <w:rStyle w:val="78"/>
                      <w:rFonts w:hint="default" w:ascii="Times New Roman" w:hAnsi="Times New Roman" w:cs="Times New Roman"/>
                      <w:color w:val="auto"/>
                      <w:highlight w:val="none"/>
                      <w:lang w:val="en-US" w:eastAsia="zh-CN" w:bidi="ar"/>
                    </w:rPr>
                    <w:t>3D检测仪</w:t>
                  </w:r>
                </w:p>
              </w:tc>
              <w:tc>
                <w:tcPr>
                  <w:tcW w:w="1002" w:type="pct"/>
                  <w:shd w:val="clear" w:color="auto" w:fill="auto"/>
                  <w:vAlign w:val="center"/>
                </w:tcPr>
                <w:p w14:paraId="2CE2D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P150.35</w:t>
                  </w:r>
                </w:p>
              </w:tc>
              <w:tc>
                <w:tcPr>
                  <w:tcW w:w="668" w:type="pct"/>
                  <w:shd w:val="clear" w:color="auto" w:fill="auto"/>
                  <w:vAlign w:val="center"/>
                </w:tcPr>
                <w:p w14:paraId="73674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shd w:val="clear" w:color="auto" w:fill="auto"/>
                  <w:vAlign w:val="center"/>
                </w:tcPr>
                <w:p w14:paraId="631DCD6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063" w:type="pct"/>
                  <w:vAlign w:val="center"/>
                </w:tcPr>
                <w:p w14:paraId="141B3F8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检验</w:t>
                  </w:r>
                </w:p>
              </w:tc>
            </w:tr>
            <w:tr w14:paraId="72D54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18C4CB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1238" w:type="pct"/>
                  <w:vAlign w:val="center"/>
                </w:tcPr>
                <w:p w14:paraId="1CB0A8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数控激光焊接机</w:t>
                  </w:r>
                </w:p>
              </w:tc>
              <w:tc>
                <w:tcPr>
                  <w:tcW w:w="1002" w:type="pct"/>
                  <w:vAlign w:val="center"/>
                </w:tcPr>
                <w:p w14:paraId="3F1B29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Trulaser Weld 5000</w:t>
                  </w:r>
                </w:p>
              </w:tc>
              <w:tc>
                <w:tcPr>
                  <w:tcW w:w="668" w:type="pct"/>
                  <w:vAlign w:val="center"/>
                </w:tcPr>
                <w:p w14:paraId="01E4A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613" w:type="pct"/>
                  <w:vAlign w:val="center"/>
                </w:tcPr>
                <w:p w14:paraId="36ADA1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restart"/>
                  <w:vAlign w:val="center"/>
                </w:tcPr>
                <w:p w14:paraId="203AF79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w:t>
                  </w:r>
                </w:p>
              </w:tc>
            </w:tr>
            <w:tr w14:paraId="6F5544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00C8D1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1238" w:type="pct"/>
                  <w:vAlign w:val="center"/>
                </w:tcPr>
                <w:p w14:paraId="02051D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手持摆动激光焊接机</w:t>
                  </w:r>
                </w:p>
              </w:tc>
              <w:tc>
                <w:tcPr>
                  <w:tcW w:w="1002" w:type="pct"/>
                  <w:vAlign w:val="center"/>
                </w:tcPr>
                <w:p w14:paraId="5FA53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46493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4518E9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3AC71392">
                  <w:pPr>
                    <w:jc w:val="center"/>
                    <w:rPr>
                      <w:rFonts w:hint="default" w:ascii="Times New Roman" w:hAnsi="Times New Roman" w:eastAsia="宋体" w:cs="Times New Roman"/>
                      <w:color w:val="auto"/>
                      <w:sz w:val="21"/>
                      <w:szCs w:val="21"/>
                      <w:highlight w:val="none"/>
                      <w:lang w:val="en-US" w:eastAsia="zh-CN"/>
                    </w:rPr>
                  </w:pPr>
                </w:p>
              </w:tc>
            </w:tr>
            <w:tr w14:paraId="505788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16E16C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1238" w:type="pct"/>
                  <w:vAlign w:val="center"/>
                </w:tcPr>
                <w:p w14:paraId="624F2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抽头气保焊</w:t>
                  </w:r>
                </w:p>
              </w:tc>
              <w:tc>
                <w:tcPr>
                  <w:tcW w:w="1002" w:type="pct"/>
                  <w:vAlign w:val="center"/>
                </w:tcPr>
                <w:p w14:paraId="7D5E96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1789E6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70F791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711A5C9E">
                  <w:pPr>
                    <w:jc w:val="center"/>
                    <w:rPr>
                      <w:rFonts w:hint="default" w:ascii="Times New Roman" w:hAnsi="Times New Roman" w:eastAsia="宋体" w:cs="Times New Roman"/>
                      <w:color w:val="auto"/>
                      <w:sz w:val="21"/>
                      <w:szCs w:val="21"/>
                      <w:highlight w:val="none"/>
                      <w:lang w:val="en-US" w:eastAsia="zh-CN"/>
                    </w:rPr>
                  </w:pPr>
                </w:p>
              </w:tc>
            </w:tr>
            <w:tr w14:paraId="49EF79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7E35B4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1238" w:type="pct"/>
                  <w:vAlign w:val="center"/>
                </w:tcPr>
                <w:p w14:paraId="0AE79C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氩弧焊机</w:t>
                  </w:r>
                </w:p>
              </w:tc>
              <w:tc>
                <w:tcPr>
                  <w:tcW w:w="1002" w:type="pct"/>
                  <w:vAlign w:val="center"/>
                </w:tcPr>
                <w:p w14:paraId="7B1F6A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10867F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613" w:type="pct"/>
                  <w:vAlign w:val="center"/>
                </w:tcPr>
                <w:p w14:paraId="1CF6B2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017F159C">
                  <w:pPr>
                    <w:jc w:val="center"/>
                    <w:rPr>
                      <w:rFonts w:hint="default" w:ascii="Times New Roman" w:hAnsi="Times New Roman" w:eastAsia="宋体" w:cs="Times New Roman"/>
                      <w:color w:val="auto"/>
                      <w:sz w:val="21"/>
                      <w:szCs w:val="21"/>
                      <w:highlight w:val="none"/>
                      <w:lang w:val="en-US" w:eastAsia="zh-CN"/>
                    </w:rPr>
                  </w:pPr>
                </w:p>
              </w:tc>
            </w:tr>
            <w:tr w14:paraId="5F8DA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28B1F9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1238" w:type="pct"/>
                  <w:vAlign w:val="center"/>
                </w:tcPr>
                <w:p w14:paraId="19692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螺柱焊机</w:t>
                  </w:r>
                </w:p>
              </w:tc>
              <w:tc>
                <w:tcPr>
                  <w:tcW w:w="1002" w:type="pct"/>
                  <w:vAlign w:val="center"/>
                </w:tcPr>
                <w:p w14:paraId="62E33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33D8F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58B99D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1E3E30A1">
                  <w:pPr>
                    <w:jc w:val="center"/>
                    <w:rPr>
                      <w:rFonts w:hint="default" w:ascii="Times New Roman" w:hAnsi="Times New Roman" w:eastAsia="宋体" w:cs="Times New Roman"/>
                      <w:color w:val="auto"/>
                      <w:sz w:val="21"/>
                      <w:szCs w:val="21"/>
                      <w:highlight w:val="none"/>
                      <w:lang w:val="en-US" w:eastAsia="zh-CN"/>
                    </w:rPr>
                  </w:pPr>
                </w:p>
              </w:tc>
            </w:tr>
            <w:tr w14:paraId="130F52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6F0C5E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1238" w:type="pct"/>
                  <w:vAlign w:val="center"/>
                </w:tcPr>
                <w:p w14:paraId="0C70F3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点焊机</w:t>
                  </w:r>
                </w:p>
              </w:tc>
              <w:tc>
                <w:tcPr>
                  <w:tcW w:w="1002" w:type="pct"/>
                  <w:vAlign w:val="center"/>
                </w:tcPr>
                <w:p w14:paraId="0AD7A3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74778B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55149F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606E7BFB">
                  <w:pPr>
                    <w:jc w:val="center"/>
                    <w:rPr>
                      <w:rFonts w:hint="default" w:ascii="Times New Roman" w:hAnsi="Times New Roman" w:eastAsia="宋体" w:cs="Times New Roman"/>
                      <w:color w:val="auto"/>
                      <w:sz w:val="21"/>
                      <w:szCs w:val="21"/>
                      <w:highlight w:val="none"/>
                      <w:lang w:val="en-US" w:eastAsia="zh-CN"/>
                    </w:rPr>
                  </w:pPr>
                </w:p>
              </w:tc>
            </w:tr>
            <w:tr w14:paraId="77FC55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6387C3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1238" w:type="pct"/>
                  <w:vAlign w:val="center"/>
                </w:tcPr>
                <w:p w14:paraId="2CDF8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气保焊机</w:t>
                  </w:r>
                </w:p>
              </w:tc>
              <w:tc>
                <w:tcPr>
                  <w:tcW w:w="1002" w:type="pct"/>
                  <w:vAlign w:val="center"/>
                </w:tcPr>
                <w:p w14:paraId="365870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2FA639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613" w:type="pct"/>
                  <w:vAlign w:val="center"/>
                </w:tcPr>
                <w:p w14:paraId="756C62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799098CF">
                  <w:pPr>
                    <w:jc w:val="center"/>
                    <w:rPr>
                      <w:rFonts w:hint="default" w:ascii="Times New Roman" w:hAnsi="Times New Roman" w:eastAsia="宋体" w:cs="Times New Roman"/>
                      <w:color w:val="auto"/>
                      <w:sz w:val="21"/>
                      <w:szCs w:val="21"/>
                      <w:highlight w:val="none"/>
                      <w:lang w:val="en-US" w:eastAsia="zh-CN"/>
                    </w:rPr>
                  </w:pPr>
                </w:p>
              </w:tc>
            </w:tr>
            <w:tr w14:paraId="021E32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33DBA7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1238" w:type="pct"/>
                  <w:vAlign w:val="center"/>
                </w:tcPr>
                <w:p w14:paraId="37DF8E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磨光机</w:t>
                  </w:r>
                </w:p>
              </w:tc>
              <w:tc>
                <w:tcPr>
                  <w:tcW w:w="1002" w:type="pct"/>
                  <w:vAlign w:val="center"/>
                </w:tcPr>
                <w:p w14:paraId="444149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21D4CB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w:t>
                  </w:r>
                </w:p>
              </w:tc>
              <w:tc>
                <w:tcPr>
                  <w:tcW w:w="613" w:type="pct"/>
                  <w:vAlign w:val="center"/>
                </w:tcPr>
                <w:p w14:paraId="7CFC14F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1063" w:type="pct"/>
                  <w:vAlign w:val="center"/>
                </w:tcPr>
                <w:p w14:paraId="5A17973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打磨</w:t>
                  </w:r>
                </w:p>
              </w:tc>
            </w:tr>
            <w:tr w14:paraId="614338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shd w:val="clear" w:color="auto" w:fill="auto"/>
                  <w:vAlign w:val="center"/>
                </w:tcPr>
                <w:p w14:paraId="40E626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1238" w:type="pct"/>
                  <w:vAlign w:val="center"/>
                </w:tcPr>
                <w:p w14:paraId="6AD2E1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喷砂机</w:t>
                  </w:r>
                </w:p>
              </w:tc>
              <w:tc>
                <w:tcPr>
                  <w:tcW w:w="1002" w:type="pct"/>
                  <w:vAlign w:val="center"/>
                </w:tcPr>
                <w:p w14:paraId="5608E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41790E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251C217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c>
                <w:tcPr>
                  <w:tcW w:w="1063" w:type="pct"/>
                  <w:vAlign w:val="center"/>
                </w:tcPr>
                <w:p w14:paraId="552816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喷砂</w:t>
                  </w:r>
                </w:p>
              </w:tc>
            </w:tr>
            <w:tr w14:paraId="51EB44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shd w:val="clear" w:color="auto" w:fill="auto"/>
                  <w:vAlign w:val="center"/>
                </w:tcPr>
                <w:p w14:paraId="671F5E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1238" w:type="pct"/>
                  <w:vAlign w:val="center"/>
                </w:tcPr>
                <w:p w14:paraId="13BF3D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Style w:val="78"/>
                      <w:rFonts w:hint="default" w:ascii="Times New Roman" w:hAnsi="Times New Roman" w:cs="Times New Roman"/>
                      <w:color w:val="auto"/>
                      <w:highlight w:val="none"/>
                      <w:lang w:val="en-US" w:eastAsia="zh-CN" w:bidi="ar"/>
                    </w:rPr>
                    <w:t>全自动喷涂线</w:t>
                  </w:r>
                  <w:r>
                    <w:rPr>
                      <w:rStyle w:val="78"/>
                      <w:rFonts w:hint="eastAsia" w:ascii="Times New Roman" w:hAnsi="Times New Roman" w:cs="Times New Roman"/>
                      <w:color w:val="auto"/>
                      <w:highlight w:val="none"/>
                      <w:lang w:val="en-US" w:eastAsia="zh-CN" w:bidi="ar"/>
                    </w:rPr>
                    <w:t>（导轨悬挂式）</w:t>
                  </w:r>
                </w:p>
              </w:tc>
              <w:tc>
                <w:tcPr>
                  <w:tcW w:w="1002" w:type="pct"/>
                  <w:vAlign w:val="center"/>
                </w:tcPr>
                <w:p w14:paraId="42296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具体构成</w:t>
                  </w:r>
                  <w:r>
                    <w:rPr>
                      <w:rFonts w:hint="eastAsia" w:ascii="Times New Roman" w:hAnsi="Times New Roman" w:eastAsia="宋体" w:cs="Times New Roman"/>
                      <w:i w:val="0"/>
                      <w:iCs w:val="0"/>
                      <w:color w:val="auto"/>
                      <w:kern w:val="0"/>
                      <w:sz w:val="21"/>
                      <w:szCs w:val="21"/>
                      <w:highlight w:val="none"/>
                      <w:u w:val="none"/>
                      <w:lang w:val="en-US" w:eastAsia="zh-CN" w:bidi="ar"/>
                    </w:rPr>
                    <w:t>见</w:t>
                  </w:r>
                  <w:r>
                    <w:rPr>
                      <w:rFonts w:hint="default" w:ascii="Times New Roman" w:hAnsi="Times New Roman" w:eastAsia="宋体" w:cs="Times New Roman"/>
                      <w:i w:val="0"/>
                      <w:iCs w:val="0"/>
                      <w:color w:val="auto"/>
                      <w:kern w:val="0"/>
                      <w:sz w:val="21"/>
                      <w:szCs w:val="21"/>
                      <w:highlight w:val="none"/>
                      <w:u w:val="none"/>
                      <w:lang w:val="en-US" w:eastAsia="zh-CN" w:bidi="ar"/>
                    </w:rPr>
                    <w:t>表</w:t>
                  </w:r>
                  <w:r>
                    <w:rPr>
                      <w:rFonts w:hint="eastAsia" w:ascii="Times New Roman" w:hAnsi="Times New Roman" w:eastAsia="宋体" w:cs="Times New Roman"/>
                      <w:i w:val="0"/>
                      <w:iCs w:val="0"/>
                      <w:color w:val="auto"/>
                      <w:kern w:val="0"/>
                      <w:sz w:val="21"/>
                      <w:szCs w:val="21"/>
                      <w:highlight w:val="none"/>
                      <w:u w:val="none"/>
                      <w:lang w:val="en-US" w:eastAsia="zh-CN" w:bidi="ar"/>
                    </w:rPr>
                    <w:t>2-3</w:t>
                  </w:r>
                </w:p>
              </w:tc>
              <w:tc>
                <w:tcPr>
                  <w:tcW w:w="668" w:type="pct"/>
                  <w:vAlign w:val="center"/>
                </w:tcPr>
                <w:p w14:paraId="44B621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5ED07D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条</w:t>
                  </w:r>
                </w:p>
              </w:tc>
              <w:tc>
                <w:tcPr>
                  <w:tcW w:w="1063" w:type="pct"/>
                  <w:vMerge w:val="restart"/>
                  <w:vAlign w:val="center"/>
                </w:tcPr>
                <w:p w14:paraId="4D716E2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前处理、喷粉</w:t>
                  </w:r>
                </w:p>
              </w:tc>
            </w:tr>
            <w:tr w14:paraId="5A49FB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shd w:val="clear" w:color="auto" w:fill="auto"/>
                  <w:vAlign w:val="center"/>
                </w:tcPr>
                <w:p w14:paraId="6815C7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1238" w:type="pct"/>
                  <w:vAlign w:val="center"/>
                </w:tcPr>
                <w:p w14:paraId="7D1369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Style w:val="78"/>
                      <w:rFonts w:hint="default" w:ascii="Times New Roman" w:hAnsi="Times New Roman" w:cs="Times New Roman"/>
                      <w:color w:val="auto"/>
                      <w:highlight w:val="none"/>
                      <w:lang w:val="en-US" w:eastAsia="zh-CN" w:bidi="ar"/>
                    </w:rPr>
                    <w:t>静电喷塑成套设备</w:t>
                  </w:r>
                </w:p>
              </w:tc>
              <w:tc>
                <w:tcPr>
                  <w:tcW w:w="1002" w:type="pct"/>
                  <w:vAlign w:val="center"/>
                </w:tcPr>
                <w:p w14:paraId="2D568A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4DAC17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vAlign w:val="center"/>
                </w:tcPr>
                <w:p w14:paraId="2A8007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34AAADDB">
                  <w:pPr>
                    <w:jc w:val="center"/>
                    <w:rPr>
                      <w:rFonts w:hint="default" w:ascii="Times New Roman" w:hAnsi="Times New Roman" w:eastAsia="宋体" w:cs="Times New Roman"/>
                      <w:color w:val="auto"/>
                      <w:sz w:val="21"/>
                      <w:szCs w:val="21"/>
                      <w:highlight w:val="none"/>
                      <w:lang w:val="en-US" w:eastAsia="zh-CN"/>
                    </w:rPr>
                  </w:pPr>
                </w:p>
              </w:tc>
            </w:tr>
            <w:tr w14:paraId="17702B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shd w:val="clear" w:color="auto" w:fill="auto"/>
                  <w:vAlign w:val="center"/>
                </w:tcPr>
                <w:p w14:paraId="66C9F6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1238" w:type="pct"/>
                  <w:shd w:val="clear" w:color="auto" w:fill="auto"/>
                  <w:vAlign w:val="center"/>
                </w:tcPr>
                <w:p w14:paraId="07A3992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EPG手动喷涂机</w:t>
                  </w:r>
                </w:p>
              </w:tc>
              <w:tc>
                <w:tcPr>
                  <w:tcW w:w="1002" w:type="pct"/>
                  <w:vAlign w:val="center"/>
                </w:tcPr>
                <w:p w14:paraId="709EE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68" w:type="pct"/>
                  <w:vAlign w:val="center"/>
                </w:tcPr>
                <w:p w14:paraId="33422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613" w:type="pct"/>
                  <w:vAlign w:val="center"/>
                </w:tcPr>
                <w:p w14:paraId="5B79D17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1063" w:type="pct"/>
                  <w:vMerge w:val="continue"/>
                  <w:vAlign w:val="center"/>
                </w:tcPr>
                <w:p w14:paraId="7CEBC048">
                  <w:pPr>
                    <w:jc w:val="center"/>
                    <w:rPr>
                      <w:rFonts w:hint="default" w:ascii="Times New Roman" w:hAnsi="Times New Roman" w:eastAsia="宋体" w:cs="Times New Roman"/>
                      <w:color w:val="auto"/>
                      <w:sz w:val="21"/>
                      <w:szCs w:val="21"/>
                      <w:highlight w:val="none"/>
                      <w:lang w:val="en-US" w:eastAsia="zh-CN"/>
                    </w:rPr>
                  </w:pPr>
                </w:p>
              </w:tc>
            </w:tr>
            <w:tr w14:paraId="2D01E0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shd w:val="clear" w:color="auto" w:fill="auto"/>
                  <w:vAlign w:val="center"/>
                </w:tcPr>
                <w:p w14:paraId="755209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1238" w:type="pct"/>
                  <w:shd w:val="clear" w:color="auto" w:fill="auto"/>
                  <w:vAlign w:val="center"/>
                </w:tcPr>
                <w:p w14:paraId="5BA16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打胶机</w:t>
                  </w:r>
                </w:p>
              </w:tc>
              <w:tc>
                <w:tcPr>
                  <w:tcW w:w="1002" w:type="pct"/>
                  <w:shd w:val="clear" w:color="auto" w:fill="auto"/>
                  <w:vAlign w:val="center"/>
                </w:tcPr>
                <w:p w14:paraId="56BB8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SJ-503</w:t>
                  </w:r>
                </w:p>
              </w:tc>
              <w:tc>
                <w:tcPr>
                  <w:tcW w:w="668" w:type="pct"/>
                  <w:shd w:val="clear" w:color="auto" w:fill="auto"/>
                  <w:vAlign w:val="center"/>
                </w:tcPr>
                <w:p w14:paraId="46D3EF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613" w:type="pct"/>
                  <w:shd w:val="clear" w:color="auto" w:fill="auto"/>
                  <w:vAlign w:val="center"/>
                </w:tcPr>
                <w:p w14:paraId="4D6F721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063" w:type="pct"/>
                  <w:vAlign w:val="center"/>
                </w:tcPr>
                <w:p w14:paraId="4F14172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打胶</w:t>
                  </w:r>
                </w:p>
              </w:tc>
            </w:tr>
            <w:tr w14:paraId="4A3CD0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2" w:type="pct"/>
                  <w:vAlign w:val="center"/>
                </w:tcPr>
                <w:p w14:paraId="568FE94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1238" w:type="pct"/>
                  <w:vAlign w:val="center"/>
                </w:tcPr>
                <w:p w14:paraId="129A95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空压机、储气罐</w:t>
                  </w:r>
                </w:p>
              </w:tc>
              <w:tc>
                <w:tcPr>
                  <w:tcW w:w="1002" w:type="pct"/>
                  <w:vAlign w:val="center"/>
                </w:tcPr>
                <w:p w14:paraId="2E0A1C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668" w:type="pct"/>
                  <w:vAlign w:val="center"/>
                </w:tcPr>
                <w:p w14:paraId="23645D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13" w:type="pct"/>
                  <w:vAlign w:val="center"/>
                </w:tcPr>
                <w:p w14:paraId="032F67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063" w:type="pct"/>
                  <w:vAlign w:val="center"/>
                </w:tcPr>
                <w:p w14:paraId="787D4D4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公辅设备</w:t>
                  </w:r>
                </w:p>
              </w:tc>
            </w:tr>
          </w:tbl>
          <w:p w14:paraId="27E63807">
            <w:pPr>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全自动前处理线设备构成表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4"/>
              <w:gridCol w:w="1181"/>
              <w:gridCol w:w="1706"/>
              <w:gridCol w:w="3013"/>
              <w:gridCol w:w="935"/>
              <w:gridCol w:w="859"/>
            </w:tblGrid>
            <w:tr w14:paraId="362DB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397" w:type="pct"/>
                  <w:vAlign w:val="center"/>
                </w:tcPr>
                <w:p w14:paraId="3E39785E">
                  <w:pPr>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序号</w:t>
                  </w:r>
                </w:p>
              </w:tc>
              <w:tc>
                <w:tcPr>
                  <w:tcW w:w="706" w:type="pct"/>
                  <w:vAlign w:val="center"/>
                </w:tcPr>
                <w:p w14:paraId="1484EB8E">
                  <w:pPr>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生产线</w:t>
                  </w:r>
                </w:p>
              </w:tc>
              <w:tc>
                <w:tcPr>
                  <w:tcW w:w="1020" w:type="pct"/>
                  <w:vAlign w:val="center"/>
                </w:tcPr>
                <w:p w14:paraId="6C08AF45">
                  <w:pPr>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设备</w:t>
                  </w:r>
                  <w:r>
                    <w:rPr>
                      <w:rFonts w:hint="eastAsia" w:ascii="Times New Roman" w:hAnsi="Times New Roman" w:eastAsia="宋体" w:cs="Times New Roman"/>
                      <w:b/>
                      <w:color w:val="auto"/>
                      <w:sz w:val="21"/>
                      <w:szCs w:val="21"/>
                      <w:highlight w:val="none"/>
                      <w:lang w:val="en-US" w:eastAsia="zh-CN"/>
                    </w:rPr>
                    <w:t>构成</w:t>
                  </w:r>
                </w:p>
              </w:tc>
              <w:tc>
                <w:tcPr>
                  <w:tcW w:w="1802" w:type="pct"/>
                  <w:vAlign w:val="center"/>
                </w:tcPr>
                <w:p w14:paraId="4ED6BFCF">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规格、型号</w:t>
                  </w:r>
                </w:p>
              </w:tc>
              <w:tc>
                <w:tcPr>
                  <w:tcW w:w="559" w:type="pct"/>
                  <w:vAlign w:val="center"/>
                </w:tcPr>
                <w:p w14:paraId="0B30DDC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513" w:type="pct"/>
                  <w:vAlign w:val="center"/>
                </w:tcPr>
                <w:p w14:paraId="6BC0F77D">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单位</w:t>
                  </w:r>
                </w:p>
              </w:tc>
            </w:tr>
            <w:tr w14:paraId="52B101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00D786E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706" w:type="pct"/>
                  <w:vMerge w:val="restart"/>
                  <w:vAlign w:val="center"/>
                </w:tcPr>
                <w:p w14:paraId="6C657A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Style w:val="78"/>
                      <w:rFonts w:hint="default" w:ascii="Times New Roman" w:hAnsi="Times New Roman" w:cs="Times New Roman"/>
                      <w:color w:val="auto"/>
                      <w:highlight w:val="none"/>
                      <w:lang w:val="en-US" w:eastAsia="zh-CN" w:bidi="ar"/>
                    </w:rPr>
                    <w:t>全自动喷涂线</w:t>
                  </w:r>
                  <w:r>
                    <w:rPr>
                      <w:rStyle w:val="78"/>
                      <w:rFonts w:hint="eastAsia" w:ascii="Times New Roman" w:hAnsi="Times New Roman" w:cs="Times New Roman"/>
                      <w:color w:val="auto"/>
                      <w:highlight w:val="none"/>
                      <w:lang w:val="en-US" w:eastAsia="zh-CN" w:bidi="ar"/>
                    </w:rPr>
                    <w:t>（导轨悬挂式）</w:t>
                  </w:r>
                </w:p>
              </w:tc>
              <w:tc>
                <w:tcPr>
                  <w:tcW w:w="1020" w:type="pct"/>
                  <w:vAlign w:val="center"/>
                </w:tcPr>
                <w:p w14:paraId="36D218C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预脱脂室</w:t>
                  </w:r>
                </w:p>
              </w:tc>
              <w:tc>
                <w:tcPr>
                  <w:tcW w:w="1802" w:type="pct"/>
                  <w:vAlign w:val="center"/>
                </w:tcPr>
                <w:p w14:paraId="34980C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L6.0xW1.4xH2.4m配套供液槽L1.8xW1.5xH1.1m</w:t>
                  </w:r>
                </w:p>
              </w:tc>
              <w:tc>
                <w:tcPr>
                  <w:tcW w:w="559" w:type="pct"/>
                  <w:vAlign w:val="center"/>
                </w:tcPr>
                <w:p w14:paraId="0F1340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52942B29">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561AD8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145E18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706" w:type="pct"/>
                  <w:vMerge w:val="continue"/>
                  <w:shd w:val="clear" w:color="auto" w:fill="auto"/>
                  <w:vAlign w:val="center"/>
                </w:tcPr>
                <w:p w14:paraId="239B56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shd w:val="clear" w:color="auto" w:fill="auto"/>
                  <w:vAlign w:val="center"/>
                </w:tcPr>
                <w:p w14:paraId="4F634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主脱脂室</w:t>
                  </w:r>
                </w:p>
              </w:tc>
              <w:tc>
                <w:tcPr>
                  <w:tcW w:w="1802" w:type="pct"/>
                  <w:shd w:val="clear" w:color="auto" w:fill="auto"/>
                  <w:vAlign w:val="center"/>
                </w:tcPr>
                <w:p w14:paraId="3FE930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L6.0xW1.4xH2.4m配套供液槽 L1. 8xW1.5xH1.1m</w:t>
                  </w:r>
                </w:p>
              </w:tc>
              <w:tc>
                <w:tcPr>
                  <w:tcW w:w="559" w:type="pct"/>
                  <w:shd w:val="clear" w:color="auto" w:fill="auto"/>
                  <w:vAlign w:val="center"/>
                </w:tcPr>
                <w:p w14:paraId="46FE2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shd w:val="clear" w:color="auto" w:fill="auto"/>
                  <w:vAlign w:val="center"/>
                </w:tcPr>
                <w:p w14:paraId="4FC8BD0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座</w:t>
                  </w:r>
                </w:p>
              </w:tc>
            </w:tr>
            <w:tr w14:paraId="1DA29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069AF02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706" w:type="pct"/>
                  <w:vMerge w:val="continue"/>
                  <w:vAlign w:val="center"/>
                </w:tcPr>
                <w:p w14:paraId="2D1331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52EAFA9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水洗室1</w:t>
                  </w:r>
                </w:p>
              </w:tc>
              <w:tc>
                <w:tcPr>
                  <w:tcW w:w="1802" w:type="pct"/>
                  <w:vAlign w:val="center"/>
                </w:tcPr>
                <w:p w14:paraId="389BBC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L3.0xW1.4xW2.4m配套水洗槽L1.8xW1.5xH1.1m</w:t>
                  </w:r>
                </w:p>
              </w:tc>
              <w:tc>
                <w:tcPr>
                  <w:tcW w:w="559" w:type="pct"/>
                  <w:vAlign w:val="center"/>
                </w:tcPr>
                <w:p w14:paraId="21131F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55773AD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座</w:t>
                  </w:r>
                </w:p>
              </w:tc>
            </w:tr>
            <w:tr w14:paraId="286404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7161E8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706" w:type="pct"/>
                  <w:vMerge w:val="continue"/>
                  <w:vAlign w:val="center"/>
                </w:tcPr>
                <w:p w14:paraId="57A023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2D27D8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水洗室2</w:t>
                  </w:r>
                </w:p>
              </w:tc>
              <w:tc>
                <w:tcPr>
                  <w:tcW w:w="1802" w:type="pct"/>
                  <w:vAlign w:val="center"/>
                </w:tcPr>
                <w:p w14:paraId="1F30E1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L3.0xW1.4xH2.4m配套水洗槽L1.8xW1.5xH1.1m</w:t>
                  </w:r>
                </w:p>
              </w:tc>
              <w:tc>
                <w:tcPr>
                  <w:tcW w:w="559" w:type="pct"/>
                  <w:vAlign w:val="center"/>
                </w:tcPr>
                <w:p w14:paraId="7D7DF7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21E69C8A">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21AD8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10C201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706" w:type="pct"/>
                  <w:vMerge w:val="continue"/>
                  <w:vAlign w:val="center"/>
                </w:tcPr>
                <w:p w14:paraId="179BE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302A3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水洗室3</w:t>
                  </w:r>
                </w:p>
              </w:tc>
              <w:tc>
                <w:tcPr>
                  <w:tcW w:w="1802" w:type="pct"/>
                  <w:vAlign w:val="center"/>
                </w:tcPr>
                <w:p w14:paraId="3FB412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L3.0xW1.4xH2.4m配套水洗槽L1.8xW1.5xH1.1m</w:t>
                  </w:r>
                </w:p>
              </w:tc>
              <w:tc>
                <w:tcPr>
                  <w:tcW w:w="559" w:type="pct"/>
                  <w:vAlign w:val="center"/>
                </w:tcPr>
                <w:p w14:paraId="303BCD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1E66EE1F">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17CDD0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2C3E85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706" w:type="pct"/>
                  <w:vMerge w:val="continue"/>
                  <w:vAlign w:val="center"/>
                </w:tcPr>
                <w:p w14:paraId="2F6551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0A031B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硅烷化室</w:t>
                  </w:r>
                </w:p>
              </w:tc>
              <w:tc>
                <w:tcPr>
                  <w:tcW w:w="1802" w:type="pct"/>
                  <w:vAlign w:val="center"/>
                </w:tcPr>
                <w:p w14:paraId="412EF3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L3.0xW1.4xH2.4m配套供液槽L1.8xW1.5xH1.1m</w:t>
                  </w:r>
                </w:p>
              </w:tc>
              <w:tc>
                <w:tcPr>
                  <w:tcW w:w="559" w:type="pct"/>
                  <w:vAlign w:val="center"/>
                </w:tcPr>
                <w:p w14:paraId="75420B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479148D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座</w:t>
                  </w:r>
                </w:p>
              </w:tc>
            </w:tr>
            <w:tr w14:paraId="35C91A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51C065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706" w:type="pct"/>
                  <w:vMerge w:val="continue"/>
                  <w:vAlign w:val="center"/>
                </w:tcPr>
                <w:p w14:paraId="23D71D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6B7B4F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水洗室4</w:t>
                  </w:r>
                </w:p>
              </w:tc>
              <w:tc>
                <w:tcPr>
                  <w:tcW w:w="1802" w:type="pct"/>
                  <w:vAlign w:val="center"/>
                </w:tcPr>
                <w:p w14:paraId="5C2A16E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L3.0xW1.4xH2.4m配套水洗槽L1.8xW1.5xH1.1m</w:t>
                  </w:r>
                </w:p>
              </w:tc>
              <w:tc>
                <w:tcPr>
                  <w:tcW w:w="559" w:type="pct"/>
                  <w:vAlign w:val="center"/>
                </w:tcPr>
                <w:p w14:paraId="413052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28379703">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7F98C7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2EF9B9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706" w:type="pct"/>
                  <w:vMerge w:val="continue"/>
                  <w:vAlign w:val="center"/>
                </w:tcPr>
                <w:p w14:paraId="73E75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6EDF65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滴水室</w:t>
                  </w:r>
                </w:p>
              </w:tc>
              <w:tc>
                <w:tcPr>
                  <w:tcW w:w="1802" w:type="pct"/>
                  <w:vAlign w:val="center"/>
                </w:tcPr>
                <w:p w14:paraId="144B9D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L4.0xW1.4xH2.4m</w:t>
                  </w:r>
                </w:p>
              </w:tc>
              <w:tc>
                <w:tcPr>
                  <w:tcW w:w="559" w:type="pct"/>
                  <w:vAlign w:val="center"/>
                </w:tcPr>
                <w:p w14:paraId="053D4E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7</w:t>
                  </w:r>
                </w:p>
              </w:tc>
              <w:tc>
                <w:tcPr>
                  <w:tcW w:w="513" w:type="pct"/>
                  <w:vAlign w:val="center"/>
                </w:tcPr>
                <w:p w14:paraId="4EE944D9">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5C3D48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4BA845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706" w:type="pct"/>
                  <w:vMerge w:val="continue"/>
                  <w:vAlign w:val="center"/>
                </w:tcPr>
                <w:p w14:paraId="623497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2D93FB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水分烘干烘道</w:t>
                  </w:r>
                </w:p>
              </w:tc>
              <w:tc>
                <w:tcPr>
                  <w:tcW w:w="1802" w:type="pct"/>
                  <w:vAlign w:val="center"/>
                </w:tcPr>
                <w:p w14:paraId="68C7DD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L35xW1.2xH3.0m</w:t>
                  </w:r>
                </w:p>
              </w:tc>
              <w:tc>
                <w:tcPr>
                  <w:tcW w:w="559" w:type="pct"/>
                  <w:vAlign w:val="center"/>
                </w:tcPr>
                <w:p w14:paraId="4C95F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7165D84A">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10B28D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62874E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706" w:type="pct"/>
                  <w:vMerge w:val="continue"/>
                  <w:shd w:val="clear" w:color="auto" w:fill="auto"/>
                  <w:vAlign w:val="center"/>
                </w:tcPr>
                <w:p w14:paraId="158EF1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shd w:val="clear" w:color="auto" w:fill="auto"/>
                  <w:vAlign w:val="center"/>
                </w:tcPr>
                <w:p w14:paraId="4585D93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
                    </w:rPr>
                  </w:pPr>
                  <w:r>
                    <w:rPr>
                      <w:rFonts w:hint="eastAsia" w:ascii="Times New Roman" w:hAnsi="Times New Roman" w:eastAsia="宋体" w:cs="Times New Roman"/>
                      <w:i w:val="0"/>
                      <w:iCs w:val="0"/>
                      <w:color w:val="auto"/>
                      <w:kern w:val="2"/>
                      <w:sz w:val="22"/>
                      <w:szCs w:val="22"/>
                      <w:highlight w:val="none"/>
                      <w:u w:val="none"/>
                      <w:lang w:val="en-US" w:eastAsia="zh-CN" w:bidi="ar"/>
                    </w:rPr>
                    <w:t>热风炉</w:t>
                  </w:r>
                </w:p>
              </w:tc>
              <w:tc>
                <w:tcPr>
                  <w:tcW w:w="1802" w:type="pct"/>
                  <w:shd w:val="clear" w:color="auto" w:fill="auto"/>
                  <w:vAlign w:val="center"/>
                </w:tcPr>
                <w:p w14:paraId="0A09AE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RX34万kcal/h</w:t>
                  </w:r>
                </w:p>
              </w:tc>
              <w:tc>
                <w:tcPr>
                  <w:tcW w:w="559" w:type="pct"/>
                  <w:shd w:val="clear" w:color="auto" w:fill="auto"/>
                  <w:vAlign w:val="center"/>
                </w:tcPr>
                <w:p w14:paraId="6B0D09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shd w:val="clear" w:color="auto" w:fill="auto"/>
                  <w:vAlign w:val="center"/>
                </w:tcPr>
                <w:p w14:paraId="38299C7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套</w:t>
                  </w:r>
                </w:p>
              </w:tc>
            </w:tr>
            <w:tr w14:paraId="6F3ABD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1C969E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706" w:type="pct"/>
                  <w:vMerge w:val="continue"/>
                  <w:vAlign w:val="center"/>
                </w:tcPr>
                <w:p w14:paraId="5D9AD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4BB38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手工喷粉室</w:t>
                  </w:r>
                </w:p>
              </w:tc>
              <w:tc>
                <w:tcPr>
                  <w:tcW w:w="1802" w:type="pct"/>
                  <w:vAlign w:val="center"/>
                </w:tcPr>
                <w:p w14:paraId="2186BB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L6.0xW1.5xH2.4m</w:t>
                  </w:r>
                </w:p>
              </w:tc>
              <w:tc>
                <w:tcPr>
                  <w:tcW w:w="559" w:type="pct"/>
                  <w:vAlign w:val="center"/>
                </w:tcPr>
                <w:p w14:paraId="4D7A7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5411F829">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6C2C5D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2A3F4C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706" w:type="pct"/>
                  <w:vMerge w:val="continue"/>
                  <w:vAlign w:val="center"/>
                </w:tcPr>
                <w:p w14:paraId="4B31E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2E7B35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全自动喷粉室</w:t>
                  </w:r>
                </w:p>
              </w:tc>
              <w:tc>
                <w:tcPr>
                  <w:tcW w:w="1802" w:type="pct"/>
                  <w:vAlign w:val="center"/>
                </w:tcPr>
                <w:p w14:paraId="7D889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L6.0xW1.5xH2.4m</w:t>
                  </w:r>
                </w:p>
              </w:tc>
              <w:tc>
                <w:tcPr>
                  <w:tcW w:w="559" w:type="pct"/>
                  <w:vAlign w:val="center"/>
                </w:tcPr>
                <w:p w14:paraId="5AAF9A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1C6AF07C">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座</w:t>
                  </w:r>
                </w:p>
              </w:tc>
            </w:tr>
            <w:tr w14:paraId="2216C0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64B5F7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706" w:type="pct"/>
                  <w:vMerge w:val="continue"/>
                  <w:vAlign w:val="center"/>
                </w:tcPr>
                <w:p w14:paraId="31263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4D88CB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粉末固化烘道</w:t>
                  </w:r>
                </w:p>
              </w:tc>
              <w:tc>
                <w:tcPr>
                  <w:tcW w:w="1802" w:type="pct"/>
                  <w:vAlign w:val="center"/>
                </w:tcPr>
                <w:p w14:paraId="7E5DBD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L35xW2.8xH3.0m</w:t>
                  </w:r>
                </w:p>
              </w:tc>
              <w:tc>
                <w:tcPr>
                  <w:tcW w:w="559" w:type="pct"/>
                  <w:vAlign w:val="center"/>
                </w:tcPr>
                <w:p w14:paraId="694B8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0B6A4526">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座</w:t>
                  </w:r>
                </w:p>
              </w:tc>
            </w:tr>
            <w:tr w14:paraId="675546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7" w:type="pct"/>
                  <w:vAlign w:val="center"/>
                </w:tcPr>
                <w:p w14:paraId="582B51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706" w:type="pct"/>
                  <w:vMerge w:val="continue"/>
                  <w:vAlign w:val="center"/>
                </w:tcPr>
                <w:p w14:paraId="43D9DA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020" w:type="pct"/>
                  <w:vAlign w:val="center"/>
                </w:tcPr>
                <w:p w14:paraId="416B0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热风炉</w:t>
                  </w:r>
                </w:p>
              </w:tc>
              <w:tc>
                <w:tcPr>
                  <w:tcW w:w="1802" w:type="pct"/>
                  <w:vAlign w:val="center"/>
                </w:tcPr>
                <w:p w14:paraId="5E2DD8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RX70万kcal/h</w:t>
                  </w:r>
                </w:p>
              </w:tc>
              <w:tc>
                <w:tcPr>
                  <w:tcW w:w="559" w:type="pct"/>
                  <w:vAlign w:val="center"/>
                </w:tcPr>
                <w:p w14:paraId="2AB5F1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513" w:type="pct"/>
                  <w:vAlign w:val="center"/>
                </w:tcPr>
                <w:p w14:paraId="3D6B2A9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套</w:t>
                  </w:r>
                </w:p>
              </w:tc>
            </w:tr>
          </w:tbl>
          <w:p w14:paraId="60B33772">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、原辅材料</w:t>
            </w:r>
          </w:p>
          <w:p w14:paraId="13D7B49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1）原辅料用量及成分</w:t>
            </w:r>
          </w:p>
          <w:p w14:paraId="0B93F38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本项目主要原辅材料见表2-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14:paraId="2B38A8C4">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建设项目原辅料及资源能源消耗</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3"/>
              <w:gridCol w:w="531"/>
              <w:gridCol w:w="1089"/>
              <w:gridCol w:w="2923"/>
              <w:gridCol w:w="977"/>
              <w:gridCol w:w="977"/>
              <w:gridCol w:w="1398"/>
            </w:tblGrid>
            <w:tr w14:paraId="64B064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730B1BE4">
                  <w:pPr>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序号</w:t>
                  </w:r>
                </w:p>
              </w:tc>
              <w:tc>
                <w:tcPr>
                  <w:tcW w:w="317" w:type="pct"/>
                  <w:vAlign w:val="center"/>
                </w:tcPr>
                <w:p w14:paraId="00D68397">
                  <w:pPr>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类型</w:t>
                  </w:r>
                </w:p>
              </w:tc>
              <w:tc>
                <w:tcPr>
                  <w:tcW w:w="651" w:type="pct"/>
                  <w:vAlign w:val="center"/>
                </w:tcPr>
                <w:p w14:paraId="7EEFD0FB">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748" w:type="pct"/>
                  <w:vAlign w:val="center"/>
                </w:tcPr>
                <w:p w14:paraId="0F57E40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重要组分、规格及指标</w:t>
                  </w:r>
                </w:p>
              </w:tc>
              <w:tc>
                <w:tcPr>
                  <w:tcW w:w="584" w:type="pct"/>
                  <w:vAlign w:val="center"/>
                </w:tcPr>
                <w:p w14:paraId="74404CB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年耗量</w:t>
                  </w:r>
                </w:p>
              </w:tc>
              <w:tc>
                <w:tcPr>
                  <w:tcW w:w="584" w:type="pct"/>
                  <w:vAlign w:val="center"/>
                </w:tcPr>
                <w:p w14:paraId="50F2434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最大储存量</w:t>
                  </w:r>
                </w:p>
              </w:tc>
              <w:tc>
                <w:tcPr>
                  <w:tcW w:w="836" w:type="pct"/>
                  <w:vAlign w:val="center"/>
                </w:tcPr>
                <w:p w14:paraId="25F4DFB8">
                  <w:pPr>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备注</w:t>
                  </w:r>
                </w:p>
              </w:tc>
            </w:tr>
            <w:tr w14:paraId="618969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607BDB75">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317" w:type="pct"/>
                  <w:vMerge w:val="restart"/>
                  <w:vAlign w:val="center"/>
                </w:tcPr>
                <w:p w14:paraId="7280B03B">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原料</w:t>
                  </w:r>
                </w:p>
              </w:tc>
              <w:tc>
                <w:tcPr>
                  <w:tcW w:w="651" w:type="pct"/>
                  <w:vAlign w:val="center"/>
                </w:tcPr>
                <w:p w14:paraId="42A75E22">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钢件</w:t>
                  </w:r>
                </w:p>
              </w:tc>
              <w:tc>
                <w:tcPr>
                  <w:tcW w:w="1748" w:type="pct"/>
                  <w:vAlign w:val="center"/>
                </w:tcPr>
                <w:p w14:paraId="7E809E01">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铁、碳、硅等</w:t>
                  </w:r>
                </w:p>
              </w:tc>
              <w:tc>
                <w:tcPr>
                  <w:tcW w:w="584" w:type="pct"/>
                  <w:vAlign w:val="center"/>
                </w:tcPr>
                <w:p w14:paraId="6F970331">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300t</w:t>
                  </w:r>
                </w:p>
              </w:tc>
              <w:tc>
                <w:tcPr>
                  <w:tcW w:w="584" w:type="pct"/>
                  <w:vAlign w:val="center"/>
                </w:tcPr>
                <w:p w14:paraId="7B659178">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t</w:t>
                  </w:r>
                </w:p>
              </w:tc>
              <w:tc>
                <w:tcPr>
                  <w:tcW w:w="836" w:type="pct"/>
                  <w:vMerge w:val="restart"/>
                  <w:vAlign w:val="center"/>
                </w:tcPr>
                <w:p w14:paraId="255A13F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外购、汽运</w:t>
                  </w:r>
                </w:p>
              </w:tc>
            </w:tr>
            <w:tr w14:paraId="3B41C8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0E46BF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317" w:type="pct"/>
                  <w:vMerge w:val="continue"/>
                  <w:vAlign w:val="center"/>
                </w:tcPr>
                <w:p w14:paraId="49F2218F">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vAlign w:val="center"/>
                </w:tcPr>
                <w:p w14:paraId="1489A3EA">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五金件</w:t>
                  </w:r>
                </w:p>
              </w:tc>
              <w:tc>
                <w:tcPr>
                  <w:tcW w:w="1748" w:type="pct"/>
                  <w:vAlign w:val="center"/>
                </w:tcPr>
                <w:p w14:paraId="5BBA5412">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铁、碳、硅等</w:t>
                  </w:r>
                </w:p>
              </w:tc>
              <w:tc>
                <w:tcPr>
                  <w:tcW w:w="584" w:type="pct"/>
                  <w:vAlign w:val="center"/>
                </w:tcPr>
                <w:p w14:paraId="54E57A12">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3000套</w:t>
                  </w:r>
                </w:p>
              </w:tc>
              <w:tc>
                <w:tcPr>
                  <w:tcW w:w="584" w:type="pct"/>
                  <w:shd w:val="clear" w:color="auto" w:fill="auto"/>
                  <w:vAlign w:val="center"/>
                </w:tcPr>
                <w:p w14:paraId="7EEFCC06">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200套</w:t>
                  </w:r>
                </w:p>
              </w:tc>
              <w:tc>
                <w:tcPr>
                  <w:tcW w:w="836" w:type="pct"/>
                  <w:vMerge w:val="continue"/>
                  <w:vAlign w:val="center"/>
                </w:tcPr>
                <w:p w14:paraId="02172C35">
                  <w:pPr>
                    <w:jc w:val="center"/>
                    <w:rPr>
                      <w:rFonts w:hint="default" w:ascii="Times New Roman" w:hAnsi="Times New Roman" w:eastAsia="宋体" w:cs="Times New Roman"/>
                      <w:color w:val="auto"/>
                      <w:sz w:val="21"/>
                      <w:szCs w:val="21"/>
                      <w:highlight w:val="none"/>
                    </w:rPr>
                  </w:pPr>
                </w:p>
              </w:tc>
            </w:tr>
            <w:tr w14:paraId="3F522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08410C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317" w:type="pct"/>
                  <w:vMerge w:val="restart"/>
                  <w:vAlign w:val="center"/>
                </w:tcPr>
                <w:p w14:paraId="011526E5">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辅料</w:t>
                  </w:r>
                </w:p>
              </w:tc>
              <w:tc>
                <w:tcPr>
                  <w:tcW w:w="651" w:type="pct"/>
                  <w:vAlign w:val="center"/>
                </w:tcPr>
                <w:p w14:paraId="5A7C1D19">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塑粉</w:t>
                  </w:r>
                </w:p>
              </w:tc>
              <w:tc>
                <w:tcPr>
                  <w:tcW w:w="1748" w:type="pct"/>
                  <w:vAlign w:val="center"/>
                </w:tcPr>
                <w:p w14:paraId="1FDCF1AF">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固化剂6%、聚酯树脂56%、填料17.5%、助剂2.5%、颜料18%，25kg/纸桶装</w:t>
                  </w:r>
                </w:p>
              </w:tc>
              <w:tc>
                <w:tcPr>
                  <w:tcW w:w="584" w:type="pct"/>
                  <w:vAlign w:val="center"/>
                </w:tcPr>
                <w:p w14:paraId="32F4D071">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50t</w:t>
                  </w:r>
                </w:p>
              </w:tc>
              <w:tc>
                <w:tcPr>
                  <w:tcW w:w="584" w:type="pct"/>
                  <w:shd w:val="clear" w:color="auto" w:fill="auto"/>
                  <w:vAlign w:val="center"/>
                </w:tcPr>
                <w:p w14:paraId="1B2F5954">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10t</w:t>
                  </w:r>
                </w:p>
              </w:tc>
              <w:tc>
                <w:tcPr>
                  <w:tcW w:w="836" w:type="pct"/>
                  <w:vMerge w:val="continue"/>
                  <w:vAlign w:val="center"/>
                </w:tcPr>
                <w:p w14:paraId="49AA3113">
                  <w:pPr>
                    <w:jc w:val="center"/>
                    <w:rPr>
                      <w:rFonts w:hint="default" w:ascii="Times New Roman" w:hAnsi="Times New Roman" w:eastAsia="宋体" w:cs="Times New Roman"/>
                      <w:color w:val="auto"/>
                      <w:sz w:val="21"/>
                      <w:szCs w:val="21"/>
                      <w:highlight w:val="none"/>
                    </w:rPr>
                  </w:pPr>
                </w:p>
              </w:tc>
            </w:tr>
            <w:tr w14:paraId="0EDCF9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191659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317" w:type="pct"/>
                  <w:vMerge w:val="continue"/>
                  <w:vAlign w:val="center"/>
                </w:tcPr>
                <w:p w14:paraId="540D8D65">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vAlign w:val="center"/>
                </w:tcPr>
                <w:p w14:paraId="0FFC80F5">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水性胶</w:t>
                  </w:r>
                </w:p>
              </w:tc>
              <w:tc>
                <w:tcPr>
                  <w:tcW w:w="1748" w:type="pct"/>
                  <w:vAlign w:val="center"/>
                </w:tcPr>
                <w:p w14:paraId="7A463468">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聚醚多元醇79%、碳酸钙15%、乙二醇1.8%、有机硅1%、色浆0.5%、气相二氧化硅1.2%、三乙烯二胺0.5%、水1%，500ml/支</w:t>
                  </w:r>
                </w:p>
              </w:tc>
              <w:tc>
                <w:tcPr>
                  <w:tcW w:w="584" w:type="pct"/>
                  <w:vAlign w:val="center"/>
                </w:tcPr>
                <w:p w14:paraId="60B9A5C7">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20000L</w:t>
                  </w:r>
                </w:p>
              </w:tc>
              <w:tc>
                <w:tcPr>
                  <w:tcW w:w="584" w:type="pct"/>
                  <w:shd w:val="clear" w:color="auto" w:fill="auto"/>
                  <w:vAlign w:val="center"/>
                </w:tcPr>
                <w:p w14:paraId="2F0E096D">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1L</w:t>
                  </w:r>
                </w:p>
              </w:tc>
              <w:tc>
                <w:tcPr>
                  <w:tcW w:w="836" w:type="pct"/>
                  <w:vMerge w:val="continue"/>
                  <w:vAlign w:val="center"/>
                </w:tcPr>
                <w:p w14:paraId="24A20778">
                  <w:pPr>
                    <w:jc w:val="center"/>
                    <w:rPr>
                      <w:rFonts w:hint="default" w:ascii="Times New Roman" w:hAnsi="Times New Roman" w:eastAsia="宋体" w:cs="Times New Roman"/>
                      <w:color w:val="auto"/>
                      <w:sz w:val="21"/>
                      <w:szCs w:val="21"/>
                      <w:highlight w:val="none"/>
                    </w:rPr>
                  </w:pPr>
                </w:p>
              </w:tc>
            </w:tr>
            <w:tr w14:paraId="62F087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184B91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317" w:type="pct"/>
                  <w:vMerge w:val="continue"/>
                  <w:vAlign w:val="center"/>
                </w:tcPr>
                <w:p w14:paraId="67B03AC4">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vAlign w:val="center"/>
                </w:tcPr>
                <w:p w14:paraId="08AB4C9A">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焊丝</w:t>
                  </w:r>
                </w:p>
              </w:tc>
              <w:tc>
                <w:tcPr>
                  <w:tcW w:w="1748" w:type="pct"/>
                  <w:vAlign w:val="center"/>
                </w:tcPr>
                <w:p w14:paraId="2BB882F7">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不含铅</w:t>
                  </w:r>
                </w:p>
              </w:tc>
              <w:tc>
                <w:tcPr>
                  <w:tcW w:w="584" w:type="pct"/>
                  <w:vAlign w:val="center"/>
                </w:tcPr>
                <w:p w14:paraId="17C239A4">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2t</w:t>
                  </w:r>
                </w:p>
              </w:tc>
              <w:tc>
                <w:tcPr>
                  <w:tcW w:w="584" w:type="pct"/>
                  <w:shd w:val="clear" w:color="auto" w:fill="auto"/>
                  <w:vAlign w:val="center"/>
                </w:tcPr>
                <w:p w14:paraId="27C595DF">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0.5t</w:t>
                  </w:r>
                </w:p>
              </w:tc>
              <w:tc>
                <w:tcPr>
                  <w:tcW w:w="836" w:type="pct"/>
                  <w:vMerge w:val="continue"/>
                  <w:vAlign w:val="center"/>
                </w:tcPr>
                <w:p w14:paraId="4B714D7D">
                  <w:pPr>
                    <w:jc w:val="center"/>
                    <w:rPr>
                      <w:rFonts w:hint="default" w:ascii="Times New Roman" w:hAnsi="Times New Roman" w:eastAsia="宋体" w:cs="Times New Roman"/>
                      <w:color w:val="auto"/>
                      <w:sz w:val="21"/>
                      <w:szCs w:val="21"/>
                      <w:highlight w:val="none"/>
                    </w:rPr>
                  </w:pPr>
                </w:p>
              </w:tc>
            </w:tr>
            <w:tr w14:paraId="096ECF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vAlign w:val="center"/>
                </w:tcPr>
                <w:p w14:paraId="38FE48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317" w:type="pct"/>
                  <w:vMerge w:val="continue"/>
                  <w:vAlign w:val="center"/>
                </w:tcPr>
                <w:p w14:paraId="2F3487E8">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vAlign w:val="center"/>
                </w:tcPr>
                <w:p w14:paraId="08F0CC92">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脱脂剂</w:t>
                  </w:r>
                </w:p>
              </w:tc>
              <w:tc>
                <w:tcPr>
                  <w:tcW w:w="1748" w:type="pct"/>
                  <w:vAlign w:val="center"/>
                </w:tcPr>
                <w:p w14:paraId="1AF6C0FC">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氢氧化钾2-3%、氢氧化钠3-5%，水92-95%，25kg/桶装</w:t>
                  </w:r>
                </w:p>
              </w:tc>
              <w:tc>
                <w:tcPr>
                  <w:tcW w:w="584" w:type="pct"/>
                  <w:vAlign w:val="center"/>
                </w:tcPr>
                <w:p w14:paraId="0EB25D94">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1.3t</w:t>
                  </w:r>
                </w:p>
              </w:tc>
              <w:tc>
                <w:tcPr>
                  <w:tcW w:w="584" w:type="pct"/>
                  <w:shd w:val="clear" w:color="auto" w:fill="auto"/>
                  <w:vAlign w:val="center"/>
                </w:tcPr>
                <w:p w14:paraId="215BF07F">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0.5t</w:t>
                  </w:r>
                </w:p>
              </w:tc>
              <w:tc>
                <w:tcPr>
                  <w:tcW w:w="836" w:type="pct"/>
                  <w:vMerge w:val="continue"/>
                  <w:vAlign w:val="center"/>
                </w:tcPr>
                <w:p w14:paraId="416E90CA">
                  <w:pPr>
                    <w:jc w:val="center"/>
                    <w:rPr>
                      <w:rFonts w:hint="default" w:ascii="Times New Roman" w:hAnsi="Times New Roman" w:eastAsia="宋体" w:cs="Times New Roman"/>
                      <w:color w:val="auto"/>
                      <w:sz w:val="21"/>
                      <w:szCs w:val="21"/>
                      <w:highlight w:val="none"/>
                    </w:rPr>
                  </w:pPr>
                </w:p>
              </w:tc>
            </w:tr>
            <w:tr w14:paraId="581026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4" w:hRule="atLeast"/>
              </w:trPr>
              <w:tc>
                <w:tcPr>
                  <w:tcW w:w="276" w:type="pct"/>
                  <w:vAlign w:val="center"/>
                </w:tcPr>
                <w:p w14:paraId="7E9E3D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317" w:type="pct"/>
                  <w:vMerge w:val="continue"/>
                  <w:vAlign w:val="center"/>
                </w:tcPr>
                <w:p w14:paraId="77D1AE91">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vAlign w:val="center"/>
                </w:tcPr>
                <w:p w14:paraId="6ACC08F4">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硅烷化处理剂</w:t>
                  </w:r>
                </w:p>
              </w:tc>
              <w:tc>
                <w:tcPr>
                  <w:tcW w:w="1748" w:type="pct"/>
                  <w:vAlign w:val="center"/>
                </w:tcPr>
                <w:p w14:paraId="2D5971D7">
                  <w:pPr>
                    <w:pStyle w:val="8"/>
                    <w:bidi w:val="0"/>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氟锆酸6-10%、碳酸钠0.1-1%、硅酸钠3-5%、水84-90.9%，25kg/桶装</w:t>
                  </w:r>
                </w:p>
              </w:tc>
              <w:tc>
                <w:tcPr>
                  <w:tcW w:w="584" w:type="pct"/>
                  <w:vAlign w:val="center"/>
                </w:tcPr>
                <w:p w14:paraId="69CEE813">
                  <w:pPr>
                    <w:pStyle w:val="8"/>
                    <w:bidi w:val="0"/>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0.4t</w:t>
                  </w:r>
                </w:p>
              </w:tc>
              <w:tc>
                <w:tcPr>
                  <w:tcW w:w="584" w:type="pct"/>
                  <w:shd w:val="clear" w:color="auto" w:fill="auto"/>
                  <w:vAlign w:val="center"/>
                </w:tcPr>
                <w:p w14:paraId="501566FB">
                  <w:pPr>
                    <w:pStyle w:val="8"/>
                    <w:bidi w:val="0"/>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0.25t</w:t>
                  </w:r>
                </w:p>
              </w:tc>
              <w:tc>
                <w:tcPr>
                  <w:tcW w:w="836" w:type="pct"/>
                  <w:vMerge w:val="continue"/>
                  <w:vAlign w:val="center"/>
                </w:tcPr>
                <w:p w14:paraId="270190D3">
                  <w:pPr>
                    <w:jc w:val="center"/>
                    <w:rPr>
                      <w:rFonts w:hint="default" w:ascii="Times New Roman" w:hAnsi="Times New Roman" w:eastAsia="宋体" w:cs="Times New Roman"/>
                      <w:color w:val="auto"/>
                      <w:sz w:val="21"/>
                      <w:szCs w:val="21"/>
                      <w:highlight w:val="none"/>
                    </w:rPr>
                  </w:pPr>
                </w:p>
              </w:tc>
            </w:tr>
            <w:tr w14:paraId="0563A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54DE00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317" w:type="pct"/>
                  <w:vMerge w:val="continue"/>
                  <w:vAlign w:val="center"/>
                </w:tcPr>
                <w:p w14:paraId="09993E34">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shd w:val="clear" w:color="auto" w:fill="auto"/>
                  <w:vAlign w:val="center"/>
                </w:tcPr>
                <w:p w14:paraId="086B709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机油</w:t>
                  </w:r>
                </w:p>
              </w:tc>
              <w:tc>
                <w:tcPr>
                  <w:tcW w:w="1748" w:type="pct"/>
                  <w:shd w:val="clear" w:color="auto" w:fill="auto"/>
                  <w:vAlign w:val="center"/>
                </w:tcPr>
                <w:p w14:paraId="796826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基础油80%、极压剂10%、防锈剂10%</w:t>
                  </w:r>
                  <w:r>
                    <w:rPr>
                      <w:rFonts w:hint="eastAsia" w:ascii="Times New Roman" w:hAnsi="Times New Roman" w:eastAsia="宋体" w:cs="Times New Roman"/>
                      <w:color w:val="auto"/>
                      <w:sz w:val="21"/>
                      <w:szCs w:val="21"/>
                      <w:highlight w:val="none"/>
                      <w:lang w:val="en-US" w:eastAsia="zh-CN"/>
                    </w:rPr>
                    <w:t>，200kg/桶</w:t>
                  </w:r>
                </w:p>
              </w:tc>
              <w:tc>
                <w:tcPr>
                  <w:tcW w:w="584" w:type="pct"/>
                  <w:shd w:val="clear" w:color="auto" w:fill="auto"/>
                  <w:vAlign w:val="center"/>
                </w:tcPr>
                <w:p w14:paraId="126D28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w:t>
                  </w:r>
                  <w:r>
                    <w:rPr>
                      <w:rFonts w:hint="eastAsia"/>
                      <w:color w:val="auto"/>
                      <w:highlight w:val="none"/>
                      <w:lang w:val="en-US" w:eastAsia="zh-CN"/>
                    </w:rPr>
                    <w:t>t</w:t>
                  </w:r>
                </w:p>
              </w:tc>
              <w:tc>
                <w:tcPr>
                  <w:tcW w:w="584" w:type="pct"/>
                  <w:shd w:val="clear" w:color="auto" w:fill="auto"/>
                  <w:vAlign w:val="center"/>
                </w:tcPr>
                <w:p w14:paraId="6861C7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0.2t</w:t>
                  </w:r>
                </w:p>
              </w:tc>
              <w:tc>
                <w:tcPr>
                  <w:tcW w:w="836" w:type="pct"/>
                  <w:vMerge w:val="continue"/>
                  <w:shd w:val="clear" w:color="auto" w:fill="auto"/>
                  <w:vAlign w:val="center"/>
                </w:tcPr>
                <w:p w14:paraId="3A4A47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5B7A69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2F1F8E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317" w:type="pct"/>
                  <w:vMerge w:val="continue"/>
                  <w:vAlign w:val="center"/>
                </w:tcPr>
                <w:p w14:paraId="65389F03">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shd w:val="clear" w:color="auto" w:fill="auto"/>
                  <w:vAlign w:val="center"/>
                </w:tcPr>
                <w:p w14:paraId="6973A04F">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氩气</w:t>
                  </w:r>
                </w:p>
              </w:tc>
              <w:tc>
                <w:tcPr>
                  <w:tcW w:w="1748" w:type="pct"/>
                  <w:shd w:val="clear" w:color="auto" w:fill="auto"/>
                  <w:vAlign w:val="center"/>
                </w:tcPr>
                <w:p w14:paraId="110B0EF5">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液化，40L/瓶</w:t>
                  </w:r>
                </w:p>
              </w:tc>
              <w:tc>
                <w:tcPr>
                  <w:tcW w:w="584" w:type="pct"/>
                  <w:shd w:val="clear" w:color="auto" w:fill="auto"/>
                  <w:vAlign w:val="center"/>
                </w:tcPr>
                <w:p w14:paraId="73B0A003">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38瓶</w:t>
                  </w:r>
                </w:p>
              </w:tc>
              <w:tc>
                <w:tcPr>
                  <w:tcW w:w="584" w:type="pct"/>
                  <w:shd w:val="clear" w:color="auto" w:fill="auto"/>
                  <w:vAlign w:val="center"/>
                </w:tcPr>
                <w:p w14:paraId="6455700B">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10瓶</w:t>
                  </w:r>
                </w:p>
              </w:tc>
              <w:tc>
                <w:tcPr>
                  <w:tcW w:w="836" w:type="pct"/>
                  <w:vMerge w:val="continue"/>
                  <w:vAlign w:val="center"/>
                </w:tcPr>
                <w:p w14:paraId="369D6055">
                  <w:pPr>
                    <w:jc w:val="center"/>
                    <w:rPr>
                      <w:rFonts w:hint="default" w:ascii="Times New Roman" w:hAnsi="Times New Roman" w:eastAsia="宋体" w:cs="Times New Roman"/>
                      <w:color w:val="auto"/>
                      <w:sz w:val="21"/>
                      <w:szCs w:val="21"/>
                      <w:highlight w:val="none"/>
                    </w:rPr>
                  </w:pPr>
                </w:p>
              </w:tc>
            </w:tr>
            <w:tr w14:paraId="3BF2B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4" w:hRule="atLeast"/>
              </w:trPr>
              <w:tc>
                <w:tcPr>
                  <w:tcW w:w="276" w:type="pct"/>
                  <w:shd w:val="clear" w:color="auto" w:fill="auto"/>
                  <w:vAlign w:val="center"/>
                </w:tcPr>
                <w:p w14:paraId="12004A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317" w:type="pct"/>
                  <w:vMerge w:val="continue"/>
                  <w:vAlign w:val="center"/>
                </w:tcPr>
                <w:p w14:paraId="5EAC2ABA">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shd w:val="clear" w:color="auto" w:fill="auto"/>
                  <w:vAlign w:val="center"/>
                </w:tcPr>
                <w:p w14:paraId="2168A12A">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二氧化碳</w:t>
                  </w:r>
                </w:p>
              </w:tc>
              <w:tc>
                <w:tcPr>
                  <w:tcW w:w="1748" w:type="pct"/>
                  <w:shd w:val="clear" w:color="auto" w:fill="auto"/>
                  <w:vAlign w:val="center"/>
                </w:tcPr>
                <w:p w14:paraId="2E4D6C49">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液化，40L/瓶</w:t>
                  </w:r>
                </w:p>
              </w:tc>
              <w:tc>
                <w:tcPr>
                  <w:tcW w:w="584" w:type="pct"/>
                  <w:shd w:val="clear" w:color="auto" w:fill="auto"/>
                  <w:vAlign w:val="center"/>
                </w:tcPr>
                <w:p w14:paraId="74E83F58">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12瓶</w:t>
                  </w:r>
                </w:p>
              </w:tc>
              <w:tc>
                <w:tcPr>
                  <w:tcW w:w="584" w:type="pct"/>
                  <w:shd w:val="clear" w:color="auto" w:fill="auto"/>
                  <w:vAlign w:val="center"/>
                </w:tcPr>
                <w:p w14:paraId="2EF33590">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3瓶</w:t>
                  </w:r>
                </w:p>
              </w:tc>
              <w:tc>
                <w:tcPr>
                  <w:tcW w:w="836" w:type="pct"/>
                  <w:vMerge w:val="continue"/>
                  <w:vAlign w:val="center"/>
                </w:tcPr>
                <w:p w14:paraId="6A79CE7A">
                  <w:pPr>
                    <w:jc w:val="center"/>
                    <w:rPr>
                      <w:rFonts w:hint="default" w:ascii="Times New Roman" w:hAnsi="Times New Roman" w:eastAsia="宋体" w:cs="Times New Roman"/>
                      <w:color w:val="auto"/>
                      <w:sz w:val="21"/>
                      <w:szCs w:val="21"/>
                      <w:highlight w:val="none"/>
                    </w:rPr>
                  </w:pPr>
                </w:p>
              </w:tc>
            </w:tr>
            <w:tr w14:paraId="29E797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3730F9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317" w:type="pct"/>
                  <w:vMerge w:val="continue"/>
                  <w:vAlign w:val="center"/>
                </w:tcPr>
                <w:p w14:paraId="0AD01B30">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shd w:val="clear" w:color="auto" w:fill="auto"/>
                  <w:vAlign w:val="center"/>
                </w:tcPr>
                <w:p w14:paraId="291FF61F">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氧气</w:t>
                  </w:r>
                </w:p>
              </w:tc>
              <w:tc>
                <w:tcPr>
                  <w:tcW w:w="1748" w:type="pct"/>
                  <w:shd w:val="clear" w:color="auto" w:fill="auto"/>
                  <w:vAlign w:val="center"/>
                </w:tcPr>
                <w:p w14:paraId="198C9B00">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液化，1</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/储罐</w:t>
                  </w:r>
                </w:p>
              </w:tc>
              <w:tc>
                <w:tcPr>
                  <w:tcW w:w="584" w:type="pct"/>
                  <w:shd w:val="clear" w:color="auto" w:fill="auto"/>
                  <w:vAlign w:val="center"/>
                </w:tcPr>
                <w:p w14:paraId="40ECE09C">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2t</w:t>
                  </w:r>
                </w:p>
              </w:tc>
              <w:tc>
                <w:tcPr>
                  <w:tcW w:w="584" w:type="pct"/>
                  <w:shd w:val="clear" w:color="auto" w:fill="auto"/>
                  <w:vAlign w:val="center"/>
                </w:tcPr>
                <w:p w14:paraId="48E17F18">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1.1t</w:t>
                  </w:r>
                </w:p>
              </w:tc>
              <w:tc>
                <w:tcPr>
                  <w:tcW w:w="836" w:type="pct"/>
                  <w:vMerge w:val="continue"/>
                  <w:vAlign w:val="center"/>
                </w:tcPr>
                <w:p w14:paraId="78FCBA98">
                  <w:pPr>
                    <w:jc w:val="center"/>
                    <w:rPr>
                      <w:rFonts w:hint="default" w:ascii="Times New Roman" w:hAnsi="Times New Roman" w:eastAsia="宋体" w:cs="Times New Roman"/>
                      <w:color w:val="auto"/>
                      <w:sz w:val="21"/>
                      <w:szCs w:val="21"/>
                      <w:highlight w:val="none"/>
                    </w:rPr>
                  </w:pPr>
                </w:p>
              </w:tc>
            </w:tr>
            <w:tr w14:paraId="5E164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2ED81E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317" w:type="pct"/>
                  <w:vMerge w:val="continue"/>
                  <w:vAlign w:val="center"/>
                </w:tcPr>
                <w:p w14:paraId="24AD1F41">
                  <w:pPr>
                    <w:pStyle w:val="8"/>
                    <w:bidi w:val="0"/>
                    <w:ind w:left="0" w:leftChars="0" w:firstLine="0" w:firstLineChars="0"/>
                    <w:jc w:val="center"/>
                    <w:rPr>
                      <w:rFonts w:hint="eastAsia" w:ascii="Times New Roman" w:hAnsi="Times New Roman" w:eastAsia="宋体" w:cs="Times New Roman"/>
                      <w:color w:val="auto"/>
                      <w:highlight w:val="none"/>
                      <w:lang w:val="en-US" w:eastAsia="zh-CN"/>
                    </w:rPr>
                  </w:pPr>
                </w:p>
              </w:tc>
              <w:tc>
                <w:tcPr>
                  <w:tcW w:w="651" w:type="pct"/>
                  <w:shd w:val="clear" w:color="auto" w:fill="auto"/>
                  <w:vAlign w:val="center"/>
                </w:tcPr>
                <w:p w14:paraId="48C94951">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氮气</w:t>
                  </w:r>
                </w:p>
              </w:tc>
              <w:tc>
                <w:tcPr>
                  <w:tcW w:w="1748" w:type="pct"/>
                  <w:shd w:val="clear" w:color="auto" w:fill="auto"/>
                  <w:vAlign w:val="center"/>
                </w:tcPr>
                <w:p w14:paraId="08199261">
                  <w:pPr>
                    <w:pStyle w:val="8"/>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液化，</w:t>
                  </w:r>
                  <w:r>
                    <w:rPr>
                      <w:rFonts w:hint="eastAsia" w:ascii="Times New Roman" w:hAnsi="Times New Roman" w:eastAsia="宋体" w:cs="Times New Roman"/>
                      <w:color w:val="auto"/>
                      <w:sz w:val="21"/>
                      <w:szCs w:val="21"/>
                      <w:highlight w:val="none"/>
                      <w:lang w:val="en-US" w:eastAsia="zh-CN"/>
                    </w:rPr>
                    <w:t>3m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/储罐</w:t>
                  </w:r>
                </w:p>
              </w:tc>
              <w:tc>
                <w:tcPr>
                  <w:tcW w:w="584" w:type="pct"/>
                  <w:shd w:val="clear" w:color="auto" w:fill="auto"/>
                  <w:vAlign w:val="center"/>
                </w:tcPr>
                <w:p w14:paraId="153C11A9">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10t</w:t>
                  </w:r>
                </w:p>
              </w:tc>
              <w:tc>
                <w:tcPr>
                  <w:tcW w:w="584" w:type="pct"/>
                  <w:shd w:val="clear" w:color="auto" w:fill="auto"/>
                  <w:vAlign w:val="center"/>
                </w:tcPr>
                <w:p w14:paraId="574858B6">
                  <w:pPr>
                    <w:bidi w:val="0"/>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2.4t</w:t>
                  </w:r>
                </w:p>
              </w:tc>
              <w:tc>
                <w:tcPr>
                  <w:tcW w:w="836" w:type="pct"/>
                  <w:vMerge w:val="continue"/>
                  <w:vAlign w:val="center"/>
                </w:tcPr>
                <w:p w14:paraId="47C6E54B">
                  <w:pPr>
                    <w:jc w:val="center"/>
                    <w:rPr>
                      <w:rFonts w:hint="default" w:ascii="Times New Roman" w:hAnsi="Times New Roman" w:eastAsia="宋体" w:cs="Times New Roman"/>
                      <w:color w:val="auto"/>
                      <w:sz w:val="21"/>
                      <w:szCs w:val="21"/>
                      <w:highlight w:val="none"/>
                    </w:rPr>
                  </w:pPr>
                </w:p>
              </w:tc>
            </w:tr>
            <w:tr w14:paraId="6E5553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5F893B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317" w:type="pct"/>
                  <w:vMerge w:val="restart"/>
                  <w:vAlign w:val="center"/>
                </w:tcPr>
                <w:p w14:paraId="05CB6806">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废水处理药剂</w:t>
                  </w:r>
                </w:p>
              </w:tc>
              <w:tc>
                <w:tcPr>
                  <w:tcW w:w="651" w:type="pct"/>
                  <w:vAlign w:val="center"/>
                </w:tcPr>
                <w:p w14:paraId="3D683102">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PAC</w:t>
                  </w:r>
                </w:p>
              </w:tc>
              <w:tc>
                <w:tcPr>
                  <w:tcW w:w="1748" w:type="pct"/>
                  <w:vAlign w:val="center"/>
                </w:tcPr>
                <w:p w14:paraId="0DF765BA">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25kg/袋装</w:t>
                  </w:r>
                </w:p>
              </w:tc>
              <w:tc>
                <w:tcPr>
                  <w:tcW w:w="584" w:type="pct"/>
                  <w:vAlign w:val="center"/>
                </w:tcPr>
                <w:p w14:paraId="447AD581">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0.3t</w:t>
                  </w:r>
                </w:p>
              </w:tc>
              <w:tc>
                <w:tcPr>
                  <w:tcW w:w="584" w:type="pct"/>
                  <w:shd w:val="clear" w:color="auto" w:fill="auto"/>
                  <w:vAlign w:val="center"/>
                </w:tcPr>
                <w:p w14:paraId="73A698B3">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0.3t</w:t>
                  </w:r>
                </w:p>
              </w:tc>
              <w:tc>
                <w:tcPr>
                  <w:tcW w:w="836" w:type="pct"/>
                  <w:vMerge w:val="continue"/>
                  <w:vAlign w:val="center"/>
                </w:tcPr>
                <w:p w14:paraId="43DFAFED">
                  <w:pPr>
                    <w:jc w:val="center"/>
                    <w:rPr>
                      <w:rFonts w:hint="default" w:ascii="Times New Roman" w:hAnsi="Times New Roman" w:eastAsia="宋体" w:cs="Times New Roman"/>
                      <w:color w:val="auto"/>
                      <w:sz w:val="21"/>
                      <w:szCs w:val="21"/>
                      <w:highlight w:val="none"/>
                    </w:rPr>
                  </w:pPr>
                </w:p>
              </w:tc>
            </w:tr>
            <w:tr w14:paraId="24EB53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76" w:type="pct"/>
                  <w:shd w:val="clear" w:color="auto" w:fill="auto"/>
                  <w:vAlign w:val="center"/>
                </w:tcPr>
                <w:p w14:paraId="01A7775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14</w:t>
                  </w:r>
                </w:p>
              </w:tc>
              <w:tc>
                <w:tcPr>
                  <w:tcW w:w="317" w:type="pct"/>
                  <w:vMerge w:val="continue"/>
                  <w:vAlign w:val="center"/>
                </w:tcPr>
                <w:p w14:paraId="060C05D5">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51" w:type="pct"/>
                  <w:vAlign w:val="center"/>
                </w:tcPr>
                <w:p w14:paraId="3F267557">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PAM</w:t>
                  </w:r>
                </w:p>
              </w:tc>
              <w:tc>
                <w:tcPr>
                  <w:tcW w:w="1748" w:type="pct"/>
                  <w:vAlign w:val="center"/>
                </w:tcPr>
                <w:p w14:paraId="79EE3057">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25kg/袋装</w:t>
                  </w:r>
                </w:p>
              </w:tc>
              <w:tc>
                <w:tcPr>
                  <w:tcW w:w="584" w:type="pct"/>
                  <w:vAlign w:val="center"/>
                </w:tcPr>
                <w:p w14:paraId="40D8945A">
                  <w:pPr>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0.3t</w:t>
                  </w:r>
                </w:p>
              </w:tc>
              <w:tc>
                <w:tcPr>
                  <w:tcW w:w="584" w:type="pct"/>
                  <w:shd w:val="clear" w:color="auto" w:fill="auto"/>
                  <w:vAlign w:val="center"/>
                </w:tcPr>
                <w:p w14:paraId="1503DCFB">
                  <w:pPr>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0.3t</w:t>
                  </w:r>
                </w:p>
              </w:tc>
              <w:tc>
                <w:tcPr>
                  <w:tcW w:w="836" w:type="pct"/>
                  <w:vMerge w:val="continue"/>
                  <w:vAlign w:val="center"/>
                </w:tcPr>
                <w:p w14:paraId="06723177">
                  <w:pPr>
                    <w:jc w:val="center"/>
                    <w:rPr>
                      <w:rFonts w:hint="default" w:ascii="Times New Roman" w:hAnsi="Times New Roman" w:eastAsia="宋体" w:cs="Times New Roman"/>
                      <w:color w:val="auto"/>
                      <w:sz w:val="21"/>
                      <w:szCs w:val="21"/>
                      <w:highlight w:val="none"/>
                    </w:rPr>
                  </w:pPr>
                </w:p>
              </w:tc>
            </w:tr>
            <w:tr w14:paraId="68B4E2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276" w:type="pct"/>
                  <w:vAlign w:val="center"/>
                </w:tcPr>
                <w:p w14:paraId="12D0FC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317" w:type="pct"/>
                  <w:vAlign w:val="center"/>
                </w:tcPr>
                <w:p w14:paraId="20A9B2AD">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能源</w:t>
                  </w:r>
                </w:p>
              </w:tc>
              <w:tc>
                <w:tcPr>
                  <w:tcW w:w="651" w:type="pct"/>
                  <w:vAlign w:val="center"/>
                </w:tcPr>
                <w:p w14:paraId="6F8C92ED">
                  <w:pPr>
                    <w:pStyle w:val="8"/>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天然气</w:t>
                  </w:r>
                </w:p>
              </w:tc>
              <w:tc>
                <w:tcPr>
                  <w:tcW w:w="1748" w:type="pct"/>
                  <w:vAlign w:val="center"/>
                </w:tcPr>
                <w:p w14:paraId="5219E036">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rPr>
                    <w:t>甲烷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乙烷、丙烷、氮</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丁烷</w:t>
                  </w:r>
                </w:p>
              </w:tc>
              <w:tc>
                <w:tcPr>
                  <w:tcW w:w="584" w:type="pct"/>
                  <w:vAlign w:val="center"/>
                </w:tcPr>
                <w:p w14:paraId="6F63C5CA">
                  <w:pPr>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10万Nm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/a</w:t>
                  </w:r>
                </w:p>
              </w:tc>
              <w:tc>
                <w:tcPr>
                  <w:tcW w:w="584" w:type="pct"/>
                  <w:shd w:val="clear" w:color="auto" w:fill="auto"/>
                  <w:vAlign w:val="center"/>
                </w:tcPr>
                <w:p w14:paraId="5AACFF6A">
                  <w:pPr>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836" w:type="pct"/>
                  <w:vAlign w:val="center"/>
                </w:tcPr>
                <w:p w14:paraId="2164009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燃气公司供给</w:t>
                  </w:r>
                </w:p>
              </w:tc>
            </w:tr>
          </w:tbl>
          <w:p w14:paraId="21194C22">
            <w:pPr>
              <w:spacing w:before="156" w:beforeLines="5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主要原辅料理化性质</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1"/>
              <w:gridCol w:w="3983"/>
              <w:gridCol w:w="1594"/>
              <w:gridCol w:w="1850"/>
            </w:tblGrid>
            <w:tr w14:paraId="6805F6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46396E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名称</w:t>
                  </w:r>
                </w:p>
              </w:tc>
              <w:tc>
                <w:tcPr>
                  <w:tcW w:w="2382" w:type="pct"/>
                  <w:tcBorders>
                    <w:tl2br w:val="nil"/>
                    <w:tr2bl w:val="nil"/>
                  </w:tcBorders>
                  <w:tcMar>
                    <w:top w:w="0" w:type="dxa"/>
                    <w:left w:w="0" w:type="dxa"/>
                    <w:bottom w:w="0" w:type="dxa"/>
                    <w:right w:w="0" w:type="dxa"/>
                  </w:tcMar>
                  <w:vAlign w:val="center"/>
                </w:tcPr>
                <w:p w14:paraId="2EF680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理化性质</w:t>
                  </w:r>
                </w:p>
              </w:tc>
              <w:tc>
                <w:tcPr>
                  <w:tcW w:w="953" w:type="pct"/>
                  <w:tcBorders>
                    <w:tl2br w:val="nil"/>
                    <w:tr2bl w:val="nil"/>
                  </w:tcBorders>
                  <w:tcMar>
                    <w:top w:w="0" w:type="dxa"/>
                    <w:left w:w="0" w:type="dxa"/>
                    <w:bottom w:w="0" w:type="dxa"/>
                    <w:right w:w="0" w:type="dxa"/>
                  </w:tcMar>
                  <w:vAlign w:val="center"/>
                </w:tcPr>
                <w:p w14:paraId="008222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燃爆性/</w:t>
                  </w:r>
                </w:p>
                <w:p w14:paraId="080A7F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放射性</w:t>
                  </w:r>
                </w:p>
              </w:tc>
              <w:tc>
                <w:tcPr>
                  <w:tcW w:w="1106" w:type="pct"/>
                  <w:tcBorders>
                    <w:tl2br w:val="nil"/>
                    <w:tr2bl w:val="nil"/>
                  </w:tcBorders>
                  <w:tcMar>
                    <w:top w:w="0" w:type="dxa"/>
                    <w:left w:w="0" w:type="dxa"/>
                    <w:bottom w:w="0" w:type="dxa"/>
                    <w:right w:w="0" w:type="dxa"/>
                  </w:tcMar>
                  <w:vAlign w:val="center"/>
                </w:tcPr>
                <w:p w14:paraId="0034A1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毒性毒理/</w:t>
                  </w:r>
                </w:p>
                <w:p w14:paraId="4339F5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危险特性</w:t>
                  </w:r>
                </w:p>
              </w:tc>
            </w:tr>
            <w:tr w14:paraId="068D1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7BC178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塑粉</w:t>
                  </w:r>
                </w:p>
              </w:tc>
              <w:tc>
                <w:tcPr>
                  <w:tcW w:w="2382" w:type="pct"/>
                  <w:tcBorders>
                    <w:tl2br w:val="nil"/>
                    <w:tr2bl w:val="nil"/>
                  </w:tcBorders>
                  <w:tcMar>
                    <w:top w:w="0" w:type="dxa"/>
                    <w:left w:w="0" w:type="dxa"/>
                    <w:bottom w:w="0" w:type="dxa"/>
                    <w:right w:w="0" w:type="dxa"/>
                  </w:tcMar>
                  <w:vAlign w:val="center"/>
                </w:tcPr>
                <w:p w14:paraId="45E31DFD">
                  <w:pPr>
                    <w:keepNext w:val="0"/>
                    <w:keepLines w:val="0"/>
                    <w:widowControl/>
                    <w:suppressLineNumbers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物质状态：固体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形状：粉末</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颜色：灰色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气味</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无明显气味</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PH值：7-8</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沸点、沸</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范围：不适用</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分解温度：250℃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闪火点：不适用</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自然温度：不适用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爆炸下限（LEL)</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30g/m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蒸汽压：不适用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爆炸上限（UEL)</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1000g/m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密度：1.43 </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溶解度：不适用</w:t>
                  </w:r>
                </w:p>
              </w:tc>
              <w:tc>
                <w:tcPr>
                  <w:tcW w:w="953" w:type="pct"/>
                  <w:tcBorders>
                    <w:tl2br w:val="nil"/>
                    <w:tr2bl w:val="nil"/>
                  </w:tcBorders>
                  <w:tcMar>
                    <w:top w:w="0" w:type="dxa"/>
                    <w:left w:w="0" w:type="dxa"/>
                    <w:bottom w:w="0" w:type="dxa"/>
                    <w:right w:w="0" w:type="dxa"/>
                  </w:tcMar>
                  <w:vAlign w:val="center"/>
                </w:tcPr>
                <w:p w14:paraId="11F1B9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FFFFFF"/>
                      <w:lang w:val="en-US" w:eastAsia="zh-CN"/>
                    </w:rPr>
                  </w:pPr>
                  <w:r>
                    <w:rPr>
                      <w:rFonts w:hint="default" w:ascii="Times New Roman" w:hAnsi="Times New Roman" w:eastAsia="宋体" w:cs="Times New Roman"/>
                      <w:color w:val="auto"/>
                      <w:kern w:val="0"/>
                      <w:sz w:val="21"/>
                      <w:szCs w:val="21"/>
                      <w:highlight w:val="none"/>
                      <w:shd w:val="clear" w:color="auto" w:fill="FFFFFF"/>
                      <w:lang w:val="en-US" w:eastAsia="zh-CN"/>
                    </w:rPr>
                    <w:t>可燃</w:t>
                  </w:r>
                </w:p>
              </w:tc>
              <w:tc>
                <w:tcPr>
                  <w:tcW w:w="1106" w:type="pct"/>
                  <w:tcBorders>
                    <w:tl2br w:val="nil"/>
                    <w:tr2bl w:val="nil"/>
                  </w:tcBorders>
                  <w:tcMar>
                    <w:top w:w="0" w:type="dxa"/>
                    <w:left w:w="0" w:type="dxa"/>
                    <w:bottom w:w="0" w:type="dxa"/>
                    <w:right w:w="0" w:type="dxa"/>
                  </w:tcMar>
                  <w:vAlign w:val="center"/>
                </w:tcPr>
                <w:p w14:paraId="2E152B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无资料</w:t>
                  </w:r>
                </w:p>
              </w:tc>
            </w:tr>
            <w:tr w14:paraId="601407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0E0A5CE4">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水性胶</w:t>
                  </w:r>
                </w:p>
              </w:tc>
              <w:tc>
                <w:tcPr>
                  <w:tcW w:w="2382" w:type="pct"/>
                  <w:tcBorders>
                    <w:tl2br w:val="nil"/>
                    <w:tr2bl w:val="nil"/>
                  </w:tcBorders>
                  <w:shd w:val="clear" w:color="auto" w:fill="auto"/>
                  <w:tcMar>
                    <w:top w:w="0" w:type="dxa"/>
                    <w:left w:w="0" w:type="dxa"/>
                    <w:bottom w:w="0" w:type="dxa"/>
                    <w:right w:w="0" w:type="dxa"/>
                  </w:tcMar>
                  <w:vAlign w:val="center"/>
                </w:tcPr>
                <w:p w14:paraId="1C3ED8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外观与性状:黑色粘稠液体</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气味:稍有气味</w:t>
                  </w:r>
                  <w:r>
                    <w:rPr>
                      <w:rFonts w:hint="eastAsia" w:ascii="Times New Roman" w:hAnsi="Times New Roman" w:eastAsia="宋体" w:cs="Times New Roman"/>
                      <w:color w:val="auto"/>
                      <w:sz w:val="21"/>
                      <w:szCs w:val="21"/>
                      <w:highlight w:val="none"/>
                      <w:lang w:eastAsia="zh-CN"/>
                    </w:rPr>
                    <w:t>、</w:t>
                  </w:r>
                </w:p>
                <w:p w14:paraId="1C42D6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气味临界值:无资料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PH值:无资料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熔点/凝固点(℃):无资料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沸点(℃):无资料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闪点(闭杯，℃):&gt;70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蒸发速率:无资料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易燃性(固体或气体):不易燃</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爆炸上限 /下限[%(v/v)]:无资料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蒸气压(kPa):无资料。蒸气密度(空气=1):无资料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相对密度(水=1):无资料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溶解性(mg/L):无资料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辛醇 /水分配系数:无资料自燃温度(℃):无资料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分解温度(℃):无资料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黏度:无资料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其他:无资料</w:t>
                  </w:r>
                </w:p>
              </w:tc>
              <w:tc>
                <w:tcPr>
                  <w:tcW w:w="953" w:type="pct"/>
                  <w:tcBorders>
                    <w:tl2br w:val="nil"/>
                    <w:tr2bl w:val="nil"/>
                  </w:tcBorders>
                  <w:shd w:val="clear" w:color="auto" w:fill="auto"/>
                  <w:tcMar>
                    <w:top w:w="0" w:type="dxa"/>
                    <w:left w:w="0" w:type="dxa"/>
                    <w:bottom w:w="0" w:type="dxa"/>
                    <w:right w:w="0" w:type="dxa"/>
                  </w:tcMar>
                  <w:vAlign w:val="center"/>
                </w:tcPr>
                <w:p w14:paraId="369BDC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不易燃</w:t>
                  </w:r>
                </w:p>
              </w:tc>
              <w:tc>
                <w:tcPr>
                  <w:tcW w:w="1106" w:type="pct"/>
                  <w:tcBorders>
                    <w:tl2br w:val="nil"/>
                    <w:tr2bl w:val="nil"/>
                  </w:tcBorders>
                  <w:shd w:val="clear" w:color="auto" w:fill="auto"/>
                  <w:tcMar>
                    <w:top w:w="0" w:type="dxa"/>
                    <w:left w:w="0" w:type="dxa"/>
                    <w:bottom w:w="0" w:type="dxa"/>
                    <w:right w:w="0" w:type="dxa"/>
                  </w:tcMar>
                  <w:vAlign w:val="center"/>
                </w:tcPr>
                <w:p w14:paraId="0A24C052">
                  <w:pPr>
                    <w:keepNext w:val="0"/>
                    <w:keepLines w:val="0"/>
                    <w:widowControl/>
                    <w:suppressLineNumbers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无资料</w:t>
                  </w:r>
                </w:p>
              </w:tc>
            </w:tr>
            <w:tr w14:paraId="00BA2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432E1435">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脱脂剂</w:t>
                  </w:r>
                </w:p>
              </w:tc>
              <w:tc>
                <w:tcPr>
                  <w:tcW w:w="2382" w:type="pct"/>
                  <w:tcBorders>
                    <w:tl2br w:val="nil"/>
                    <w:tr2bl w:val="nil"/>
                  </w:tcBorders>
                  <w:shd w:val="clear" w:color="auto" w:fill="auto"/>
                  <w:tcMar>
                    <w:top w:w="0" w:type="dxa"/>
                    <w:left w:w="0" w:type="dxa"/>
                    <w:bottom w:w="0" w:type="dxa"/>
                    <w:right w:w="0" w:type="dxa"/>
                  </w:tcMar>
                  <w:vAlign w:val="center"/>
                </w:tcPr>
                <w:p w14:paraId="278E63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物理状态：无色透明液体、颜色：无色至乳白色、气味：无、比重（水＝1）：1.05±0.02 8°C / 25 °C、凝点：≤ 0°C、水溶性：（重量比）：常温（25℃）下，任意比例溶于水中；分子量：无数据、挥发比率（醋酸丁酯＝1）：&lt; 0.01（计算）、工作液建浴浓度及温度：5%</w:t>
                  </w:r>
                </w:p>
              </w:tc>
              <w:tc>
                <w:tcPr>
                  <w:tcW w:w="953" w:type="pct"/>
                  <w:tcBorders>
                    <w:tl2br w:val="nil"/>
                    <w:tr2bl w:val="nil"/>
                  </w:tcBorders>
                  <w:shd w:val="clear" w:color="auto" w:fill="auto"/>
                  <w:tcMar>
                    <w:top w:w="0" w:type="dxa"/>
                    <w:left w:w="0" w:type="dxa"/>
                    <w:bottom w:w="0" w:type="dxa"/>
                    <w:right w:w="0" w:type="dxa"/>
                  </w:tcMar>
                  <w:vAlign w:val="center"/>
                </w:tcPr>
                <w:p w14:paraId="367111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shd w:val="clear" w:color="auto" w:fill="auto"/>
                  <w:tcMar>
                    <w:top w:w="0" w:type="dxa"/>
                    <w:left w:w="0" w:type="dxa"/>
                    <w:bottom w:w="0" w:type="dxa"/>
                    <w:right w:w="0" w:type="dxa"/>
                  </w:tcMar>
                  <w:vAlign w:val="center"/>
                </w:tcPr>
                <w:p w14:paraId="24C1F0B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LD</w:t>
                  </w:r>
                  <w:r>
                    <w:rPr>
                      <w:rFonts w:hint="default"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&lt; 350mg/kg（兔皮试）；LD</w:t>
                  </w:r>
                  <w:r>
                    <w:rPr>
                      <w:rFonts w:hint="default"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&lt;150mg/kg（大鼠经吞噬）</w:t>
                  </w:r>
                </w:p>
              </w:tc>
            </w:tr>
            <w:tr w14:paraId="38763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65F9F8BB">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硅烷化处理剂</w:t>
                  </w:r>
                </w:p>
              </w:tc>
              <w:tc>
                <w:tcPr>
                  <w:tcW w:w="2382" w:type="pct"/>
                  <w:tcBorders>
                    <w:tl2br w:val="nil"/>
                    <w:tr2bl w:val="nil"/>
                  </w:tcBorders>
                  <w:shd w:val="clear" w:color="auto" w:fill="auto"/>
                  <w:tcMar>
                    <w:top w:w="0" w:type="dxa"/>
                    <w:left w:w="0" w:type="dxa"/>
                    <w:bottom w:w="0" w:type="dxa"/>
                    <w:right w:w="0" w:type="dxa"/>
                  </w:tcMar>
                  <w:vAlign w:val="center"/>
                </w:tcPr>
                <w:p w14:paraId="0C4C25B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物理状态：无色透明液体、颜色：无色液体</w:t>
                  </w:r>
                </w:p>
                <w:p w14:paraId="5756C90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气味：无、比重（水＝1）：1.05±0.02 8°C / 25 °C、凝点：≤ 0°C、水溶性：（重量比）：常温（25℃）下，任意比例溶于水中；</w:t>
                  </w:r>
                </w:p>
                <w:p w14:paraId="0530E3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分子量：无数据、挥发比率（醋酸丁酯＝1）：&lt; 0.01（计算）、工作液建浴浓度及温度：5% 常温 / 60°C</w:t>
                  </w:r>
                </w:p>
              </w:tc>
              <w:tc>
                <w:tcPr>
                  <w:tcW w:w="953" w:type="pct"/>
                  <w:tcBorders>
                    <w:tl2br w:val="nil"/>
                    <w:tr2bl w:val="nil"/>
                  </w:tcBorders>
                  <w:shd w:val="clear" w:color="auto" w:fill="auto"/>
                  <w:tcMar>
                    <w:top w:w="0" w:type="dxa"/>
                    <w:left w:w="0" w:type="dxa"/>
                    <w:bottom w:w="0" w:type="dxa"/>
                    <w:right w:w="0" w:type="dxa"/>
                  </w:tcMar>
                  <w:vAlign w:val="center"/>
                </w:tcPr>
                <w:p w14:paraId="79B937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shd w:val="clear" w:color="auto" w:fill="auto"/>
                  <w:tcMar>
                    <w:top w:w="0" w:type="dxa"/>
                    <w:left w:w="0" w:type="dxa"/>
                    <w:bottom w:w="0" w:type="dxa"/>
                    <w:right w:w="0" w:type="dxa"/>
                  </w:tcMar>
                  <w:vAlign w:val="center"/>
                </w:tcPr>
                <w:p w14:paraId="2D846EF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LD</w:t>
                  </w:r>
                  <w:r>
                    <w:rPr>
                      <w:rFonts w:hint="default"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&lt; 350mg/kg（兔皮试）；LD</w:t>
                  </w:r>
                  <w:r>
                    <w:rPr>
                      <w:rFonts w:hint="default"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&lt; 150mg/kg（大鼠经吞噬）</w:t>
                  </w:r>
                </w:p>
              </w:tc>
            </w:tr>
            <w:tr w14:paraId="3FCCD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6" w:type="pct"/>
                  <w:tcBorders>
                    <w:tl2br w:val="nil"/>
                    <w:tr2bl w:val="nil"/>
                  </w:tcBorders>
                  <w:tcMar>
                    <w:top w:w="0" w:type="dxa"/>
                    <w:left w:w="0" w:type="dxa"/>
                    <w:bottom w:w="0" w:type="dxa"/>
                    <w:right w:w="0" w:type="dxa"/>
                  </w:tcMar>
                  <w:vAlign w:val="center"/>
                </w:tcPr>
                <w:p w14:paraId="3F7BEAF3">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聚醚多元醇</w:t>
                  </w:r>
                </w:p>
              </w:tc>
              <w:tc>
                <w:tcPr>
                  <w:tcW w:w="2382" w:type="pct"/>
                  <w:tcBorders>
                    <w:tl2br w:val="nil"/>
                    <w:tr2bl w:val="nil"/>
                  </w:tcBorders>
                  <w:tcMar>
                    <w:top w:w="0" w:type="dxa"/>
                    <w:left w:w="0" w:type="dxa"/>
                    <w:bottom w:w="0" w:type="dxa"/>
                    <w:right w:w="0" w:type="dxa"/>
                  </w:tcMar>
                  <w:vAlign w:val="center"/>
                </w:tcPr>
                <w:p w14:paraId="1E36E84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外观：无色至淡黄色透明黏稠液体（低分子量）或固体（高分子量，如PTMEG）分子量、末端基团、杂质含量（如催化剂残留），</w:t>
                  </w:r>
                </w:p>
                <w:p w14:paraId="600B844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密度（25℃）：1.00~1.05 g/cm³（常见液体聚醚）分子链中EO（环氧乙烷）比例增加会提高密度，黏度（25℃）：100~10,000 mPa·s（随分子量增加而显著升高），分子量↑→黏度↑；EO含量↑→黏度↓（因亲水性增强），羟值（OH#）：20~800 mg KOH/g（羟值↓→分子量↑）</w:t>
                  </w:r>
                </w:p>
              </w:tc>
              <w:tc>
                <w:tcPr>
                  <w:tcW w:w="953" w:type="pct"/>
                  <w:tcBorders>
                    <w:tl2br w:val="nil"/>
                    <w:tr2bl w:val="nil"/>
                  </w:tcBorders>
                  <w:tcMar>
                    <w:top w:w="0" w:type="dxa"/>
                    <w:left w:w="0" w:type="dxa"/>
                    <w:bottom w:w="0" w:type="dxa"/>
                    <w:right w:w="0" w:type="dxa"/>
                  </w:tcMar>
                  <w:vAlign w:val="center"/>
                </w:tcPr>
                <w:p w14:paraId="180804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可燃</w:t>
                  </w:r>
                </w:p>
              </w:tc>
              <w:tc>
                <w:tcPr>
                  <w:tcW w:w="1106" w:type="pct"/>
                  <w:tcBorders>
                    <w:tl2br w:val="nil"/>
                    <w:tr2bl w:val="nil"/>
                  </w:tcBorders>
                  <w:tcMar>
                    <w:top w:w="0" w:type="dxa"/>
                    <w:left w:w="0" w:type="dxa"/>
                    <w:bottom w:w="0" w:type="dxa"/>
                    <w:right w:w="0" w:type="dxa"/>
                  </w:tcMar>
                  <w:vAlign w:val="center"/>
                </w:tcPr>
                <w:p w14:paraId="0954B4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w:t>
                  </w:r>
                  <w:r>
                    <w:rPr>
                      <w:rFonts w:hint="default"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＞2000 mg/kg</w:t>
                  </w:r>
                </w:p>
              </w:tc>
            </w:tr>
            <w:tr w14:paraId="7A44A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6" w:type="pct"/>
                  <w:tcBorders>
                    <w:tl2br w:val="nil"/>
                    <w:tr2bl w:val="nil"/>
                  </w:tcBorders>
                  <w:tcMar>
                    <w:top w:w="0" w:type="dxa"/>
                    <w:left w:w="0" w:type="dxa"/>
                    <w:bottom w:w="0" w:type="dxa"/>
                    <w:right w:w="0" w:type="dxa"/>
                  </w:tcMar>
                  <w:vAlign w:val="center"/>
                </w:tcPr>
                <w:p w14:paraId="68C0D1FC">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碳酸钙</w:t>
                  </w:r>
                </w:p>
              </w:tc>
              <w:tc>
                <w:tcPr>
                  <w:tcW w:w="2382" w:type="pct"/>
                  <w:tcBorders>
                    <w:tl2br w:val="nil"/>
                    <w:tr2bl w:val="nil"/>
                  </w:tcBorders>
                  <w:tcMar>
                    <w:top w:w="0" w:type="dxa"/>
                    <w:left w:w="0" w:type="dxa"/>
                    <w:bottom w:w="0" w:type="dxa"/>
                    <w:right w:w="0" w:type="dxa"/>
                  </w:tcMar>
                  <w:vAlign w:val="center"/>
                </w:tcPr>
                <w:p w14:paraId="3AD0503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外观：白色粉末或无色晶体（纯度较高时），</w:t>
                  </w:r>
                </w:p>
                <w:p w14:paraId="16B6093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密度：2.71 g/cm³（方解石型）；2.93 g/cm³（文石型），熔点：825℃（分解为CaO和CO₂），莫氏硬度：3（方解石）；3.5~4（文石）溶解度（水）：极难溶（0.0014 g/100 mL，25℃），溶于酸（如HCl）并放出CO₂，折射率：1.486（方解石，寻常光）；1.658（非常光），比表面积：1~20 m²/g（依颗粒细度不同），与CO₂反应</w:t>
                  </w:r>
                  <w:r>
                    <w:rPr>
                      <w:rFonts w:hint="eastAsia" w:ascii="Times New Roman" w:hAnsi="Times New Roman" w:eastAsia="宋体" w:cs="Times New Roman"/>
                      <w:color w:val="auto"/>
                      <w:sz w:val="21"/>
                      <w:szCs w:val="21"/>
                      <w:highlight w:val="none"/>
                      <w:lang w:val="en-US" w:eastAsia="zh-CN"/>
                    </w:rPr>
                    <w:tab/>
                  </w:r>
                  <w:r>
                    <w:rPr>
                      <w:rFonts w:hint="eastAsia" w:ascii="Times New Roman" w:hAnsi="Times New Roman" w:eastAsia="宋体" w:cs="Times New Roman"/>
                      <w:color w:val="auto"/>
                      <w:sz w:val="21"/>
                      <w:szCs w:val="21"/>
                      <w:highlight w:val="none"/>
                      <w:lang w:val="en-US" w:eastAsia="zh-CN"/>
                    </w:rPr>
                    <w:t>潮湿环境下与CO₂缓慢生成可溶的碳酸氢钙。</w:t>
                  </w:r>
                </w:p>
              </w:tc>
              <w:tc>
                <w:tcPr>
                  <w:tcW w:w="953" w:type="pct"/>
                  <w:tcBorders>
                    <w:tl2br w:val="nil"/>
                    <w:tr2bl w:val="nil"/>
                  </w:tcBorders>
                  <w:tcMar>
                    <w:top w:w="0" w:type="dxa"/>
                    <w:left w:w="0" w:type="dxa"/>
                    <w:bottom w:w="0" w:type="dxa"/>
                    <w:right w:w="0" w:type="dxa"/>
                  </w:tcMar>
                  <w:vAlign w:val="center"/>
                </w:tcPr>
                <w:p w14:paraId="1C6E573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5E1B9A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LD₅₀＞5000 mg/kg</w:t>
                  </w:r>
                </w:p>
              </w:tc>
            </w:tr>
            <w:tr w14:paraId="7AFC4C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2E900FA5">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乙二醇</w:t>
                  </w:r>
                </w:p>
              </w:tc>
              <w:tc>
                <w:tcPr>
                  <w:tcW w:w="2382" w:type="pct"/>
                  <w:tcBorders>
                    <w:tl2br w:val="nil"/>
                    <w:tr2bl w:val="nil"/>
                  </w:tcBorders>
                  <w:tcMar>
                    <w:top w:w="0" w:type="dxa"/>
                    <w:left w:w="0" w:type="dxa"/>
                    <w:bottom w:w="0" w:type="dxa"/>
                    <w:right w:w="0" w:type="dxa"/>
                  </w:tcMar>
                  <w:vAlign w:val="center"/>
                </w:tcPr>
                <w:p w14:paraId="28D2D1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无色透明粘稠液体，微甜味。沸点：197.3℃</w:t>
                  </w:r>
                </w:p>
                <w:p w14:paraId="337BFB0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熔点：-12.9℃，密度（20℃）：1.113 g/cm³</w:t>
                  </w:r>
                </w:p>
                <w:p w14:paraId="7AA0F35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粘度（25℃）：16.1 mPa·s，折射率（n&lt;sub&gt;D&lt;/sub&gt;&lt;sup&gt;20&lt;/sup&gt;）：1.431，闪点：111℃（闭杯），爆炸极限：3.2%~15.3%（空气中体积比），溶解性：与水、乙醇、丙酮混溶；微溶于乙醚，不溶于苯。与有机酸生成酯类（如对苯二甲酸→PET塑料）。</w:t>
                  </w:r>
                </w:p>
                <w:p w14:paraId="207173A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醚化反应：与环氧乙烷反应生成二甘醇、三甘醇等。氧化反应：温和氧化生成乙醇醛、乙二醛；强氧化生成草酸。脱水反应：</w:t>
                  </w:r>
                </w:p>
                <w:p w14:paraId="380671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高温/酸催化下生成二噁烷或乙醛。</w:t>
                  </w:r>
                </w:p>
              </w:tc>
              <w:tc>
                <w:tcPr>
                  <w:tcW w:w="953" w:type="pct"/>
                  <w:tcBorders>
                    <w:tl2br w:val="nil"/>
                    <w:tr2bl w:val="nil"/>
                  </w:tcBorders>
                  <w:tcMar>
                    <w:top w:w="0" w:type="dxa"/>
                    <w:left w:w="0" w:type="dxa"/>
                    <w:bottom w:w="0" w:type="dxa"/>
                    <w:right w:w="0" w:type="dxa"/>
                  </w:tcMar>
                  <w:vAlign w:val="center"/>
                </w:tcPr>
                <w:p w14:paraId="19C89F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可燃</w:t>
                  </w:r>
                </w:p>
              </w:tc>
              <w:tc>
                <w:tcPr>
                  <w:tcW w:w="1106" w:type="pct"/>
                  <w:tcBorders>
                    <w:tl2br w:val="nil"/>
                    <w:tr2bl w:val="nil"/>
                  </w:tcBorders>
                  <w:tcMar>
                    <w:top w:w="0" w:type="dxa"/>
                    <w:left w:w="0" w:type="dxa"/>
                    <w:bottom w:w="0" w:type="dxa"/>
                    <w:right w:w="0" w:type="dxa"/>
                  </w:tcMar>
                  <w:vAlign w:val="center"/>
                </w:tcPr>
                <w:p w14:paraId="6E0F1A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LD50：8.0～15.3g/kg(小鼠经口)；5.9～13.4g/kg(大鼠经口)</w:t>
                  </w:r>
                </w:p>
              </w:tc>
            </w:tr>
            <w:tr w14:paraId="2DF85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16C54528">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有机硅</w:t>
                  </w:r>
                </w:p>
              </w:tc>
              <w:tc>
                <w:tcPr>
                  <w:tcW w:w="2382" w:type="pct"/>
                  <w:tcBorders>
                    <w:tl2br w:val="nil"/>
                    <w:tr2bl w:val="nil"/>
                  </w:tcBorders>
                  <w:tcMar>
                    <w:top w:w="0" w:type="dxa"/>
                    <w:left w:w="0" w:type="dxa"/>
                    <w:bottom w:w="0" w:type="dxa"/>
                    <w:right w:w="0" w:type="dxa"/>
                  </w:tcMar>
                  <w:vAlign w:val="center"/>
                </w:tcPr>
                <w:p w14:paraId="24DC7A8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外观：无色至淡黄色液体（低分子量）、油状物、弹性体或树脂（高分子量），密度：0.95~1.20 g/cm³（硅油、硅橡胶），黏度：0.65~1,000,000 mPa·s（硅油，25℃），折射率：1.40~1.43（硅油，20℃），表面张力：16~21 mN/m（远低于水，具有优异的铺展性）</w:t>
                  </w:r>
                </w:p>
                <w:p w14:paraId="688B2B1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耐温性</w:t>
                  </w:r>
                  <w:r>
                    <w:rPr>
                      <w:rFonts w:hint="eastAsia" w:ascii="Times New Roman" w:hAnsi="Times New Roman" w:eastAsia="宋体" w:cs="Times New Roman"/>
                      <w:color w:val="auto"/>
                      <w:sz w:val="21"/>
                      <w:szCs w:val="21"/>
                      <w:highlight w:val="none"/>
                      <w:lang w:val="en-US" w:eastAsia="zh-CN"/>
                    </w:rPr>
                    <w:tab/>
                  </w:r>
                  <w:r>
                    <w:rPr>
                      <w:rFonts w:hint="eastAsia" w:ascii="Times New Roman" w:hAnsi="Times New Roman" w:eastAsia="宋体" w:cs="Times New Roman"/>
                      <w:color w:val="auto"/>
                      <w:sz w:val="21"/>
                      <w:szCs w:val="21"/>
                      <w:highlight w:val="none"/>
                      <w:lang w:val="en-US" w:eastAsia="zh-CN"/>
                    </w:rPr>
                    <w:t>-100℃~300℃（硅橡胶）；部分特种硅树脂可耐500℃短时高温，介电常数：2.3~3.7（高频绝缘材料），介质：耐受性</w:t>
                  </w:r>
                </w:p>
                <w:p w14:paraId="078E2B5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疏水性强，但高温/强碱下Si-O-Si键可水解（如：硅油在pH&gt;9时逐渐降解）；耐弱酸（如HCl、H₂SO₄稀溶液），但HF酸会破坏Si-O键（生成SiF₄）；不耐强碱（NaOH/KOH导致Si-O-Si断裂）；耐臭氧、氧气，但高温下可能氧化（硅橡胶需加抗氧剂）；耐醇、脂肪烃，但溶于芳烃（苯、甲苯）和部分氯代烃（如DCM）。</w:t>
                  </w:r>
                </w:p>
              </w:tc>
              <w:tc>
                <w:tcPr>
                  <w:tcW w:w="953" w:type="pct"/>
                  <w:tcBorders>
                    <w:tl2br w:val="nil"/>
                    <w:tr2bl w:val="nil"/>
                  </w:tcBorders>
                  <w:tcMar>
                    <w:top w:w="0" w:type="dxa"/>
                    <w:left w:w="0" w:type="dxa"/>
                    <w:bottom w:w="0" w:type="dxa"/>
                    <w:right w:w="0" w:type="dxa"/>
                  </w:tcMar>
                  <w:vAlign w:val="center"/>
                </w:tcPr>
                <w:p w14:paraId="6E83AB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易燃</w:t>
                  </w:r>
                </w:p>
              </w:tc>
              <w:tc>
                <w:tcPr>
                  <w:tcW w:w="1106" w:type="pct"/>
                  <w:tcBorders>
                    <w:tl2br w:val="nil"/>
                    <w:tr2bl w:val="nil"/>
                  </w:tcBorders>
                  <w:tcMar>
                    <w:top w:w="0" w:type="dxa"/>
                    <w:left w:w="0" w:type="dxa"/>
                    <w:bottom w:w="0" w:type="dxa"/>
                    <w:right w:w="0" w:type="dxa"/>
                  </w:tcMar>
                  <w:vAlign w:val="center"/>
                </w:tcPr>
                <w:p w14:paraId="7EA2CD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LD₅₀＞5000 mg/kg</w:t>
                  </w:r>
                </w:p>
              </w:tc>
            </w:tr>
            <w:tr w14:paraId="41CA93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55628790">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气相二氧化硅</w:t>
                  </w:r>
                </w:p>
              </w:tc>
              <w:tc>
                <w:tcPr>
                  <w:tcW w:w="2382" w:type="pct"/>
                  <w:tcBorders>
                    <w:tl2br w:val="nil"/>
                    <w:tr2bl w:val="nil"/>
                  </w:tcBorders>
                  <w:tcMar>
                    <w:top w:w="0" w:type="dxa"/>
                    <w:left w:w="0" w:type="dxa"/>
                    <w:bottom w:w="0" w:type="dxa"/>
                    <w:right w:w="0" w:type="dxa"/>
                  </w:tcMar>
                  <w:vAlign w:val="center"/>
                </w:tcPr>
                <w:p w14:paraId="11E70C4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外观：白色蓬松粉末（原生粒径7~40 nm，聚集体1~100 μm）；密度：2.2 g/cm³（真密度）；表观密度0.03~0.1 g/cm³（松散状态）；比表面积（BET）：50~400 m²/g（超高比表面积，吸附性强）；折射率：~1.46（与石英玻璃相近）；熔点：约1700℃（无定形结构，无明确熔点）；电导率：绝缘体（体积电阻率＞10¹⁴Ω·cm）；吸油值：（DBP）</w:t>
                  </w:r>
                  <w:r>
                    <w:rPr>
                      <w:rFonts w:hint="eastAsia" w:ascii="Times New Roman" w:hAnsi="Times New Roman" w:eastAsia="宋体" w:cs="Times New Roman"/>
                      <w:color w:val="auto"/>
                      <w:sz w:val="21"/>
                      <w:szCs w:val="21"/>
                      <w:highlight w:val="none"/>
                      <w:lang w:val="en-US" w:eastAsia="zh-CN"/>
                    </w:rPr>
                    <w:tab/>
                  </w:r>
                  <w:r>
                    <w:rPr>
                      <w:rFonts w:hint="eastAsia" w:ascii="Times New Roman" w:hAnsi="Times New Roman" w:eastAsia="宋体" w:cs="Times New Roman"/>
                      <w:color w:val="auto"/>
                      <w:sz w:val="21"/>
                      <w:szCs w:val="21"/>
                      <w:highlight w:val="none"/>
                      <w:lang w:val="en-US" w:eastAsia="zh-CN"/>
                    </w:rPr>
                    <w:t>1.5~3.5 mL/g（反映增稠能力）。</w:t>
                  </w:r>
                </w:p>
                <w:p w14:paraId="6E6BFC3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表面羟基（—SiOH）</w:t>
                  </w:r>
                  <w:r>
                    <w:rPr>
                      <w:rFonts w:hint="eastAsia" w:ascii="Times New Roman" w:hAnsi="Times New Roman" w:eastAsia="宋体" w:cs="Times New Roman"/>
                      <w:color w:val="auto"/>
                      <w:sz w:val="21"/>
                      <w:szCs w:val="21"/>
                      <w:highlight w:val="none"/>
                      <w:lang w:val="en-US" w:eastAsia="zh-CN"/>
                    </w:rPr>
                    <w:tab/>
                  </w:r>
                  <w:r>
                    <w:rPr>
                      <w:rFonts w:hint="eastAsia" w:ascii="Times New Roman" w:hAnsi="Times New Roman" w:eastAsia="宋体" w:cs="Times New Roman"/>
                      <w:color w:val="auto"/>
                      <w:sz w:val="21"/>
                      <w:szCs w:val="21"/>
                      <w:highlight w:val="none"/>
                      <w:lang w:val="en-US" w:eastAsia="zh-CN"/>
                    </w:rPr>
                    <w:t>亲水性气相二氧化硅含3~5个OH/nm²，可参与酯化、硅烷化等反应；经HMDS（六甲基二硅氮烷）或DDS（二甲基二氯硅烷）处理，表面变为—Si(CH₃)₃，疏水；耐强酸（除HF），强碱（pH&gt;9）逐渐溶解生成硅酸盐；热稳定性：＜1000℃稳定（高温下烧结致密化）；与有机物相互作用：通过氢键或范德华力增稠树脂/液体（如环氧、硅胶）。</w:t>
                  </w:r>
                </w:p>
              </w:tc>
              <w:tc>
                <w:tcPr>
                  <w:tcW w:w="953" w:type="pct"/>
                  <w:tcBorders>
                    <w:tl2br w:val="nil"/>
                    <w:tr2bl w:val="nil"/>
                  </w:tcBorders>
                  <w:tcMar>
                    <w:top w:w="0" w:type="dxa"/>
                    <w:left w:w="0" w:type="dxa"/>
                    <w:bottom w:w="0" w:type="dxa"/>
                    <w:right w:w="0" w:type="dxa"/>
                  </w:tcMar>
                  <w:vAlign w:val="center"/>
                </w:tcPr>
                <w:p w14:paraId="136DF8C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093F89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LD₅₀＞5000 mg/kg</w:t>
                  </w:r>
                </w:p>
              </w:tc>
            </w:tr>
            <w:tr w14:paraId="7084A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59B288C2">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三乙烯二胺</w:t>
                  </w:r>
                </w:p>
              </w:tc>
              <w:tc>
                <w:tcPr>
                  <w:tcW w:w="2382" w:type="pct"/>
                  <w:tcBorders>
                    <w:tl2br w:val="nil"/>
                    <w:tr2bl w:val="nil"/>
                  </w:tcBorders>
                  <w:tcMar>
                    <w:top w:w="0" w:type="dxa"/>
                    <w:left w:w="0" w:type="dxa"/>
                    <w:bottom w:w="0" w:type="dxa"/>
                    <w:right w:w="0" w:type="dxa"/>
                  </w:tcMar>
                  <w:vAlign w:val="center"/>
                </w:tcPr>
                <w:p w14:paraId="696A02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外观：白色至淡黄色结晶固体（易升华）；分子量：112.17 g/mol；熔点：158~160℃；沸点：174℃（升华）；密度（20℃）：1.14 g/cm³；溶解度：- 水：易溶（45 g/100 mL，20℃），- 有机溶剂：溶于乙醇、丙酮、苯等；蒸气压（25℃）：0.03 kPa（易挥发，需密封储存）；pH（1%水溶液）：~11（强碱性）；强有机碱（pKb ~2.8），能与酸成盐（如TEDA·HCl）；高效催化：异氰酸酯-羟基反应（聚氨酯发泡）和异氰酸酯-水反应（生成CO₂）；与金属离子络合可与Cu²⁺、Co²⁺等形成络合物，影响催化性能</w:t>
                  </w:r>
                </w:p>
                <w:p w14:paraId="18C1CD7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氧化稳定性</w:t>
                  </w:r>
                  <w:r>
                    <w:rPr>
                      <w:rFonts w:hint="eastAsia" w:ascii="Times New Roman" w:hAnsi="Times New Roman" w:eastAsia="宋体" w:cs="Times New Roman"/>
                      <w:color w:val="auto"/>
                      <w:sz w:val="21"/>
                      <w:szCs w:val="21"/>
                      <w:highlight w:val="none"/>
                      <w:lang w:val="en-US" w:eastAsia="zh-CN"/>
                    </w:rPr>
                    <w:tab/>
                  </w:r>
                  <w:r>
                    <w:rPr>
                      <w:rFonts w:hint="eastAsia" w:ascii="Times New Roman" w:hAnsi="Times New Roman" w:eastAsia="宋体" w:cs="Times New Roman"/>
                      <w:color w:val="auto"/>
                      <w:sz w:val="21"/>
                      <w:szCs w:val="21"/>
                      <w:highlight w:val="none"/>
                      <w:lang w:val="en-US" w:eastAsia="zh-CN"/>
                    </w:rPr>
                    <w:t>对空气稳定，但长期暴露可能吸潮结块；热分解：&gt;200℃分解，释放有毒气体（如NOₓ、HCN）</w:t>
                  </w:r>
                </w:p>
              </w:tc>
              <w:tc>
                <w:tcPr>
                  <w:tcW w:w="953" w:type="pct"/>
                  <w:tcBorders>
                    <w:tl2br w:val="nil"/>
                    <w:tr2bl w:val="nil"/>
                  </w:tcBorders>
                  <w:tcMar>
                    <w:top w:w="0" w:type="dxa"/>
                    <w:left w:w="0" w:type="dxa"/>
                    <w:bottom w:w="0" w:type="dxa"/>
                    <w:right w:w="0" w:type="dxa"/>
                  </w:tcMar>
                  <w:vAlign w:val="center"/>
                </w:tcPr>
                <w:p w14:paraId="797683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易燃</w:t>
                  </w:r>
                </w:p>
              </w:tc>
              <w:tc>
                <w:tcPr>
                  <w:tcW w:w="1106" w:type="pct"/>
                  <w:tcBorders>
                    <w:tl2br w:val="nil"/>
                    <w:tr2bl w:val="nil"/>
                  </w:tcBorders>
                  <w:tcMar>
                    <w:top w:w="0" w:type="dxa"/>
                    <w:left w:w="0" w:type="dxa"/>
                    <w:bottom w:w="0" w:type="dxa"/>
                    <w:right w:w="0" w:type="dxa"/>
                  </w:tcMar>
                  <w:vAlign w:val="center"/>
                </w:tcPr>
                <w:p w14:paraId="265D4C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LD₅₀：~1,000 mg/kg</w:t>
                  </w:r>
                  <w:r>
                    <w:rPr>
                      <w:rFonts w:hint="eastAsia" w:ascii="Times New Roman" w:hAnsi="Times New Roman" w:eastAsia="宋体" w:cs="Times New Roman"/>
                      <w:color w:val="auto"/>
                      <w:sz w:val="21"/>
                      <w:szCs w:val="21"/>
                      <w:highlight w:val="none"/>
                      <w:lang w:val="en-US" w:eastAsia="zh-CN"/>
                    </w:rPr>
                    <w:t>（大鼠经口）</w:t>
                  </w:r>
                </w:p>
              </w:tc>
            </w:tr>
            <w:tr w14:paraId="792AB7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6669CAD1">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氢氧化钾</w:t>
                  </w:r>
                </w:p>
              </w:tc>
              <w:tc>
                <w:tcPr>
                  <w:tcW w:w="2382" w:type="pct"/>
                  <w:tcBorders>
                    <w:tl2br w:val="nil"/>
                    <w:tr2bl w:val="nil"/>
                  </w:tcBorders>
                  <w:tcMar>
                    <w:top w:w="0" w:type="dxa"/>
                    <w:left w:w="0" w:type="dxa"/>
                    <w:bottom w:w="0" w:type="dxa"/>
                    <w:right w:w="0" w:type="dxa"/>
                  </w:tcMar>
                  <w:vAlign w:val="center"/>
                </w:tcPr>
                <w:p w14:paraId="233613A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白色片状、颗粒状或棒状固体，易潮解。极易溶于水（20℃时溶解度约121 g/100 mL），溶于乙醇、甘油，微溶于乙醚，熔点：360℃（无水），沸点：1320℃（分解），密度：2.04 g/cm³（20℃）。水溶液中完全电离，呈强碱性：与酸反应（中和）生成钾盐和水。</w:t>
                  </w:r>
                </w:p>
              </w:tc>
              <w:tc>
                <w:tcPr>
                  <w:tcW w:w="953" w:type="pct"/>
                  <w:tcBorders>
                    <w:tl2br w:val="nil"/>
                    <w:tr2bl w:val="nil"/>
                  </w:tcBorders>
                  <w:tcMar>
                    <w:top w:w="0" w:type="dxa"/>
                    <w:left w:w="0" w:type="dxa"/>
                    <w:bottom w:w="0" w:type="dxa"/>
                    <w:right w:w="0" w:type="dxa"/>
                  </w:tcMar>
                  <w:vAlign w:val="center"/>
                </w:tcPr>
                <w:p w14:paraId="4D3E2F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620210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LD50：273 mg/kg(大鼠经口)</w:t>
                  </w:r>
                </w:p>
              </w:tc>
            </w:tr>
            <w:tr w14:paraId="71EC4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224F2E69">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氢氧化钠</w:t>
                  </w:r>
                </w:p>
              </w:tc>
              <w:tc>
                <w:tcPr>
                  <w:tcW w:w="2382" w:type="pct"/>
                  <w:tcBorders>
                    <w:tl2br w:val="nil"/>
                    <w:tr2bl w:val="nil"/>
                  </w:tcBorders>
                  <w:tcMar>
                    <w:top w:w="0" w:type="dxa"/>
                    <w:left w:w="0" w:type="dxa"/>
                    <w:bottom w:w="0" w:type="dxa"/>
                    <w:right w:w="0" w:type="dxa"/>
                  </w:tcMar>
                  <w:vAlign w:val="center"/>
                </w:tcPr>
                <w:p w14:paraId="4E7AA90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外观：白色片状、颗粒状或块状固体，工业品可能因含杂质呈淡紫色或灰色。易潮解，吸收空气中的水分和二氧化碳（生成碳酸钠）。溶解性：极易溶于水，溶解时剧烈放热（20℃时溶解度约111 g/100 mL）。溶于乙醇、甘油，不溶于乙醚、丙酮等非极性溶剂。熔点与沸点：熔点：318℃（无水，沸点：1388℃（分解） 密度：2.13 g/cm³（固体，20℃） 导电性：水溶液是强电解质，导电性良好。水溶液呈强碱性（1 mol/L 溶液 pH≈14）可溶解蛋白质、纤维素，对皮肤、眼睛有强烈腐蚀性。</w:t>
                  </w:r>
                </w:p>
              </w:tc>
              <w:tc>
                <w:tcPr>
                  <w:tcW w:w="953" w:type="pct"/>
                  <w:tcBorders>
                    <w:tl2br w:val="nil"/>
                    <w:tr2bl w:val="nil"/>
                  </w:tcBorders>
                  <w:tcMar>
                    <w:top w:w="0" w:type="dxa"/>
                    <w:left w:w="0" w:type="dxa"/>
                    <w:bottom w:w="0" w:type="dxa"/>
                    <w:right w:w="0" w:type="dxa"/>
                  </w:tcMar>
                  <w:vAlign w:val="center"/>
                </w:tcPr>
                <w:p w14:paraId="1798D0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764098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无资料</w:t>
                  </w:r>
                </w:p>
              </w:tc>
            </w:tr>
            <w:tr w14:paraId="13C183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400F0538">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氟锆酸</w:t>
                  </w:r>
                </w:p>
              </w:tc>
              <w:tc>
                <w:tcPr>
                  <w:tcW w:w="2382" w:type="pct"/>
                  <w:tcBorders>
                    <w:tl2br w:val="nil"/>
                    <w:tr2bl w:val="nil"/>
                  </w:tcBorders>
                  <w:tcMar>
                    <w:top w:w="0" w:type="dxa"/>
                    <w:left w:w="0" w:type="dxa"/>
                    <w:bottom w:w="0" w:type="dxa"/>
                    <w:right w:w="0" w:type="dxa"/>
                  </w:tcMar>
                  <w:vAlign w:val="center"/>
                </w:tcPr>
                <w:p w14:paraId="69D8589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通常为无色或淡黄色的透明液体，高浓度时可能呈粘稠状。易溶于水，形成强酸性溶液；不溶于有机溶剂（如乙醇、乙醚）。在常温下相对稳定，但加热或长时间暴露可能分解，释放有毒的氟化氢（HF）气体。无明确熔点（通常以溶液形式存在），受热易分解。酸性：强酸性，水溶液中完全电离，pH值与浓度相关（如30%溶液的pH约1-2）。 与碱反应生成锆酸盐和氟化物，与金属（如铝、镁）反应释放氢气，并腐蚀金属表面。高温下分解为四氟化锆和氟化氢。</w:t>
                  </w:r>
                </w:p>
              </w:tc>
              <w:tc>
                <w:tcPr>
                  <w:tcW w:w="953" w:type="pct"/>
                  <w:tcBorders>
                    <w:tl2br w:val="nil"/>
                    <w:tr2bl w:val="nil"/>
                  </w:tcBorders>
                  <w:tcMar>
                    <w:top w:w="0" w:type="dxa"/>
                    <w:left w:w="0" w:type="dxa"/>
                    <w:bottom w:w="0" w:type="dxa"/>
                    <w:right w:w="0" w:type="dxa"/>
                  </w:tcMar>
                  <w:vAlign w:val="center"/>
                </w:tcPr>
                <w:p w14:paraId="164F11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2D0919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无资料</w:t>
                  </w:r>
                </w:p>
              </w:tc>
            </w:tr>
            <w:tr w14:paraId="4D33C1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4C2FB863">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碳酸钠</w:t>
                  </w:r>
                </w:p>
              </w:tc>
              <w:tc>
                <w:tcPr>
                  <w:tcW w:w="2382" w:type="pct"/>
                  <w:tcBorders>
                    <w:tl2br w:val="nil"/>
                    <w:tr2bl w:val="nil"/>
                  </w:tcBorders>
                  <w:tcMar>
                    <w:top w:w="0" w:type="dxa"/>
                    <w:left w:w="0" w:type="dxa"/>
                    <w:bottom w:w="0" w:type="dxa"/>
                    <w:right w:w="0" w:type="dxa"/>
                  </w:tcMar>
                  <w:vAlign w:val="center"/>
                </w:tcPr>
                <w:p w14:paraId="3C32743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外观：白色粉末或颗粒，易吸潮易溶于水（20℃时溶解度约21.5 g/100 mL），水溶液呈强碱性（pH≈11-12）。不溶于乙醇、丙酮等有机溶剂。无水物：熔点851℃，高温下分解为氧化钠和二氧化碳。34℃时熔融并溶于自身结晶水。密度：无水物：2.54 g/cm³；十水合物：1.46 g/cm³。吸湿性：无水碳酸钠易吸收空气中的水分和二氧化碳，生成碳酸氢钠。水溶液水解显强碱性。与酸反应生成盐、水和二氧化碳（中和反应）。与金属离子反应：与钙、镁离子生成难溶碳酸盐（用于硬水软化）。高温下分解（&gt;850℃）。在高温下与硅酸盐反应（玻璃制造原理）。</w:t>
                  </w:r>
                </w:p>
              </w:tc>
              <w:tc>
                <w:tcPr>
                  <w:tcW w:w="953" w:type="pct"/>
                  <w:tcBorders>
                    <w:tl2br w:val="nil"/>
                    <w:tr2bl w:val="nil"/>
                  </w:tcBorders>
                  <w:tcMar>
                    <w:top w:w="0" w:type="dxa"/>
                    <w:left w:w="0" w:type="dxa"/>
                    <w:bottom w:w="0" w:type="dxa"/>
                    <w:right w:w="0" w:type="dxa"/>
                  </w:tcMar>
                  <w:vAlign w:val="center"/>
                </w:tcPr>
                <w:p w14:paraId="144E93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74E8BB9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LD50：4090 mg/kg(大鼠经口) </w:t>
                  </w:r>
                </w:p>
                <w:p w14:paraId="0F5110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LC50：2300mg/m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，2小时(大鼠吸入)</w:t>
                  </w:r>
                </w:p>
              </w:tc>
            </w:tr>
            <w:tr w14:paraId="540E5C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4FBF1F43">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硅酸钠</w:t>
                  </w:r>
                </w:p>
              </w:tc>
              <w:tc>
                <w:tcPr>
                  <w:tcW w:w="2382" w:type="pct"/>
                  <w:tcBorders>
                    <w:tl2br w:val="nil"/>
                    <w:tr2bl w:val="nil"/>
                  </w:tcBorders>
                  <w:tcMar>
                    <w:top w:w="0" w:type="dxa"/>
                    <w:left w:w="0" w:type="dxa"/>
                    <w:bottom w:w="0" w:type="dxa"/>
                    <w:right w:w="0" w:type="dxa"/>
                  </w:tcMar>
                  <w:vAlign w:val="center"/>
                </w:tcPr>
                <w:p w14:paraId="347C4FB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外观：固体：无色、青灰色或淡黄色玻璃状颗粒或粉末（取决于纯度）。溶液：无色或微粘稠透明液体（常见商品形式）。溶解性：易溶于水，溶液呈强碱性（pH 11~12.5）。不溶于乙醇、丙酮。模数越高（SiO₂含量越高），溶解度越低。熔点与密度：固体熔点约1088℃（模数2.0），密度随模数变化（液体密度1.3~1.6 g/cm³）。粘性：水溶液具有粘性，模数越高或浓度越大，粘度越高。碱性：水解生成氢氧化钠和硅酸胶体，溶液显强碱性：遇酸（如盐酸）生成硅酸凝胶（白色沉淀）；与Ca²⁺、Mg²⁺等生成难溶硅酸盐（用于矿物浮选或水处理）。高温下分解为二氧化硅和氧化钠：</w:t>
                  </w:r>
                </w:p>
              </w:tc>
              <w:tc>
                <w:tcPr>
                  <w:tcW w:w="953" w:type="pct"/>
                  <w:tcBorders>
                    <w:tl2br w:val="nil"/>
                    <w:tr2bl w:val="nil"/>
                  </w:tcBorders>
                  <w:tcMar>
                    <w:top w:w="0" w:type="dxa"/>
                    <w:left w:w="0" w:type="dxa"/>
                    <w:bottom w:w="0" w:type="dxa"/>
                    <w:right w:w="0" w:type="dxa"/>
                  </w:tcMar>
                  <w:vAlign w:val="center"/>
                </w:tcPr>
                <w:p w14:paraId="0E01EB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68DA2A9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LD50(经口）：1280mg/kg（大鼠）</w:t>
                  </w:r>
                </w:p>
              </w:tc>
            </w:tr>
            <w:tr w14:paraId="4706A0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0B644835">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PAC</w:t>
                  </w:r>
                </w:p>
              </w:tc>
              <w:tc>
                <w:tcPr>
                  <w:tcW w:w="2382" w:type="pct"/>
                  <w:tcBorders>
                    <w:tl2br w:val="nil"/>
                    <w:tr2bl w:val="nil"/>
                  </w:tcBorders>
                  <w:tcMar>
                    <w:top w:w="0" w:type="dxa"/>
                    <w:left w:w="0" w:type="dxa"/>
                    <w:bottom w:w="0" w:type="dxa"/>
                    <w:right w:w="0" w:type="dxa"/>
                  </w:tcMar>
                  <w:vAlign w:val="center"/>
                </w:tcPr>
                <w:p w14:paraId="01050F0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聚合氯化铝，无机高分子混凝剂，介于 AlCl</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和A1(OH)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之间的一种水溶性无机高分子聚合物，对水中胶体和颗粒物具有高度电中和及桥联作用，并可强力去除微有毒物及重金属离子，性状稳定</w:t>
                  </w:r>
                </w:p>
              </w:tc>
              <w:tc>
                <w:tcPr>
                  <w:tcW w:w="953" w:type="pct"/>
                  <w:tcBorders>
                    <w:tl2br w:val="nil"/>
                    <w:tr2bl w:val="nil"/>
                  </w:tcBorders>
                  <w:tcMar>
                    <w:top w:w="0" w:type="dxa"/>
                    <w:left w:w="0" w:type="dxa"/>
                    <w:bottom w:w="0" w:type="dxa"/>
                    <w:right w:w="0" w:type="dxa"/>
                  </w:tcMar>
                  <w:vAlign w:val="center"/>
                </w:tcPr>
                <w:p w14:paraId="328245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106" w:type="pct"/>
                  <w:tcBorders>
                    <w:tl2br w:val="nil"/>
                    <w:tr2bl w:val="nil"/>
                  </w:tcBorders>
                  <w:tcMar>
                    <w:top w:w="0" w:type="dxa"/>
                    <w:left w:w="0" w:type="dxa"/>
                    <w:bottom w:w="0" w:type="dxa"/>
                    <w:right w:w="0" w:type="dxa"/>
                  </w:tcMar>
                  <w:vAlign w:val="center"/>
                </w:tcPr>
                <w:p w14:paraId="1A5D2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无毒</w:t>
                  </w:r>
                </w:p>
              </w:tc>
            </w:tr>
            <w:tr w14:paraId="0D4209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69195A0D">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PAM</w:t>
                  </w:r>
                </w:p>
              </w:tc>
              <w:tc>
                <w:tcPr>
                  <w:tcW w:w="2382" w:type="pct"/>
                  <w:tcBorders>
                    <w:tl2br w:val="nil"/>
                    <w:tr2bl w:val="nil"/>
                  </w:tcBorders>
                  <w:tcMar>
                    <w:top w:w="0" w:type="dxa"/>
                    <w:left w:w="0" w:type="dxa"/>
                    <w:bottom w:w="0" w:type="dxa"/>
                    <w:right w:w="0" w:type="dxa"/>
                  </w:tcMar>
                  <w:vAlign w:val="center"/>
                </w:tcPr>
                <w:p w14:paraId="3BE3244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聚丙烯酰胺，一种线型高分子聚合物，化学式为(C</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eastAsia="宋体" w:cs="Times New Roman"/>
                      <w:color w:val="auto"/>
                      <w:sz w:val="21"/>
                      <w:szCs w:val="21"/>
                      <w:highlight w:val="none"/>
                      <w:lang w:val="en-US" w:eastAsia="zh-CN"/>
                    </w:rPr>
                    <w:t>NO)</w:t>
                  </w:r>
                  <w:r>
                    <w:rPr>
                      <w:rFonts w:hint="eastAsia" w:ascii="Times New Roman" w:hAnsi="Times New Roman" w:eastAsia="宋体" w:cs="Times New Roman"/>
                      <w:color w:val="auto"/>
                      <w:sz w:val="21"/>
                      <w:szCs w:val="21"/>
                      <w:highlight w:val="none"/>
                      <w:vertAlign w:val="subscript"/>
                      <w:lang w:val="en-US" w:eastAsia="zh-CN"/>
                    </w:rPr>
                    <w:t>n</w:t>
                  </w:r>
                  <w:r>
                    <w:rPr>
                      <w:rFonts w:hint="eastAsia" w:ascii="Times New Roman" w:hAnsi="Times New Roman" w:eastAsia="宋体" w:cs="Times New Roman"/>
                      <w:color w:val="auto"/>
                      <w:sz w:val="21"/>
                      <w:szCs w:val="21"/>
                      <w:highlight w:val="none"/>
                      <w:lang w:val="en-US" w:eastAsia="zh-CN"/>
                    </w:rPr>
                    <w:t>，在常温下为坚硬的玻璃态固体，热稳定性良好，能以任意比例溶于水，水溶液为均匀透明的液体，主要用于采油、造纸、医用材料及水处理领域。</w:t>
                  </w:r>
                </w:p>
              </w:tc>
              <w:tc>
                <w:tcPr>
                  <w:tcW w:w="953" w:type="pct"/>
                  <w:tcBorders>
                    <w:tl2br w:val="nil"/>
                    <w:tr2bl w:val="nil"/>
                  </w:tcBorders>
                  <w:tcMar>
                    <w:top w:w="0" w:type="dxa"/>
                    <w:left w:w="0" w:type="dxa"/>
                    <w:bottom w:w="0" w:type="dxa"/>
                    <w:right w:w="0" w:type="dxa"/>
                  </w:tcMar>
                  <w:vAlign w:val="center"/>
                </w:tcPr>
                <w:p w14:paraId="5A69BB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可燃</w:t>
                  </w:r>
                </w:p>
              </w:tc>
              <w:tc>
                <w:tcPr>
                  <w:tcW w:w="1106" w:type="pct"/>
                  <w:tcBorders>
                    <w:tl2br w:val="nil"/>
                    <w:tr2bl w:val="nil"/>
                  </w:tcBorders>
                  <w:tcMar>
                    <w:top w:w="0" w:type="dxa"/>
                    <w:left w:w="0" w:type="dxa"/>
                    <w:bottom w:w="0" w:type="dxa"/>
                    <w:right w:w="0" w:type="dxa"/>
                  </w:tcMar>
                  <w:vAlign w:val="center"/>
                </w:tcPr>
                <w:p w14:paraId="61A327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LD</w:t>
                  </w:r>
                  <w:r>
                    <w:rPr>
                      <w:rFonts w:hint="eastAsia" w:ascii="Times New Roman" w:hAnsi="Times New Roman" w:eastAsia="宋体" w:cs="Times New Roman"/>
                      <w:color w:val="auto"/>
                      <w:sz w:val="21"/>
                      <w:szCs w:val="21"/>
                      <w:highlight w:val="none"/>
                      <w:vertAlign w:val="subscript"/>
                      <w:lang w:val="en-US" w:eastAsia="zh-CN"/>
                    </w:rPr>
                    <w:t>50</w:t>
                  </w:r>
                  <w:r>
                    <w:rPr>
                      <w:rFonts w:hint="default" w:ascii="Times New Roman" w:hAnsi="Times New Roman" w:eastAsia="宋体" w:cs="Times New Roman"/>
                      <w:color w:val="auto"/>
                      <w:sz w:val="21"/>
                      <w:szCs w:val="21"/>
                      <w:highlight w:val="none"/>
                      <w:lang w:val="en-US" w:eastAsia="zh-CN"/>
                    </w:rPr>
                    <w:t>&gt;1g/kg(大鼠经口)</w:t>
                  </w:r>
                </w:p>
              </w:tc>
            </w:tr>
            <w:tr w14:paraId="542460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4C99BE2B">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机油</w:t>
                  </w:r>
                </w:p>
              </w:tc>
              <w:tc>
                <w:tcPr>
                  <w:tcW w:w="2382" w:type="pct"/>
                  <w:tcBorders>
                    <w:tl2br w:val="nil"/>
                    <w:tr2bl w:val="nil"/>
                  </w:tcBorders>
                  <w:shd w:val="clear" w:color="auto" w:fill="auto"/>
                  <w:tcMar>
                    <w:top w:w="0" w:type="dxa"/>
                    <w:left w:w="0" w:type="dxa"/>
                    <w:bottom w:w="0" w:type="dxa"/>
                    <w:right w:w="0" w:type="dxa"/>
                  </w:tcMar>
                  <w:vAlign w:val="center"/>
                </w:tcPr>
                <w:p w14:paraId="69FDFB51">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淡黄色液体，不溶于水，沸点＞316℃，引燃温度：220-250℃，闪点224℃左右。</w:t>
                  </w:r>
                </w:p>
              </w:tc>
              <w:tc>
                <w:tcPr>
                  <w:tcW w:w="953" w:type="pct"/>
                  <w:tcBorders>
                    <w:tl2br w:val="nil"/>
                    <w:tr2bl w:val="nil"/>
                  </w:tcBorders>
                  <w:shd w:val="clear" w:color="auto" w:fill="auto"/>
                  <w:tcMar>
                    <w:top w:w="0" w:type="dxa"/>
                    <w:left w:w="0" w:type="dxa"/>
                    <w:bottom w:w="0" w:type="dxa"/>
                    <w:right w:w="0" w:type="dxa"/>
                  </w:tcMar>
                  <w:vAlign w:val="center"/>
                </w:tcPr>
                <w:p w14:paraId="1AC8133C">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可燃</w:t>
                  </w:r>
                </w:p>
              </w:tc>
              <w:tc>
                <w:tcPr>
                  <w:tcW w:w="1106" w:type="pct"/>
                  <w:tcBorders>
                    <w:tl2br w:val="nil"/>
                    <w:tr2bl w:val="nil"/>
                  </w:tcBorders>
                  <w:shd w:val="clear" w:color="auto" w:fill="auto"/>
                  <w:tcMar>
                    <w:top w:w="0" w:type="dxa"/>
                    <w:left w:w="0" w:type="dxa"/>
                    <w:bottom w:w="0" w:type="dxa"/>
                    <w:right w:w="0" w:type="dxa"/>
                  </w:tcMar>
                  <w:vAlign w:val="center"/>
                </w:tcPr>
                <w:p w14:paraId="75EA6480">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14:paraId="1F6C3D05">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水性胶</w:t>
            </w:r>
            <w:r>
              <w:rPr>
                <w:rFonts w:hint="default" w:ascii="Times New Roman" w:hAnsi="Times New Roman" w:eastAsia="宋体" w:cs="Times New Roman"/>
                <w:b w:val="0"/>
                <w:bCs w:val="0"/>
                <w:color w:val="auto"/>
                <w:sz w:val="24"/>
                <w:szCs w:val="24"/>
                <w:highlight w:val="none"/>
                <w:lang w:val="en-US" w:eastAsia="zh-CN"/>
              </w:rPr>
              <w:t>VOC</w:t>
            </w:r>
            <w:r>
              <w:rPr>
                <w:rFonts w:hint="eastAsia"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lang w:val="en-US" w:eastAsia="zh-CN"/>
              </w:rPr>
              <w:t>含量相符性分析</w:t>
            </w:r>
          </w:p>
          <w:p w14:paraId="4EFFC8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水性胶</w:t>
            </w:r>
            <w:r>
              <w:rPr>
                <w:rFonts w:hint="default"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VOCs检测报告，VOCs含量为6.686g/L，</w:t>
            </w:r>
            <w:r>
              <w:rPr>
                <w:rFonts w:hint="default" w:ascii="Times New Roman" w:hAnsi="Times New Roman" w:eastAsia="宋体" w:cs="Times New Roman"/>
                <w:color w:val="auto"/>
                <w:sz w:val="24"/>
                <w:szCs w:val="24"/>
                <w:highlight w:val="none"/>
                <w:lang w:val="en-US" w:eastAsia="zh-CN"/>
              </w:rPr>
              <w:t>符合《胶粘剂挥发性有机化合物限量》（GB33372-2020）中表2</w:t>
            </w:r>
            <w:r>
              <w:rPr>
                <w:rFonts w:hint="eastAsia" w:ascii="Times New Roman" w:hAnsi="Times New Roman" w:eastAsia="宋体" w:cs="Times New Roman"/>
                <w:color w:val="auto"/>
                <w:sz w:val="24"/>
                <w:szCs w:val="24"/>
                <w:highlight w:val="none"/>
                <w:lang w:val="en-US" w:eastAsia="zh-CN"/>
              </w:rPr>
              <w:t>聚氨酯</w:t>
            </w:r>
            <w:r>
              <w:rPr>
                <w:rFonts w:hint="default" w:ascii="Times New Roman" w:hAnsi="Times New Roman" w:eastAsia="宋体" w:cs="Times New Roman"/>
                <w:color w:val="auto"/>
                <w:sz w:val="24"/>
                <w:szCs w:val="24"/>
                <w:highlight w:val="none"/>
                <w:lang w:val="en-US" w:eastAsia="zh-CN"/>
              </w:rPr>
              <w:t>类-其他类标准（50g/L）</w:t>
            </w:r>
            <w:r>
              <w:rPr>
                <w:rFonts w:hint="default" w:ascii="Times New Roman" w:hAnsi="Times New Roman" w:eastAsia="宋体" w:cs="Times New Roman"/>
                <w:color w:val="auto"/>
                <w:kern w:val="0"/>
                <w:sz w:val="24"/>
                <w:szCs w:val="24"/>
                <w:highlight w:val="none"/>
              </w:rPr>
              <w:t>。</w:t>
            </w:r>
          </w:p>
          <w:p w14:paraId="7AFEEA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塑粉</w:t>
            </w:r>
            <w:r>
              <w:rPr>
                <w:rFonts w:hint="default" w:ascii="Times New Roman" w:hAnsi="Times New Roman" w:eastAsia="宋体" w:cs="Times New Roman"/>
                <w:color w:val="auto"/>
                <w:sz w:val="24"/>
                <w:szCs w:val="24"/>
                <w:highlight w:val="none"/>
                <w:lang w:val="en-US" w:eastAsia="zh-CN"/>
              </w:rPr>
              <w:t>用量核算</w:t>
            </w:r>
          </w:p>
          <w:p w14:paraId="5FA730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塑粉</w:t>
            </w:r>
            <w:r>
              <w:rPr>
                <w:rFonts w:hint="default" w:ascii="Times New Roman" w:hAnsi="Times New Roman" w:eastAsia="宋体" w:cs="Times New Roman"/>
                <w:color w:val="auto"/>
                <w:sz w:val="24"/>
                <w:szCs w:val="24"/>
                <w:highlight w:val="none"/>
                <w:lang w:val="en-US" w:eastAsia="zh-CN"/>
              </w:rPr>
              <w:t>用量核算见表2-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p>
          <w:p w14:paraId="39C03E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color w:val="auto"/>
                <w:sz w:val="24"/>
                <w:highlight w:val="none"/>
              </w:rPr>
              <w:t>表2-</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本项目</w:t>
            </w:r>
            <w:r>
              <w:rPr>
                <w:rFonts w:hint="eastAsia" w:ascii="Times New Roman" w:hAnsi="Times New Roman" w:eastAsia="宋体" w:cs="Times New Roman"/>
                <w:b/>
                <w:bCs/>
                <w:color w:val="auto"/>
                <w:sz w:val="24"/>
                <w:highlight w:val="none"/>
                <w:lang w:val="en-US" w:eastAsia="zh-CN"/>
              </w:rPr>
              <w:t>塑粉</w:t>
            </w:r>
            <w:r>
              <w:rPr>
                <w:rFonts w:hint="default" w:ascii="Times New Roman" w:hAnsi="Times New Roman" w:eastAsia="宋体" w:cs="Times New Roman"/>
                <w:b/>
                <w:bCs/>
                <w:color w:val="auto"/>
                <w:sz w:val="24"/>
                <w:highlight w:val="none"/>
              </w:rPr>
              <w:t>消耗计算表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347"/>
              <w:gridCol w:w="1194"/>
              <w:gridCol w:w="1194"/>
              <w:gridCol w:w="1194"/>
              <w:gridCol w:w="1195"/>
              <w:gridCol w:w="1195"/>
            </w:tblGrid>
            <w:tr w14:paraId="75A72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9" w:type="dxa"/>
                  <w:tcBorders>
                    <w:tl2br w:val="nil"/>
                    <w:tr2bl w:val="nil"/>
                  </w:tcBorders>
                  <w:vAlign w:val="center"/>
                </w:tcPr>
                <w:p w14:paraId="1114B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产品名称</w:t>
                  </w:r>
                </w:p>
              </w:tc>
              <w:tc>
                <w:tcPr>
                  <w:tcW w:w="1179" w:type="dxa"/>
                  <w:tcBorders>
                    <w:tl2br w:val="nil"/>
                    <w:tr2bl w:val="nil"/>
                  </w:tcBorders>
                  <w:vAlign w:val="center"/>
                </w:tcPr>
                <w:p w14:paraId="7A8B2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喷粉类型</w:t>
                  </w:r>
                </w:p>
              </w:tc>
              <w:tc>
                <w:tcPr>
                  <w:tcW w:w="1045" w:type="dxa"/>
                  <w:tcBorders>
                    <w:tl2br w:val="nil"/>
                    <w:tr2bl w:val="nil"/>
                  </w:tcBorders>
                  <w:vAlign w:val="center"/>
                </w:tcPr>
                <w:p w14:paraId="4A7A9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喷涂</w:t>
                  </w:r>
                  <w:r>
                    <w:rPr>
                      <w:rFonts w:hint="default" w:ascii="Times New Roman" w:hAnsi="Times New Roman" w:eastAsia="宋体" w:cs="Times New Roman"/>
                      <w:b/>
                      <w:bCs w:val="0"/>
                      <w:color w:val="auto"/>
                      <w:sz w:val="21"/>
                      <w:szCs w:val="21"/>
                      <w:highlight w:val="none"/>
                      <w:vertAlign w:val="baseline"/>
                      <w:lang w:val="en-US" w:eastAsia="zh-CN"/>
                    </w:rPr>
                    <w:t>面积</w:t>
                  </w:r>
                </w:p>
              </w:tc>
              <w:tc>
                <w:tcPr>
                  <w:tcW w:w="1045" w:type="dxa"/>
                  <w:tcBorders>
                    <w:tl2br w:val="nil"/>
                    <w:tr2bl w:val="nil"/>
                  </w:tcBorders>
                  <w:vAlign w:val="center"/>
                </w:tcPr>
                <w:p w14:paraId="11846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粉膜</w:t>
                  </w:r>
                  <w:r>
                    <w:rPr>
                      <w:rFonts w:hint="default" w:ascii="Times New Roman" w:hAnsi="Times New Roman" w:eastAsia="宋体" w:cs="Times New Roman"/>
                      <w:b/>
                      <w:bCs w:val="0"/>
                      <w:color w:val="auto"/>
                      <w:sz w:val="21"/>
                      <w:szCs w:val="21"/>
                      <w:highlight w:val="none"/>
                      <w:vertAlign w:val="baseline"/>
                      <w:lang w:val="en-US" w:eastAsia="zh-CN"/>
                    </w:rPr>
                    <w:t>厚度</w:t>
                  </w:r>
                </w:p>
              </w:tc>
              <w:tc>
                <w:tcPr>
                  <w:tcW w:w="1045" w:type="dxa"/>
                  <w:tcBorders>
                    <w:tl2br w:val="nil"/>
                    <w:tr2bl w:val="nil"/>
                  </w:tcBorders>
                  <w:vAlign w:val="center"/>
                </w:tcPr>
                <w:p w14:paraId="1C7B07CB">
                  <w:pPr>
                    <w:pStyle w:val="26"/>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b/>
                      <w:bCs w:val="0"/>
                      <w:color w:val="auto"/>
                      <w:sz w:val="21"/>
                      <w:szCs w:val="21"/>
                      <w:highlight w:val="none"/>
                      <w:vertAlign w:val="baseline"/>
                      <w:lang w:val="en-US" w:eastAsia="zh-CN"/>
                    </w:rPr>
                    <w:t>上粉率</w:t>
                  </w:r>
                </w:p>
              </w:tc>
              <w:tc>
                <w:tcPr>
                  <w:tcW w:w="1045" w:type="dxa"/>
                  <w:tcBorders>
                    <w:tl2br w:val="nil"/>
                    <w:tr2bl w:val="nil"/>
                  </w:tcBorders>
                  <w:vAlign w:val="center"/>
                </w:tcPr>
                <w:p w14:paraId="394905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密度</w:t>
                  </w:r>
                </w:p>
              </w:tc>
              <w:tc>
                <w:tcPr>
                  <w:tcW w:w="1045" w:type="dxa"/>
                  <w:tcBorders>
                    <w:tl2br w:val="nil"/>
                    <w:tr2bl w:val="nil"/>
                  </w:tcBorders>
                  <w:vAlign w:val="center"/>
                </w:tcPr>
                <w:p w14:paraId="080E8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粉末用量</w:t>
                  </w:r>
                </w:p>
              </w:tc>
            </w:tr>
            <w:tr w14:paraId="1FF51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09" w:type="dxa"/>
                  <w:vMerge w:val="restart"/>
                  <w:tcBorders>
                    <w:tl2br w:val="nil"/>
                    <w:tr2bl w:val="nil"/>
                  </w:tcBorders>
                  <w:vAlign w:val="center"/>
                </w:tcPr>
                <w:p w14:paraId="29BB5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光伏组件及电力设备</w:t>
                  </w:r>
                </w:p>
              </w:tc>
              <w:tc>
                <w:tcPr>
                  <w:tcW w:w="1179" w:type="dxa"/>
                  <w:tcBorders>
                    <w:tl2br w:val="nil"/>
                    <w:tr2bl w:val="nil"/>
                  </w:tcBorders>
                  <w:vAlign w:val="center"/>
                </w:tcPr>
                <w:p w14:paraId="2FB23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手工喷粉</w:t>
                  </w:r>
                </w:p>
              </w:tc>
              <w:tc>
                <w:tcPr>
                  <w:tcW w:w="1045" w:type="dxa"/>
                  <w:tcBorders>
                    <w:tl2br w:val="nil"/>
                    <w:tr2bl w:val="nil"/>
                  </w:tcBorders>
                  <w:vAlign w:val="center"/>
                </w:tcPr>
                <w:p w14:paraId="5D728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23000</w:t>
                  </w: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045" w:type="dxa"/>
                  <w:tcBorders>
                    <w:tl2br w:val="nil"/>
                    <w:tr2bl w:val="nil"/>
                  </w:tcBorders>
                  <w:vAlign w:val="center"/>
                </w:tcPr>
                <w:p w14:paraId="14954B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0.11mm</w:t>
                  </w:r>
                </w:p>
              </w:tc>
              <w:tc>
                <w:tcPr>
                  <w:tcW w:w="1045" w:type="dxa"/>
                  <w:tcBorders>
                    <w:tl2br w:val="nil"/>
                    <w:tr2bl w:val="nil"/>
                  </w:tcBorders>
                  <w:vAlign w:val="center"/>
                </w:tcPr>
                <w:p w14:paraId="5D6A3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75%</w:t>
                  </w:r>
                </w:p>
              </w:tc>
              <w:tc>
                <w:tcPr>
                  <w:tcW w:w="1045" w:type="dxa"/>
                  <w:tcBorders>
                    <w:tl2br w:val="nil"/>
                    <w:tr2bl w:val="nil"/>
                  </w:tcBorders>
                  <w:vAlign w:val="center"/>
                </w:tcPr>
                <w:p w14:paraId="3C2BEB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1.43t/m</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45" w:type="dxa"/>
                  <w:tcBorders>
                    <w:tl2br w:val="nil"/>
                    <w:tr2bl w:val="nil"/>
                  </w:tcBorders>
                  <w:vAlign w:val="center"/>
                </w:tcPr>
                <w:p w14:paraId="5B7B53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4.8t</w:t>
                  </w:r>
                </w:p>
              </w:tc>
            </w:tr>
            <w:tr w14:paraId="5CDAB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09" w:type="dxa"/>
                  <w:vMerge w:val="continue"/>
                  <w:tcBorders>
                    <w:tl2br w:val="nil"/>
                    <w:tr2bl w:val="nil"/>
                  </w:tcBorders>
                  <w:vAlign w:val="center"/>
                </w:tcPr>
                <w:p w14:paraId="2BE925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color w:val="auto"/>
                      <w:highlight w:val="none"/>
                    </w:rPr>
                  </w:pPr>
                </w:p>
              </w:tc>
              <w:tc>
                <w:tcPr>
                  <w:tcW w:w="1179" w:type="dxa"/>
                  <w:tcBorders>
                    <w:tl2br w:val="nil"/>
                    <w:tr2bl w:val="nil"/>
                  </w:tcBorders>
                  <w:vAlign w:val="center"/>
                </w:tcPr>
                <w:p w14:paraId="6C0044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自动喷粉</w:t>
                  </w:r>
                </w:p>
              </w:tc>
              <w:tc>
                <w:tcPr>
                  <w:tcW w:w="1045" w:type="dxa"/>
                  <w:tcBorders>
                    <w:tl2br w:val="nil"/>
                    <w:tr2bl w:val="nil"/>
                  </w:tcBorders>
                  <w:vAlign w:val="center"/>
                </w:tcPr>
                <w:p w14:paraId="1C41B0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240000</w:t>
                  </w: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045" w:type="dxa"/>
                  <w:tcBorders>
                    <w:tl2br w:val="nil"/>
                    <w:tr2bl w:val="nil"/>
                  </w:tcBorders>
                  <w:vAlign w:val="center"/>
                </w:tcPr>
                <w:p w14:paraId="6AB0CD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0.11mm</w:t>
                  </w:r>
                </w:p>
              </w:tc>
              <w:tc>
                <w:tcPr>
                  <w:tcW w:w="1045" w:type="dxa"/>
                  <w:tcBorders>
                    <w:tl2br w:val="nil"/>
                    <w:tr2bl w:val="nil"/>
                  </w:tcBorders>
                  <w:vAlign w:val="center"/>
                </w:tcPr>
                <w:p w14:paraId="562DFE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1045" w:type="dxa"/>
                  <w:tcBorders>
                    <w:tl2br w:val="nil"/>
                    <w:tr2bl w:val="nil"/>
                  </w:tcBorders>
                  <w:vAlign w:val="center"/>
                </w:tcPr>
                <w:p w14:paraId="058292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1.43t/m</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45" w:type="dxa"/>
                  <w:tcBorders>
                    <w:tl2br w:val="nil"/>
                    <w:tr2bl w:val="nil"/>
                  </w:tcBorders>
                  <w:vAlign w:val="center"/>
                </w:tcPr>
                <w:p w14:paraId="645415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44.4t</w:t>
                  </w:r>
                </w:p>
              </w:tc>
            </w:tr>
          </w:tbl>
          <w:p w14:paraId="3D03CB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由上表可知，加上其他的一些损耗，本项目</w:t>
            </w:r>
            <w:r>
              <w:rPr>
                <w:rFonts w:hint="eastAsia" w:ascii="Times New Roman" w:hAnsi="Times New Roman" w:eastAsia="宋体" w:cs="Times New Roman"/>
                <w:b w:val="0"/>
                <w:bCs/>
                <w:color w:val="auto"/>
                <w:sz w:val="24"/>
                <w:highlight w:val="none"/>
                <w:lang w:val="en-US" w:eastAsia="zh-CN"/>
              </w:rPr>
              <w:t>手工喷粉用量5t/a，自动喷粉用量45t/a，</w:t>
            </w:r>
            <w:r>
              <w:rPr>
                <w:rFonts w:hint="default" w:ascii="Times New Roman" w:hAnsi="Times New Roman" w:eastAsia="宋体" w:cs="Times New Roman"/>
                <w:b w:val="0"/>
                <w:bCs/>
                <w:color w:val="auto"/>
                <w:sz w:val="24"/>
                <w:highlight w:val="none"/>
                <w:lang w:val="en-US" w:eastAsia="zh-CN"/>
              </w:rPr>
              <w:t>粉末</w:t>
            </w:r>
            <w:r>
              <w:rPr>
                <w:rFonts w:hint="eastAsia" w:ascii="Times New Roman" w:hAnsi="Times New Roman" w:eastAsia="宋体" w:cs="Times New Roman"/>
                <w:b w:val="0"/>
                <w:bCs/>
                <w:color w:val="auto"/>
                <w:sz w:val="24"/>
                <w:highlight w:val="none"/>
                <w:lang w:val="en-US" w:eastAsia="zh-CN"/>
              </w:rPr>
              <w:t>总</w:t>
            </w:r>
            <w:r>
              <w:rPr>
                <w:rFonts w:hint="default" w:ascii="Times New Roman" w:hAnsi="Times New Roman" w:eastAsia="宋体" w:cs="Times New Roman"/>
                <w:b w:val="0"/>
                <w:bCs/>
                <w:color w:val="auto"/>
                <w:sz w:val="24"/>
                <w:highlight w:val="none"/>
                <w:lang w:val="en-US" w:eastAsia="zh-CN"/>
              </w:rPr>
              <w:t>用量</w:t>
            </w:r>
            <w:r>
              <w:rPr>
                <w:rFonts w:hint="eastAsia" w:ascii="Times New Roman" w:hAnsi="Times New Roman" w:eastAsia="宋体" w:cs="Times New Roman"/>
                <w:b w:val="0"/>
                <w:bCs/>
                <w:color w:val="auto"/>
                <w:sz w:val="24"/>
                <w:highlight w:val="none"/>
                <w:lang w:val="en-US" w:eastAsia="zh-CN"/>
              </w:rPr>
              <w:t>50</w:t>
            </w:r>
            <w:r>
              <w:rPr>
                <w:rFonts w:hint="default" w:ascii="Times New Roman" w:hAnsi="Times New Roman" w:eastAsia="宋体" w:cs="Times New Roman"/>
                <w:b w:val="0"/>
                <w:bCs/>
                <w:color w:val="auto"/>
                <w:sz w:val="24"/>
                <w:highlight w:val="none"/>
                <w:lang w:val="en-US" w:eastAsia="zh-CN"/>
              </w:rPr>
              <w:t>t/a与产品的喷涂量相匹配。</w:t>
            </w:r>
          </w:p>
          <w:p w14:paraId="437BC1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lang w:val="en-US" w:eastAsia="zh-CN"/>
              </w:rPr>
              <w:t>）VOCs平衡</w:t>
            </w:r>
          </w:p>
          <w:p w14:paraId="17641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本项目含VOC</w:t>
            </w:r>
            <w:r>
              <w:rPr>
                <w:rFonts w:hint="eastAsia" w:ascii="Times New Roman" w:hAnsi="Times New Roman" w:eastAsia="宋体" w:cs="Times New Roman"/>
                <w:b w:val="0"/>
                <w:bCs/>
                <w:color w:val="auto"/>
                <w:sz w:val="24"/>
                <w:highlight w:val="none"/>
                <w:lang w:val="en-US" w:eastAsia="zh-CN"/>
              </w:rPr>
              <w:t>s</w:t>
            </w:r>
            <w:r>
              <w:rPr>
                <w:rFonts w:hint="default" w:ascii="Times New Roman" w:hAnsi="Times New Roman" w:eastAsia="宋体" w:cs="Times New Roman"/>
                <w:b w:val="0"/>
                <w:bCs/>
                <w:color w:val="auto"/>
                <w:sz w:val="24"/>
                <w:highlight w:val="none"/>
                <w:lang w:val="en-US" w:eastAsia="zh-CN"/>
              </w:rPr>
              <w:t>物料主要包括：</w:t>
            </w:r>
            <w:r>
              <w:rPr>
                <w:rFonts w:hint="eastAsia" w:ascii="Times New Roman" w:hAnsi="Times New Roman" w:eastAsia="宋体" w:cs="Times New Roman"/>
                <w:b w:val="0"/>
                <w:bCs/>
                <w:color w:val="auto"/>
                <w:sz w:val="24"/>
                <w:highlight w:val="none"/>
                <w:lang w:val="en-US" w:eastAsia="zh-CN"/>
              </w:rPr>
              <w:t>水性胶、塑粉，</w:t>
            </w:r>
            <w:r>
              <w:rPr>
                <w:rFonts w:hint="default" w:ascii="Times New Roman" w:hAnsi="Times New Roman" w:eastAsia="宋体" w:cs="Times New Roman"/>
                <w:b w:val="0"/>
                <w:bCs/>
                <w:color w:val="auto"/>
                <w:sz w:val="24"/>
                <w:highlight w:val="none"/>
                <w:lang w:val="en-US" w:eastAsia="zh-CN"/>
              </w:rPr>
              <w:t>生产过程中</w:t>
            </w:r>
            <w:r>
              <w:rPr>
                <w:rFonts w:hint="eastAsia" w:ascii="Times New Roman" w:hAnsi="Times New Roman" w:eastAsia="宋体" w:cs="Times New Roman"/>
                <w:b w:val="0"/>
                <w:bCs/>
                <w:color w:val="auto"/>
                <w:sz w:val="24"/>
                <w:highlight w:val="none"/>
                <w:lang w:val="en-US" w:eastAsia="zh-CN"/>
              </w:rPr>
              <w:t>其</w:t>
            </w:r>
            <w:r>
              <w:rPr>
                <w:rFonts w:hint="default" w:ascii="Times New Roman" w:hAnsi="Times New Roman" w:eastAsia="宋体" w:cs="Times New Roman"/>
                <w:b w:val="0"/>
                <w:bCs/>
                <w:color w:val="auto"/>
                <w:sz w:val="24"/>
                <w:highlight w:val="none"/>
                <w:lang w:val="en-US" w:eastAsia="zh-CN"/>
              </w:rPr>
              <w:t>VOCs产生情况见表2-</w:t>
            </w:r>
            <w:r>
              <w:rPr>
                <w:rFonts w:hint="eastAsia" w:ascii="Times New Roman" w:hAnsi="Times New Roman" w:eastAsia="宋体" w:cs="Times New Roman"/>
                <w:b w:val="0"/>
                <w:bCs/>
                <w:color w:val="auto"/>
                <w:sz w:val="24"/>
                <w:highlight w:val="none"/>
                <w:lang w:val="en-US" w:eastAsia="zh-CN"/>
              </w:rPr>
              <w:t>7</w:t>
            </w:r>
            <w:r>
              <w:rPr>
                <w:rFonts w:hint="default" w:ascii="Times New Roman" w:hAnsi="Times New Roman" w:eastAsia="宋体" w:cs="Times New Roman"/>
                <w:b w:val="0"/>
                <w:bCs/>
                <w:color w:val="auto"/>
                <w:sz w:val="24"/>
                <w:highlight w:val="none"/>
                <w:lang w:val="en-US" w:eastAsia="zh-CN"/>
              </w:rPr>
              <w:t>。</w:t>
            </w:r>
          </w:p>
          <w:p w14:paraId="3BD74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表2-</w:t>
            </w:r>
            <w:r>
              <w:rPr>
                <w:rFonts w:hint="eastAsia"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lang w:val="en-US" w:eastAsia="zh-CN"/>
              </w:rPr>
              <w:t xml:space="preserve">  物料VOCs产生情况</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083"/>
              <w:gridCol w:w="1126"/>
              <w:gridCol w:w="1486"/>
              <w:gridCol w:w="1616"/>
              <w:gridCol w:w="664"/>
              <w:gridCol w:w="849"/>
              <w:gridCol w:w="775"/>
            </w:tblGrid>
            <w:tr w14:paraId="525FE4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630" w:type="pct"/>
                  <w:gridSpan w:val="5"/>
                  <w:tcBorders>
                    <w:tl2br w:val="nil"/>
                    <w:tr2bl w:val="nil"/>
                  </w:tcBorders>
                  <w:shd w:val="clear" w:color="auto" w:fill="auto"/>
                  <w:vAlign w:val="center"/>
                </w:tcPr>
                <w:p w14:paraId="48539630">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入方</w:t>
                  </w:r>
                </w:p>
              </w:tc>
              <w:tc>
                <w:tcPr>
                  <w:tcW w:w="1369" w:type="pct"/>
                  <w:gridSpan w:val="3"/>
                  <w:tcBorders>
                    <w:tl2br w:val="nil"/>
                    <w:tr2bl w:val="nil"/>
                  </w:tcBorders>
                  <w:shd w:val="clear" w:color="auto" w:fill="auto"/>
                  <w:vAlign w:val="center"/>
                </w:tcPr>
                <w:p w14:paraId="38444E84">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出方</w:t>
                  </w:r>
                </w:p>
              </w:tc>
            </w:tr>
            <w:tr w14:paraId="4A6C91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2" w:type="pct"/>
                  <w:tcBorders>
                    <w:tl2br w:val="nil"/>
                    <w:tr2bl w:val="nil"/>
                  </w:tcBorders>
                  <w:vAlign w:val="center"/>
                </w:tcPr>
                <w:p w14:paraId="13600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生产工序</w:t>
                  </w:r>
                </w:p>
              </w:tc>
              <w:tc>
                <w:tcPr>
                  <w:tcW w:w="648" w:type="pct"/>
                  <w:tcBorders>
                    <w:tl2br w:val="nil"/>
                    <w:tr2bl w:val="nil"/>
                  </w:tcBorders>
                  <w:vAlign w:val="center"/>
                </w:tcPr>
                <w:p w14:paraId="476CA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原料名称</w:t>
                  </w:r>
                </w:p>
              </w:tc>
              <w:tc>
                <w:tcPr>
                  <w:tcW w:w="673" w:type="pct"/>
                  <w:tcBorders>
                    <w:tl2br w:val="nil"/>
                    <w:tr2bl w:val="nil"/>
                  </w:tcBorders>
                  <w:vAlign w:val="center"/>
                </w:tcPr>
                <w:p w14:paraId="69B88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原料用量</w:t>
                  </w:r>
                </w:p>
              </w:tc>
              <w:tc>
                <w:tcPr>
                  <w:tcW w:w="889" w:type="pct"/>
                  <w:tcBorders>
                    <w:tl2br w:val="nil"/>
                    <w:tr2bl w:val="nil"/>
                  </w:tcBorders>
                  <w:shd w:val="clear" w:color="auto" w:fill="auto"/>
                  <w:vAlign w:val="center"/>
                </w:tcPr>
                <w:p w14:paraId="57163CE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含量成分</w:t>
                  </w:r>
                </w:p>
              </w:tc>
              <w:tc>
                <w:tcPr>
                  <w:tcW w:w="967" w:type="pct"/>
                  <w:tcBorders>
                    <w:tl2br w:val="nil"/>
                    <w:tr2bl w:val="nil"/>
                  </w:tcBorders>
                  <w:shd w:val="clear" w:color="auto" w:fill="auto"/>
                  <w:vAlign w:val="center"/>
                </w:tcPr>
                <w:p w14:paraId="70401E4B">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含VOCs量</w:t>
                  </w:r>
                  <w:r>
                    <w:rPr>
                      <w:rFonts w:hint="eastAsia" w:ascii="Times New Roman" w:hAnsi="Times New Roman" w:eastAsia="宋体" w:cs="Times New Roman"/>
                      <w:b/>
                      <w:bCs/>
                      <w:color w:val="auto"/>
                      <w:sz w:val="21"/>
                      <w:szCs w:val="21"/>
                      <w:highlight w:val="none"/>
                      <w:lang w:val="en-US" w:eastAsia="zh-CN"/>
                    </w:rPr>
                    <w:t>（t）</w:t>
                  </w:r>
                </w:p>
              </w:tc>
              <w:tc>
                <w:tcPr>
                  <w:tcW w:w="397" w:type="pct"/>
                  <w:tcBorders>
                    <w:tl2br w:val="nil"/>
                    <w:tr2bl w:val="nil"/>
                  </w:tcBorders>
                  <w:shd w:val="clear" w:color="auto" w:fill="auto"/>
                  <w:vAlign w:val="center"/>
                </w:tcPr>
                <w:p w14:paraId="2EB31E90">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去向</w:t>
                  </w:r>
                </w:p>
              </w:tc>
              <w:tc>
                <w:tcPr>
                  <w:tcW w:w="971" w:type="pct"/>
                  <w:gridSpan w:val="2"/>
                  <w:tcBorders>
                    <w:tl2br w:val="nil"/>
                    <w:tr2bl w:val="nil"/>
                  </w:tcBorders>
                  <w:shd w:val="clear" w:color="auto" w:fill="auto"/>
                  <w:vAlign w:val="center"/>
                </w:tcPr>
                <w:p w14:paraId="55C4CE0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含VOCs量</w:t>
                  </w:r>
                  <w:r>
                    <w:rPr>
                      <w:rFonts w:hint="eastAsia" w:ascii="Times New Roman" w:hAnsi="Times New Roman" w:eastAsia="宋体" w:cs="Times New Roman"/>
                      <w:b/>
                      <w:bCs/>
                      <w:color w:val="auto"/>
                      <w:sz w:val="21"/>
                      <w:szCs w:val="21"/>
                      <w:highlight w:val="none"/>
                      <w:lang w:val="en-US" w:eastAsia="zh-CN"/>
                    </w:rPr>
                    <w:t>（t）</w:t>
                  </w:r>
                </w:p>
              </w:tc>
            </w:tr>
            <w:tr w14:paraId="7B8E4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2" w:type="pct"/>
                  <w:vMerge w:val="restart"/>
                  <w:tcBorders>
                    <w:tl2br w:val="nil"/>
                    <w:tr2bl w:val="nil"/>
                  </w:tcBorders>
                  <w:vAlign w:val="center"/>
                </w:tcPr>
                <w:p w14:paraId="1FE682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打胶</w:t>
                  </w:r>
                </w:p>
              </w:tc>
              <w:tc>
                <w:tcPr>
                  <w:tcW w:w="648" w:type="pct"/>
                  <w:vMerge w:val="restart"/>
                  <w:tcBorders>
                    <w:tl2br w:val="nil"/>
                    <w:tr2bl w:val="nil"/>
                  </w:tcBorders>
                  <w:vAlign w:val="center"/>
                </w:tcPr>
                <w:p w14:paraId="1EF33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 水性胶</w:t>
                  </w:r>
                </w:p>
              </w:tc>
              <w:tc>
                <w:tcPr>
                  <w:tcW w:w="673" w:type="pct"/>
                  <w:vMerge w:val="restart"/>
                  <w:tcBorders>
                    <w:tl2br w:val="nil"/>
                    <w:tr2bl w:val="nil"/>
                  </w:tcBorders>
                  <w:vAlign w:val="center"/>
                </w:tcPr>
                <w:p w14:paraId="4F932C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20000L</w:t>
                  </w:r>
                </w:p>
              </w:tc>
              <w:tc>
                <w:tcPr>
                  <w:tcW w:w="889" w:type="pct"/>
                  <w:vMerge w:val="restart"/>
                  <w:tcBorders>
                    <w:tl2br w:val="nil"/>
                    <w:tr2bl w:val="nil"/>
                  </w:tcBorders>
                  <w:vAlign w:val="center"/>
                </w:tcPr>
                <w:p w14:paraId="11146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6.686g/L</w:t>
                  </w:r>
                </w:p>
              </w:tc>
              <w:tc>
                <w:tcPr>
                  <w:tcW w:w="967" w:type="pct"/>
                  <w:vMerge w:val="restart"/>
                  <w:tcBorders>
                    <w:tl2br w:val="nil"/>
                    <w:tr2bl w:val="nil"/>
                  </w:tcBorders>
                  <w:vAlign w:val="center"/>
                </w:tcPr>
                <w:p w14:paraId="3F96D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0.134</w:t>
                  </w:r>
                </w:p>
              </w:tc>
              <w:tc>
                <w:tcPr>
                  <w:tcW w:w="397" w:type="pct"/>
                  <w:vMerge w:val="restart"/>
                  <w:tcBorders>
                    <w:tl2br w:val="nil"/>
                    <w:tr2bl w:val="nil"/>
                  </w:tcBorders>
                  <w:shd w:val="clear" w:color="auto" w:fill="auto"/>
                  <w:vAlign w:val="center"/>
                </w:tcPr>
                <w:p w14:paraId="5629DA5A">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废气</w:t>
                  </w:r>
                </w:p>
              </w:tc>
              <w:tc>
                <w:tcPr>
                  <w:tcW w:w="508" w:type="pct"/>
                  <w:tcBorders>
                    <w:tl2br w:val="nil"/>
                    <w:tr2bl w:val="nil"/>
                  </w:tcBorders>
                  <w:shd w:val="clear" w:color="auto" w:fill="auto"/>
                  <w:vAlign w:val="center"/>
                </w:tcPr>
                <w:p w14:paraId="0EE3C888">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有</w:t>
                  </w:r>
                  <w:r>
                    <w:rPr>
                      <w:rFonts w:hint="default" w:ascii="Times New Roman" w:hAnsi="Times New Roman" w:eastAsia="宋体" w:cs="Times New Roman"/>
                      <w:b w:val="0"/>
                      <w:bCs w:val="0"/>
                      <w:color w:val="auto"/>
                      <w:kern w:val="44"/>
                      <w:sz w:val="21"/>
                      <w:szCs w:val="21"/>
                      <w:highlight w:val="none"/>
                      <w:lang w:val="en-US" w:eastAsia="zh-CN" w:bidi="ar-SA"/>
                    </w:rPr>
                    <w:t>组织废气</w:t>
                  </w:r>
                </w:p>
              </w:tc>
              <w:tc>
                <w:tcPr>
                  <w:tcW w:w="775" w:type="dxa"/>
                  <w:tcBorders>
                    <w:tl2br w:val="nil"/>
                    <w:tr2bl w:val="nil"/>
                  </w:tcBorders>
                  <w:shd w:val="clear" w:color="auto" w:fill="auto"/>
                  <w:vAlign w:val="center"/>
                </w:tcPr>
                <w:p w14:paraId="63DE0102">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0.0667</w:t>
                  </w:r>
                </w:p>
              </w:tc>
            </w:tr>
            <w:tr w14:paraId="6A10C9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2" w:type="pct"/>
                  <w:vMerge w:val="continue"/>
                  <w:tcBorders>
                    <w:tl2br w:val="nil"/>
                    <w:tr2bl w:val="nil"/>
                  </w:tcBorders>
                  <w:vAlign w:val="center"/>
                </w:tcPr>
                <w:p w14:paraId="2F78A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48" w:type="pct"/>
                  <w:vMerge w:val="continue"/>
                  <w:tcBorders>
                    <w:tl2br w:val="nil"/>
                    <w:tr2bl w:val="nil"/>
                  </w:tcBorders>
                  <w:vAlign w:val="center"/>
                </w:tcPr>
                <w:p w14:paraId="1F8A8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673" w:type="pct"/>
                  <w:vMerge w:val="continue"/>
                  <w:tcBorders>
                    <w:tl2br w:val="nil"/>
                    <w:tr2bl w:val="nil"/>
                  </w:tcBorders>
                  <w:vAlign w:val="center"/>
                </w:tcPr>
                <w:p w14:paraId="34EE5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889" w:type="pct"/>
                  <w:vMerge w:val="continue"/>
                  <w:tcBorders>
                    <w:tl2br w:val="nil"/>
                    <w:tr2bl w:val="nil"/>
                  </w:tcBorders>
                  <w:vAlign w:val="center"/>
                </w:tcPr>
                <w:p w14:paraId="3D9A4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967" w:type="pct"/>
                  <w:vMerge w:val="continue"/>
                  <w:tcBorders>
                    <w:tl2br w:val="nil"/>
                    <w:tr2bl w:val="nil"/>
                  </w:tcBorders>
                  <w:vAlign w:val="center"/>
                </w:tcPr>
                <w:p w14:paraId="77F14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397" w:type="pct"/>
                  <w:vMerge w:val="continue"/>
                  <w:tcBorders>
                    <w:tl2br w:val="nil"/>
                    <w:tr2bl w:val="nil"/>
                  </w:tcBorders>
                  <w:shd w:val="clear" w:color="auto" w:fill="auto"/>
                  <w:vAlign w:val="center"/>
                </w:tcPr>
                <w:p w14:paraId="237EC57F">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508" w:type="pct"/>
                  <w:tcBorders>
                    <w:tl2br w:val="nil"/>
                    <w:tr2bl w:val="nil"/>
                  </w:tcBorders>
                  <w:shd w:val="clear" w:color="auto" w:fill="auto"/>
                  <w:vAlign w:val="center"/>
                </w:tcPr>
                <w:p w14:paraId="2DF83AE5">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无</w:t>
                  </w:r>
                  <w:r>
                    <w:rPr>
                      <w:rFonts w:hint="default" w:ascii="Times New Roman" w:hAnsi="Times New Roman" w:eastAsia="宋体" w:cs="Times New Roman"/>
                      <w:b w:val="0"/>
                      <w:bCs w:val="0"/>
                      <w:color w:val="auto"/>
                      <w:kern w:val="44"/>
                      <w:sz w:val="21"/>
                      <w:szCs w:val="21"/>
                      <w:highlight w:val="none"/>
                      <w:lang w:val="en-US" w:eastAsia="zh-CN" w:bidi="ar-SA"/>
                    </w:rPr>
                    <w:t>组织废气</w:t>
                  </w:r>
                </w:p>
              </w:tc>
              <w:tc>
                <w:tcPr>
                  <w:tcW w:w="775" w:type="dxa"/>
                  <w:tcBorders>
                    <w:tl2br w:val="nil"/>
                    <w:tr2bl w:val="nil"/>
                  </w:tcBorders>
                  <w:shd w:val="clear" w:color="auto" w:fill="auto"/>
                  <w:vAlign w:val="center"/>
                </w:tcPr>
                <w:p w14:paraId="582CDCF4">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0.0067</w:t>
                  </w:r>
                </w:p>
              </w:tc>
            </w:tr>
            <w:tr w14:paraId="3D431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2" w:type="pct"/>
                  <w:vMerge w:val="continue"/>
                  <w:tcBorders>
                    <w:tl2br w:val="nil"/>
                    <w:tr2bl w:val="nil"/>
                  </w:tcBorders>
                  <w:vAlign w:val="center"/>
                </w:tcPr>
                <w:p w14:paraId="6603F21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48" w:type="pct"/>
                  <w:vMerge w:val="continue"/>
                  <w:tcBorders>
                    <w:tl2br w:val="nil"/>
                    <w:tr2bl w:val="nil"/>
                  </w:tcBorders>
                  <w:vAlign w:val="center"/>
                </w:tcPr>
                <w:p w14:paraId="2068F00A">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73" w:type="pct"/>
                  <w:vMerge w:val="continue"/>
                  <w:tcBorders>
                    <w:tl2br w:val="nil"/>
                    <w:tr2bl w:val="nil"/>
                  </w:tcBorders>
                  <w:vAlign w:val="center"/>
                </w:tcPr>
                <w:p w14:paraId="20D24FC5">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889" w:type="pct"/>
                  <w:vMerge w:val="continue"/>
                  <w:tcBorders>
                    <w:tl2br w:val="nil"/>
                    <w:tr2bl w:val="nil"/>
                  </w:tcBorders>
                  <w:vAlign w:val="center"/>
                </w:tcPr>
                <w:p w14:paraId="5E35674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967" w:type="pct"/>
                  <w:vMerge w:val="continue"/>
                  <w:tcBorders>
                    <w:tl2br w:val="nil"/>
                    <w:tr2bl w:val="nil"/>
                  </w:tcBorders>
                  <w:vAlign w:val="center"/>
                </w:tcPr>
                <w:p w14:paraId="38AB7D29">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397" w:type="pct"/>
                  <w:tcBorders>
                    <w:tl2br w:val="nil"/>
                    <w:tr2bl w:val="nil"/>
                  </w:tcBorders>
                  <w:shd w:val="clear" w:color="auto" w:fill="auto"/>
                  <w:vAlign w:val="center"/>
                </w:tcPr>
                <w:p w14:paraId="09A53092">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危废</w:t>
                  </w:r>
                </w:p>
              </w:tc>
              <w:tc>
                <w:tcPr>
                  <w:tcW w:w="508" w:type="pct"/>
                  <w:tcBorders>
                    <w:tl2br w:val="nil"/>
                    <w:tr2bl w:val="nil"/>
                  </w:tcBorders>
                  <w:shd w:val="clear" w:color="auto" w:fill="auto"/>
                  <w:vAlign w:val="center"/>
                </w:tcPr>
                <w:p w14:paraId="7E6690BD">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进入危废</w:t>
                  </w:r>
                </w:p>
              </w:tc>
              <w:tc>
                <w:tcPr>
                  <w:tcW w:w="775" w:type="dxa"/>
                  <w:tcBorders>
                    <w:tl2br w:val="nil"/>
                    <w:tr2bl w:val="nil"/>
                  </w:tcBorders>
                  <w:shd w:val="clear" w:color="auto" w:fill="auto"/>
                  <w:vAlign w:val="center"/>
                </w:tcPr>
                <w:p w14:paraId="1F3D05DF">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0.1146</w:t>
                  </w:r>
                </w:p>
              </w:tc>
            </w:tr>
            <w:tr w14:paraId="4C8FA9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52" w:type="pct"/>
                  <w:vMerge w:val="restart"/>
                  <w:tcBorders>
                    <w:tl2br w:val="nil"/>
                    <w:tr2bl w:val="nil"/>
                  </w:tcBorders>
                  <w:vAlign w:val="center"/>
                </w:tcPr>
                <w:p w14:paraId="3937B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固化</w:t>
                  </w:r>
                </w:p>
              </w:tc>
              <w:tc>
                <w:tcPr>
                  <w:tcW w:w="648" w:type="pct"/>
                  <w:vMerge w:val="restart"/>
                  <w:tcBorders>
                    <w:tl2br w:val="nil"/>
                    <w:tr2bl w:val="nil"/>
                  </w:tcBorders>
                  <w:vAlign w:val="center"/>
                </w:tcPr>
                <w:p w14:paraId="7FB2B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塑粉</w:t>
                  </w:r>
                </w:p>
              </w:tc>
              <w:tc>
                <w:tcPr>
                  <w:tcW w:w="673" w:type="pct"/>
                  <w:vMerge w:val="restart"/>
                  <w:tcBorders>
                    <w:tl2br w:val="nil"/>
                    <w:tr2bl w:val="nil"/>
                  </w:tcBorders>
                  <w:vAlign w:val="center"/>
                </w:tcPr>
                <w:p w14:paraId="5B401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50t</w:t>
                  </w:r>
                </w:p>
              </w:tc>
              <w:tc>
                <w:tcPr>
                  <w:tcW w:w="889" w:type="pct"/>
                  <w:vMerge w:val="restart"/>
                  <w:tcBorders>
                    <w:tl2br w:val="nil"/>
                    <w:tr2bl w:val="nil"/>
                  </w:tcBorders>
                  <w:vAlign w:val="center"/>
                </w:tcPr>
                <w:p w14:paraId="1B606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1.2千克/吨-原料</w:t>
                  </w:r>
                </w:p>
              </w:tc>
              <w:tc>
                <w:tcPr>
                  <w:tcW w:w="967" w:type="pct"/>
                  <w:vMerge w:val="restart"/>
                  <w:tcBorders>
                    <w:tl2br w:val="nil"/>
                    <w:tr2bl w:val="nil"/>
                  </w:tcBorders>
                  <w:vAlign w:val="center"/>
                </w:tcPr>
                <w:p w14:paraId="78D08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0.060</w:t>
                  </w:r>
                </w:p>
              </w:tc>
              <w:tc>
                <w:tcPr>
                  <w:tcW w:w="397" w:type="pct"/>
                  <w:vMerge w:val="restart"/>
                  <w:tcBorders>
                    <w:tl2br w:val="nil"/>
                    <w:tr2bl w:val="nil"/>
                  </w:tcBorders>
                  <w:shd w:val="clear" w:color="auto" w:fill="auto"/>
                  <w:vAlign w:val="center"/>
                </w:tcPr>
                <w:p w14:paraId="5310CA66">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废气</w:t>
                  </w:r>
                </w:p>
              </w:tc>
              <w:tc>
                <w:tcPr>
                  <w:tcW w:w="508" w:type="pct"/>
                  <w:tcBorders>
                    <w:tl2br w:val="nil"/>
                    <w:tr2bl w:val="nil"/>
                  </w:tcBorders>
                  <w:shd w:val="clear" w:color="auto" w:fill="auto"/>
                  <w:vAlign w:val="center"/>
                </w:tcPr>
                <w:p w14:paraId="44382994">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有</w:t>
                  </w:r>
                  <w:r>
                    <w:rPr>
                      <w:rFonts w:hint="default" w:ascii="Times New Roman" w:hAnsi="Times New Roman" w:eastAsia="宋体" w:cs="Times New Roman"/>
                      <w:b w:val="0"/>
                      <w:bCs w:val="0"/>
                      <w:color w:val="auto"/>
                      <w:kern w:val="44"/>
                      <w:sz w:val="21"/>
                      <w:szCs w:val="21"/>
                      <w:highlight w:val="none"/>
                      <w:lang w:val="en-US" w:eastAsia="zh-CN" w:bidi="ar-SA"/>
                    </w:rPr>
                    <w:t>组织废气</w:t>
                  </w:r>
                </w:p>
              </w:tc>
              <w:tc>
                <w:tcPr>
                  <w:tcW w:w="775" w:type="dxa"/>
                  <w:tcBorders>
                    <w:tl2br w:val="nil"/>
                    <w:tr2bl w:val="nil"/>
                  </w:tcBorders>
                  <w:shd w:val="clear" w:color="auto" w:fill="auto"/>
                  <w:vAlign w:val="center"/>
                </w:tcPr>
                <w:p w14:paraId="2C831E5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0.0054</w:t>
                  </w:r>
                </w:p>
              </w:tc>
            </w:tr>
            <w:tr w14:paraId="7DC2D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52" w:type="pct"/>
                  <w:vMerge w:val="continue"/>
                  <w:tcBorders>
                    <w:tl2br w:val="nil"/>
                    <w:tr2bl w:val="nil"/>
                  </w:tcBorders>
                  <w:vAlign w:val="center"/>
                </w:tcPr>
                <w:p w14:paraId="644C1953">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48" w:type="pct"/>
                  <w:vMerge w:val="continue"/>
                  <w:tcBorders>
                    <w:tl2br w:val="nil"/>
                    <w:tr2bl w:val="nil"/>
                  </w:tcBorders>
                  <w:vAlign w:val="center"/>
                </w:tcPr>
                <w:p w14:paraId="0F8D9637">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73" w:type="pct"/>
                  <w:vMerge w:val="continue"/>
                  <w:tcBorders>
                    <w:tl2br w:val="nil"/>
                    <w:tr2bl w:val="nil"/>
                  </w:tcBorders>
                  <w:vAlign w:val="center"/>
                </w:tcPr>
                <w:p w14:paraId="2D2AB8BD">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889" w:type="pct"/>
                  <w:vMerge w:val="continue"/>
                  <w:tcBorders>
                    <w:tl2br w:val="nil"/>
                    <w:tr2bl w:val="nil"/>
                  </w:tcBorders>
                  <w:vAlign w:val="center"/>
                </w:tcPr>
                <w:p w14:paraId="28123CC8">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967" w:type="pct"/>
                  <w:vMerge w:val="continue"/>
                  <w:tcBorders>
                    <w:tl2br w:val="nil"/>
                    <w:tr2bl w:val="nil"/>
                  </w:tcBorders>
                  <w:vAlign w:val="center"/>
                </w:tcPr>
                <w:p w14:paraId="57768F7F">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397" w:type="pct"/>
                  <w:vMerge w:val="continue"/>
                  <w:tcBorders>
                    <w:tl2br w:val="nil"/>
                    <w:tr2bl w:val="nil"/>
                  </w:tcBorders>
                  <w:shd w:val="clear" w:color="auto" w:fill="auto"/>
                  <w:vAlign w:val="center"/>
                </w:tcPr>
                <w:p w14:paraId="4B16C465">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508" w:type="pct"/>
                  <w:tcBorders>
                    <w:tl2br w:val="nil"/>
                    <w:tr2bl w:val="nil"/>
                  </w:tcBorders>
                  <w:shd w:val="clear" w:color="auto" w:fill="auto"/>
                  <w:vAlign w:val="center"/>
                </w:tcPr>
                <w:p w14:paraId="2195E12C">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44"/>
                      <w:sz w:val="21"/>
                      <w:szCs w:val="21"/>
                      <w:highlight w:val="none"/>
                      <w:lang w:val="en-US" w:eastAsia="zh-CN" w:bidi="ar-SA"/>
                    </w:rPr>
                    <w:t>无</w:t>
                  </w:r>
                  <w:r>
                    <w:rPr>
                      <w:rFonts w:hint="default" w:ascii="Times New Roman" w:hAnsi="Times New Roman" w:eastAsia="宋体" w:cs="Times New Roman"/>
                      <w:b w:val="0"/>
                      <w:bCs w:val="0"/>
                      <w:color w:val="auto"/>
                      <w:kern w:val="44"/>
                      <w:sz w:val="21"/>
                      <w:szCs w:val="21"/>
                      <w:highlight w:val="none"/>
                      <w:lang w:val="en-US" w:eastAsia="zh-CN" w:bidi="ar-SA"/>
                    </w:rPr>
                    <w:t>组织废气</w:t>
                  </w:r>
                </w:p>
              </w:tc>
              <w:tc>
                <w:tcPr>
                  <w:tcW w:w="775" w:type="dxa"/>
                  <w:tcBorders>
                    <w:tl2br w:val="nil"/>
                    <w:tr2bl w:val="nil"/>
                  </w:tcBorders>
                  <w:shd w:val="clear" w:color="auto" w:fill="auto"/>
                  <w:vAlign w:val="center"/>
                </w:tcPr>
                <w:p w14:paraId="0533FF52">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0.006</w:t>
                  </w:r>
                </w:p>
              </w:tc>
            </w:tr>
            <w:tr w14:paraId="735D0E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452" w:type="pct"/>
                  <w:vMerge w:val="continue"/>
                  <w:tcBorders>
                    <w:tl2br w:val="nil"/>
                    <w:tr2bl w:val="nil"/>
                  </w:tcBorders>
                  <w:vAlign w:val="center"/>
                </w:tcPr>
                <w:p w14:paraId="77BA6F38">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48" w:type="pct"/>
                  <w:vMerge w:val="continue"/>
                  <w:tcBorders>
                    <w:tl2br w:val="nil"/>
                    <w:tr2bl w:val="nil"/>
                  </w:tcBorders>
                  <w:vAlign w:val="center"/>
                </w:tcPr>
                <w:p w14:paraId="6D4A3A86">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73" w:type="pct"/>
                  <w:vMerge w:val="continue"/>
                  <w:tcBorders>
                    <w:tl2br w:val="nil"/>
                    <w:tr2bl w:val="nil"/>
                  </w:tcBorders>
                  <w:vAlign w:val="center"/>
                </w:tcPr>
                <w:p w14:paraId="791C3DF0">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889" w:type="pct"/>
                  <w:vMerge w:val="continue"/>
                  <w:tcBorders>
                    <w:tl2br w:val="nil"/>
                    <w:tr2bl w:val="nil"/>
                  </w:tcBorders>
                  <w:vAlign w:val="center"/>
                </w:tcPr>
                <w:p w14:paraId="12A8951D">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967" w:type="pct"/>
                  <w:vMerge w:val="continue"/>
                  <w:tcBorders>
                    <w:tl2br w:val="nil"/>
                    <w:tr2bl w:val="nil"/>
                  </w:tcBorders>
                  <w:vAlign w:val="center"/>
                </w:tcPr>
                <w:p w14:paraId="0CF303B8">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397" w:type="pct"/>
                  <w:tcBorders>
                    <w:tl2br w:val="nil"/>
                    <w:tr2bl w:val="nil"/>
                  </w:tcBorders>
                  <w:shd w:val="clear" w:color="auto" w:fill="auto"/>
                  <w:vAlign w:val="center"/>
                </w:tcPr>
                <w:p w14:paraId="0C8849E6">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危废</w:t>
                  </w:r>
                </w:p>
              </w:tc>
              <w:tc>
                <w:tcPr>
                  <w:tcW w:w="508" w:type="pct"/>
                  <w:tcBorders>
                    <w:tl2br w:val="nil"/>
                    <w:tr2bl w:val="nil"/>
                  </w:tcBorders>
                  <w:shd w:val="clear" w:color="auto" w:fill="auto"/>
                  <w:vAlign w:val="center"/>
                </w:tcPr>
                <w:p w14:paraId="478314D0">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44"/>
                      <w:sz w:val="21"/>
                      <w:szCs w:val="21"/>
                      <w:highlight w:val="none"/>
                      <w:lang w:val="en-US" w:eastAsia="zh-CN" w:bidi="ar-SA"/>
                    </w:rPr>
                    <w:t>进入危废</w:t>
                  </w:r>
                </w:p>
              </w:tc>
              <w:tc>
                <w:tcPr>
                  <w:tcW w:w="775" w:type="dxa"/>
                  <w:tcBorders>
                    <w:tl2br w:val="nil"/>
                    <w:tr2bl w:val="nil"/>
                  </w:tcBorders>
                  <w:shd w:val="clear" w:color="auto" w:fill="auto"/>
                  <w:vAlign w:val="center"/>
                </w:tcPr>
                <w:p w14:paraId="0871B13F">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44"/>
                      <w:sz w:val="21"/>
                      <w:szCs w:val="21"/>
                      <w:highlight w:val="none"/>
                      <w:lang w:val="en-US" w:eastAsia="zh-CN" w:bidi="ar-SA"/>
                    </w:rPr>
                    <w:t>0.0486</w:t>
                  </w:r>
                </w:p>
              </w:tc>
            </w:tr>
            <w:tr w14:paraId="37E05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2" w:type="pct"/>
                  <w:tcBorders>
                    <w:tl2br w:val="nil"/>
                    <w:tr2bl w:val="nil"/>
                  </w:tcBorders>
                  <w:vAlign w:val="center"/>
                </w:tcPr>
                <w:p w14:paraId="77864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c>
                <w:tcPr>
                  <w:tcW w:w="2211" w:type="pct"/>
                  <w:gridSpan w:val="3"/>
                  <w:tcBorders>
                    <w:tl2br w:val="nil"/>
                    <w:tr2bl w:val="nil"/>
                  </w:tcBorders>
                  <w:vAlign w:val="center"/>
                </w:tcPr>
                <w:p w14:paraId="5967B4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67" w:type="pct"/>
                  <w:tcBorders>
                    <w:tl2br w:val="nil"/>
                    <w:tr2bl w:val="nil"/>
                  </w:tcBorders>
                  <w:vAlign w:val="center"/>
                </w:tcPr>
                <w:p w14:paraId="056B2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0.194</w:t>
                  </w:r>
                </w:p>
              </w:tc>
              <w:tc>
                <w:tcPr>
                  <w:tcW w:w="397" w:type="pct"/>
                  <w:tcBorders>
                    <w:tl2br w:val="nil"/>
                    <w:tr2bl w:val="nil"/>
                  </w:tcBorders>
                  <w:shd w:val="clear" w:color="auto" w:fill="auto"/>
                  <w:vAlign w:val="center"/>
                </w:tcPr>
                <w:p w14:paraId="42217957">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71" w:type="pct"/>
                  <w:gridSpan w:val="2"/>
                  <w:tcBorders>
                    <w:tl2br w:val="nil"/>
                    <w:tr2bl w:val="nil"/>
                  </w:tcBorders>
                  <w:shd w:val="clear" w:color="auto" w:fill="auto"/>
                  <w:vAlign w:val="center"/>
                </w:tcPr>
                <w:p w14:paraId="7E4EE54B">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0.194</w:t>
                  </w:r>
                </w:p>
              </w:tc>
            </w:tr>
          </w:tbl>
          <w:p w14:paraId="7E414E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氟元素</w:t>
            </w:r>
            <w:r>
              <w:rPr>
                <w:rFonts w:hint="default" w:ascii="Times New Roman" w:hAnsi="Times New Roman" w:eastAsia="宋体" w:cs="Times New Roman"/>
                <w:b w:val="0"/>
                <w:bCs/>
                <w:color w:val="auto"/>
                <w:sz w:val="24"/>
                <w:highlight w:val="none"/>
                <w:lang w:val="en-US" w:eastAsia="zh-CN"/>
              </w:rPr>
              <w:t>平衡</w:t>
            </w:r>
          </w:p>
          <w:p w14:paraId="112DB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表2-</w:t>
            </w:r>
            <w:r>
              <w:rPr>
                <w:rFonts w:hint="eastAsia"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lang w:val="en-US" w:eastAsia="zh-CN"/>
              </w:rPr>
              <w:t>氟元素平衡表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083"/>
              <w:gridCol w:w="1126"/>
              <w:gridCol w:w="1486"/>
              <w:gridCol w:w="1616"/>
              <w:gridCol w:w="664"/>
              <w:gridCol w:w="1624"/>
            </w:tblGrid>
            <w:tr w14:paraId="6A4A14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30" w:type="pct"/>
                  <w:gridSpan w:val="5"/>
                  <w:tcBorders>
                    <w:tl2br w:val="nil"/>
                    <w:tr2bl w:val="nil"/>
                  </w:tcBorders>
                  <w:shd w:val="clear" w:color="auto" w:fill="auto"/>
                  <w:vAlign w:val="center"/>
                </w:tcPr>
                <w:p w14:paraId="70DC6462">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入方</w:t>
                  </w:r>
                </w:p>
              </w:tc>
              <w:tc>
                <w:tcPr>
                  <w:tcW w:w="1369" w:type="pct"/>
                  <w:gridSpan w:val="2"/>
                  <w:tcBorders>
                    <w:tl2br w:val="nil"/>
                    <w:tr2bl w:val="nil"/>
                  </w:tcBorders>
                  <w:shd w:val="clear" w:color="auto" w:fill="auto"/>
                  <w:vAlign w:val="center"/>
                </w:tcPr>
                <w:p w14:paraId="55C9091A">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出方</w:t>
                  </w:r>
                </w:p>
              </w:tc>
            </w:tr>
            <w:tr w14:paraId="68AA2B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2" w:type="pct"/>
                  <w:tcBorders>
                    <w:tl2br w:val="nil"/>
                    <w:tr2bl w:val="nil"/>
                  </w:tcBorders>
                  <w:vAlign w:val="center"/>
                </w:tcPr>
                <w:p w14:paraId="1B9AB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生产工序</w:t>
                  </w:r>
                </w:p>
              </w:tc>
              <w:tc>
                <w:tcPr>
                  <w:tcW w:w="648" w:type="pct"/>
                  <w:tcBorders>
                    <w:tl2br w:val="nil"/>
                    <w:tr2bl w:val="nil"/>
                  </w:tcBorders>
                  <w:vAlign w:val="center"/>
                </w:tcPr>
                <w:p w14:paraId="2A4E5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原料名称</w:t>
                  </w:r>
                </w:p>
              </w:tc>
              <w:tc>
                <w:tcPr>
                  <w:tcW w:w="673" w:type="pct"/>
                  <w:tcBorders>
                    <w:tl2br w:val="nil"/>
                    <w:tr2bl w:val="nil"/>
                  </w:tcBorders>
                  <w:vAlign w:val="center"/>
                </w:tcPr>
                <w:p w14:paraId="53756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原料用量</w:t>
                  </w:r>
                </w:p>
              </w:tc>
              <w:tc>
                <w:tcPr>
                  <w:tcW w:w="889" w:type="pct"/>
                  <w:tcBorders>
                    <w:tl2br w:val="nil"/>
                    <w:tr2bl w:val="nil"/>
                  </w:tcBorders>
                  <w:shd w:val="clear" w:color="auto" w:fill="auto"/>
                  <w:vAlign w:val="center"/>
                </w:tcPr>
                <w:p w14:paraId="0D53F6F9">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含量成分</w:t>
                  </w:r>
                </w:p>
              </w:tc>
              <w:tc>
                <w:tcPr>
                  <w:tcW w:w="967" w:type="pct"/>
                  <w:tcBorders>
                    <w:tl2br w:val="nil"/>
                    <w:tr2bl w:val="nil"/>
                  </w:tcBorders>
                  <w:shd w:val="clear" w:color="auto" w:fill="auto"/>
                  <w:vAlign w:val="center"/>
                </w:tcPr>
                <w:p w14:paraId="01714A28">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w:t>
                  </w:r>
                  <w:r>
                    <w:rPr>
                      <w:rFonts w:hint="eastAsia" w:ascii="Times New Roman" w:hAnsi="Times New Roman" w:eastAsia="宋体" w:cs="Times New Roman"/>
                      <w:b/>
                      <w:bCs/>
                      <w:color w:val="auto"/>
                      <w:sz w:val="21"/>
                      <w:szCs w:val="21"/>
                      <w:highlight w:val="none"/>
                      <w:lang w:val="en-US" w:eastAsia="zh-CN"/>
                    </w:rPr>
                    <w:t>氟</w:t>
                  </w:r>
                  <w:r>
                    <w:rPr>
                      <w:rFonts w:hint="default" w:ascii="Times New Roman" w:hAnsi="Times New Roman" w:eastAsia="宋体" w:cs="Times New Roman"/>
                      <w:b/>
                      <w:bCs/>
                      <w:color w:val="auto"/>
                      <w:sz w:val="21"/>
                      <w:szCs w:val="21"/>
                      <w:highlight w:val="none"/>
                      <w:lang w:val="en-US" w:eastAsia="zh-CN"/>
                    </w:rPr>
                    <w:t>量</w:t>
                  </w:r>
                  <w:r>
                    <w:rPr>
                      <w:rFonts w:hint="eastAsia" w:ascii="Times New Roman" w:hAnsi="Times New Roman" w:eastAsia="宋体" w:cs="Times New Roman"/>
                      <w:b/>
                      <w:bCs/>
                      <w:color w:val="auto"/>
                      <w:sz w:val="21"/>
                      <w:szCs w:val="21"/>
                      <w:highlight w:val="none"/>
                      <w:lang w:val="en-US" w:eastAsia="zh-CN"/>
                    </w:rPr>
                    <w:t>（t）</w:t>
                  </w:r>
                </w:p>
              </w:tc>
              <w:tc>
                <w:tcPr>
                  <w:tcW w:w="397" w:type="pct"/>
                  <w:tcBorders>
                    <w:tl2br w:val="nil"/>
                    <w:tr2bl w:val="nil"/>
                  </w:tcBorders>
                  <w:shd w:val="clear" w:color="auto" w:fill="auto"/>
                  <w:vAlign w:val="center"/>
                </w:tcPr>
                <w:p w14:paraId="2AAB0467">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去向</w:t>
                  </w:r>
                </w:p>
              </w:tc>
              <w:tc>
                <w:tcPr>
                  <w:tcW w:w="971" w:type="pct"/>
                  <w:tcBorders>
                    <w:tl2br w:val="nil"/>
                    <w:tr2bl w:val="nil"/>
                  </w:tcBorders>
                  <w:shd w:val="clear" w:color="auto" w:fill="auto"/>
                  <w:vAlign w:val="center"/>
                </w:tcPr>
                <w:p w14:paraId="446E5193">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w:t>
                  </w:r>
                  <w:r>
                    <w:rPr>
                      <w:rFonts w:hint="eastAsia" w:ascii="Times New Roman" w:hAnsi="Times New Roman" w:eastAsia="宋体" w:cs="Times New Roman"/>
                      <w:b/>
                      <w:bCs/>
                      <w:color w:val="auto"/>
                      <w:sz w:val="21"/>
                      <w:szCs w:val="21"/>
                      <w:highlight w:val="none"/>
                      <w:lang w:val="en-US" w:eastAsia="zh-CN"/>
                    </w:rPr>
                    <w:t>氟</w:t>
                  </w:r>
                  <w:r>
                    <w:rPr>
                      <w:rFonts w:hint="default" w:ascii="Times New Roman" w:hAnsi="Times New Roman" w:eastAsia="宋体" w:cs="Times New Roman"/>
                      <w:b/>
                      <w:bCs/>
                      <w:color w:val="auto"/>
                      <w:sz w:val="21"/>
                      <w:szCs w:val="21"/>
                      <w:highlight w:val="none"/>
                      <w:lang w:val="en-US" w:eastAsia="zh-CN"/>
                    </w:rPr>
                    <w:t>量</w:t>
                  </w:r>
                  <w:r>
                    <w:rPr>
                      <w:rFonts w:hint="eastAsia" w:ascii="Times New Roman" w:hAnsi="Times New Roman" w:eastAsia="宋体" w:cs="Times New Roman"/>
                      <w:b/>
                      <w:bCs/>
                      <w:color w:val="auto"/>
                      <w:sz w:val="21"/>
                      <w:szCs w:val="21"/>
                      <w:highlight w:val="none"/>
                      <w:lang w:val="en-US" w:eastAsia="zh-CN"/>
                    </w:rPr>
                    <w:t>（t）</w:t>
                  </w:r>
                </w:p>
              </w:tc>
            </w:tr>
            <w:tr w14:paraId="63ACE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2" w:type="pct"/>
                  <w:vMerge w:val="restart"/>
                  <w:tcBorders>
                    <w:tl2br w:val="nil"/>
                    <w:tr2bl w:val="nil"/>
                  </w:tcBorders>
                  <w:vAlign w:val="center"/>
                </w:tcPr>
                <w:p w14:paraId="34C5F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硅烷化</w:t>
                  </w:r>
                </w:p>
              </w:tc>
              <w:tc>
                <w:tcPr>
                  <w:tcW w:w="648" w:type="pct"/>
                  <w:vMerge w:val="restart"/>
                  <w:tcBorders>
                    <w:tl2br w:val="nil"/>
                    <w:tr2bl w:val="nil"/>
                  </w:tcBorders>
                  <w:vAlign w:val="center"/>
                </w:tcPr>
                <w:p w14:paraId="60EA1F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 硅烷处理剂</w:t>
                  </w:r>
                </w:p>
              </w:tc>
              <w:tc>
                <w:tcPr>
                  <w:tcW w:w="673" w:type="pct"/>
                  <w:vMerge w:val="restart"/>
                  <w:tcBorders>
                    <w:tl2br w:val="nil"/>
                    <w:tr2bl w:val="nil"/>
                  </w:tcBorders>
                  <w:vAlign w:val="center"/>
                </w:tcPr>
                <w:p w14:paraId="496E3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0.4t</w:t>
                  </w:r>
                </w:p>
              </w:tc>
              <w:tc>
                <w:tcPr>
                  <w:tcW w:w="889" w:type="pct"/>
                  <w:vMerge w:val="restart"/>
                  <w:tcBorders>
                    <w:tl2br w:val="nil"/>
                    <w:tr2bl w:val="nil"/>
                  </w:tcBorders>
                  <w:vAlign w:val="center"/>
                </w:tcPr>
                <w:p w14:paraId="32E61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氟锆酸以10%计</w:t>
                  </w:r>
                </w:p>
              </w:tc>
              <w:tc>
                <w:tcPr>
                  <w:tcW w:w="967" w:type="pct"/>
                  <w:vMerge w:val="restart"/>
                  <w:tcBorders>
                    <w:tl2br w:val="nil"/>
                    <w:tr2bl w:val="nil"/>
                  </w:tcBorders>
                  <w:vAlign w:val="center"/>
                </w:tcPr>
                <w:p w14:paraId="1A341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0.02</w:t>
                  </w:r>
                </w:p>
              </w:tc>
              <w:tc>
                <w:tcPr>
                  <w:tcW w:w="397" w:type="pct"/>
                  <w:tcBorders>
                    <w:tl2br w:val="nil"/>
                    <w:tr2bl w:val="nil"/>
                  </w:tcBorders>
                  <w:shd w:val="clear" w:color="auto" w:fill="auto"/>
                  <w:vAlign w:val="center"/>
                </w:tcPr>
                <w:p w14:paraId="77ECA8AE">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w:t>
                  </w:r>
                  <w:r>
                    <w:rPr>
                      <w:rFonts w:hint="eastAsia" w:ascii="Times New Roman" w:hAnsi="Times New Roman" w:eastAsia="宋体" w:cs="Times New Roman"/>
                      <w:b w:val="0"/>
                      <w:bCs w:val="0"/>
                      <w:color w:val="auto"/>
                      <w:sz w:val="21"/>
                      <w:szCs w:val="21"/>
                      <w:highlight w:val="none"/>
                      <w:lang w:val="en-US" w:eastAsia="zh-CN"/>
                    </w:rPr>
                    <w:t>水</w:t>
                  </w:r>
                </w:p>
              </w:tc>
              <w:tc>
                <w:tcPr>
                  <w:tcW w:w="971" w:type="pct"/>
                  <w:tcBorders>
                    <w:tl2br w:val="nil"/>
                    <w:tr2bl w:val="nil"/>
                  </w:tcBorders>
                  <w:shd w:val="clear" w:color="auto" w:fill="auto"/>
                  <w:vAlign w:val="center"/>
                </w:tcPr>
                <w:p w14:paraId="3363F713">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0（工业废水零排放）</w:t>
                  </w:r>
                </w:p>
              </w:tc>
            </w:tr>
            <w:tr w14:paraId="0C7D64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52" w:type="pct"/>
                  <w:vMerge w:val="continue"/>
                  <w:tcBorders>
                    <w:tl2br w:val="nil"/>
                    <w:tr2bl w:val="nil"/>
                  </w:tcBorders>
                  <w:vAlign w:val="center"/>
                </w:tcPr>
                <w:p w14:paraId="01484FC6">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48" w:type="pct"/>
                  <w:vMerge w:val="continue"/>
                  <w:tcBorders>
                    <w:tl2br w:val="nil"/>
                    <w:tr2bl w:val="nil"/>
                  </w:tcBorders>
                  <w:vAlign w:val="center"/>
                </w:tcPr>
                <w:p w14:paraId="55F23F4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673" w:type="pct"/>
                  <w:vMerge w:val="continue"/>
                  <w:tcBorders>
                    <w:tl2br w:val="nil"/>
                    <w:tr2bl w:val="nil"/>
                  </w:tcBorders>
                  <w:vAlign w:val="center"/>
                </w:tcPr>
                <w:p w14:paraId="52B37481">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889" w:type="pct"/>
                  <w:vMerge w:val="continue"/>
                  <w:tcBorders>
                    <w:tl2br w:val="nil"/>
                    <w:tr2bl w:val="nil"/>
                  </w:tcBorders>
                  <w:vAlign w:val="center"/>
                </w:tcPr>
                <w:p w14:paraId="55F90344">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967" w:type="pct"/>
                  <w:vMerge w:val="continue"/>
                  <w:tcBorders>
                    <w:tl2br w:val="nil"/>
                    <w:tr2bl w:val="nil"/>
                  </w:tcBorders>
                  <w:vAlign w:val="center"/>
                </w:tcPr>
                <w:p w14:paraId="17AEB664">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highlight w:val="none"/>
                    </w:rPr>
                  </w:pPr>
                </w:p>
              </w:tc>
              <w:tc>
                <w:tcPr>
                  <w:tcW w:w="397" w:type="pct"/>
                  <w:tcBorders>
                    <w:tl2br w:val="nil"/>
                    <w:tr2bl w:val="nil"/>
                  </w:tcBorders>
                  <w:shd w:val="clear" w:color="auto" w:fill="auto"/>
                  <w:vAlign w:val="center"/>
                </w:tcPr>
                <w:p w14:paraId="086E2CE0">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Theme="minor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污泥</w:t>
                  </w:r>
                </w:p>
              </w:tc>
              <w:tc>
                <w:tcPr>
                  <w:tcW w:w="971" w:type="pct"/>
                  <w:tcBorders>
                    <w:tl2br w:val="nil"/>
                    <w:tr2bl w:val="nil"/>
                  </w:tcBorders>
                  <w:shd w:val="clear" w:color="auto" w:fill="auto"/>
                  <w:vAlign w:val="center"/>
                </w:tcPr>
                <w:p w14:paraId="3A9A92AC">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0.02</w:t>
                  </w:r>
                </w:p>
              </w:tc>
            </w:tr>
            <w:tr w14:paraId="252F6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2" w:type="pct"/>
                  <w:tcBorders>
                    <w:tl2br w:val="nil"/>
                    <w:tr2bl w:val="nil"/>
                  </w:tcBorders>
                  <w:vAlign w:val="center"/>
                </w:tcPr>
                <w:p w14:paraId="0A4E0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c>
                <w:tcPr>
                  <w:tcW w:w="2211" w:type="pct"/>
                  <w:gridSpan w:val="3"/>
                  <w:tcBorders>
                    <w:tl2br w:val="nil"/>
                    <w:tr2bl w:val="nil"/>
                  </w:tcBorders>
                  <w:vAlign w:val="center"/>
                </w:tcPr>
                <w:p w14:paraId="22922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67" w:type="pct"/>
                  <w:tcBorders>
                    <w:tl2br w:val="nil"/>
                    <w:tr2bl w:val="nil"/>
                  </w:tcBorders>
                  <w:vAlign w:val="center"/>
                </w:tcPr>
                <w:p w14:paraId="2D7648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0.02</w:t>
                  </w:r>
                </w:p>
              </w:tc>
              <w:tc>
                <w:tcPr>
                  <w:tcW w:w="397" w:type="pct"/>
                  <w:tcBorders>
                    <w:tl2br w:val="nil"/>
                    <w:tr2bl w:val="nil"/>
                  </w:tcBorders>
                  <w:shd w:val="clear" w:color="auto" w:fill="auto"/>
                  <w:vAlign w:val="center"/>
                </w:tcPr>
                <w:p w14:paraId="2F367859">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971" w:type="pct"/>
                  <w:tcBorders>
                    <w:tl2br w:val="nil"/>
                    <w:tr2bl w:val="nil"/>
                  </w:tcBorders>
                  <w:shd w:val="clear" w:color="auto" w:fill="auto"/>
                  <w:vAlign w:val="center"/>
                </w:tcPr>
                <w:p w14:paraId="3B56CB2A">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0.02</w:t>
                  </w:r>
                </w:p>
              </w:tc>
            </w:tr>
            <w:tr w14:paraId="244E0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7"/>
                  <w:tcBorders>
                    <w:tl2br w:val="nil"/>
                    <w:tr2bl w:val="nil"/>
                  </w:tcBorders>
                  <w:vAlign w:val="center"/>
                </w:tcPr>
                <w:p w14:paraId="35856AD7">
                  <w:pPr>
                    <w:pStyle w:val="51"/>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注：</w:t>
                  </w:r>
                  <w:r>
                    <w:rPr>
                      <w:rFonts w:hint="default" w:ascii="Times New Roman" w:hAnsi="Times New Roman" w:eastAsia="宋体" w:cs="Times New Roman"/>
                      <w:b w:val="0"/>
                      <w:bCs/>
                      <w:color w:val="auto"/>
                      <w:sz w:val="21"/>
                      <w:szCs w:val="21"/>
                      <w:highlight w:val="none"/>
                      <w:lang w:val="en-US" w:eastAsia="zh-CN"/>
                    </w:rPr>
                    <w:t>根据氟锆酸</w:t>
                  </w:r>
                  <w:r>
                    <w:rPr>
                      <w:rFonts w:hint="eastAsia" w:ascii="Times New Roman" w:hAnsi="Times New Roman" w:eastAsia="宋体" w:cs="Times New Roman"/>
                      <w:b w:val="0"/>
                      <w:bCs/>
                      <w:color w:val="auto"/>
                      <w:sz w:val="21"/>
                      <w:szCs w:val="21"/>
                      <w:highlight w:val="none"/>
                      <w:lang w:val="en-US" w:eastAsia="zh-CN"/>
                    </w:rPr>
                    <w:t>的</w:t>
                  </w:r>
                  <w:r>
                    <w:rPr>
                      <w:rFonts w:hint="default" w:ascii="Times New Roman" w:hAnsi="Times New Roman" w:eastAsia="宋体" w:cs="Times New Roman"/>
                      <w:b w:val="0"/>
                      <w:bCs/>
                      <w:color w:val="auto"/>
                      <w:sz w:val="21"/>
                      <w:szCs w:val="21"/>
                      <w:highlight w:val="none"/>
                      <w:lang w:val="en-US" w:eastAsia="zh-CN"/>
                    </w:rPr>
                    <w:t>分子式，硅烷化过程氟元素主要以氟离子形式存在，因此含氟量为</w:t>
                  </w:r>
                  <w:r>
                    <w:rPr>
                      <w:rFonts w:hint="eastAsia" w:ascii="Times New Roman" w:hAnsi="Times New Roman" w:eastAsia="宋体" w:cs="Times New Roman"/>
                      <w:b w:val="0"/>
                      <w:bCs/>
                      <w:color w:val="auto"/>
                      <w:sz w:val="21"/>
                      <w:szCs w:val="21"/>
                      <w:highlight w:val="none"/>
                      <w:lang w:val="en-US" w:eastAsia="zh-CN"/>
                    </w:rPr>
                    <w:t>0.4</w:t>
                  </w:r>
                  <w:r>
                    <w:rPr>
                      <w:rFonts w:hint="default" w:ascii="Times New Roman" w:hAnsi="Times New Roman" w:eastAsia="宋体" w:cs="Times New Roman"/>
                      <w:b w:val="0"/>
                      <w:bCs/>
                      <w:color w:val="auto"/>
                      <w:sz w:val="21"/>
                      <w:szCs w:val="21"/>
                      <w:highlight w:val="none"/>
                      <w:lang w:val="en-US" w:eastAsia="zh-CN"/>
                    </w:rPr>
                    <w:t>*0.</w:t>
                  </w:r>
                  <w:r>
                    <w:rPr>
                      <w:rFonts w:hint="eastAsia"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*（114/207.23</w:t>
                  </w:r>
                  <w:r>
                    <w:rPr>
                      <w:rFonts w:hint="eastAsia"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0.02</w:t>
                  </w:r>
                  <w:r>
                    <w:rPr>
                      <w:rFonts w:hint="default" w:ascii="Times New Roman" w:hAnsi="Times New Roman" w:eastAsia="宋体" w:cs="Times New Roman"/>
                      <w:b w:val="0"/>
                      <w:bCs/>
                      <w:color w:val="auto"/>
                      <w:sz w:val="21"/>
                      <w:szCs w:val="21"/>
                      <w:highlight w:val="none"/>
                      <w:lang w:val="en-US" w:eastAsia="zh-CN"/>
                    </w:rPr>
                    <w:t>t，根据硅烷化原理，氟元素主要以氟离子的形式存在于硅烷化槽体内，最终进入污泥中。</w:t>
                  </w:r>
                </w:p>
              </w:tc>
            </w:tr>
          </w:tbl>
          <w:p w14:paraId="5B3B7904">
            <w:pPr>
              <w:pStyle w:val="53"/>
              <w:spacing w:line="360" w:lineRule="auto"/>
              <w:ind w:right="13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本项目主体、公用及辅助工程</w:t>
            </w:r>
            <w:r>
              <w:rPr>
                <w:rFonts w:hint="default" w:ascii="Times New Roman" w:hAnsi="Times New Roman" w:eastAsia="宋体" w:cs="Times New Roman"/>
                <w:color w:val="auto"/>
                <w:spacing w:val="-2"/>
                <w:sz w:val="24"/>
                <w:highlight w:val="none"/>
              </w:rPr>
              <w:t>组成详见表2-</w:t>
            </w:r>
            <w:r>
              <w:rPr>
                <w:rFonts w:hint="eastAsia" w:ascii="Times New Roman" w:hAnsi="Times New Roman" w:eastAsia="宋体" w:cs="Times New Roman"/>
                <w:color w:val="auto"/>
                <w:spacing w:val="-2"/>
                <w:sz w:val="24"/>
                <w:highlight w:val="none"/>
                <w:lang w:val="en-US" w:eastAsia="zh-CN"/>
              </w:rPr>
              <w:t>9</w:t>
            </w:r>
            <w:r>
              <w:rPr>
                <w:rFonts w:hint="default" w:ascii="Times New Roman" w:hAnsi="Times New Roman" w:eastAsia="宋体" w:cs="Times New Roman"/>
                <w:color w:val="auto"/>
                <w:spacing w:val="-2"/>
                <w:sz w:val="24"/>
                <w:highlight w:val="none"/>
              </w:rPr>
              <w:t>。</w:t>
            </w:r>
          </w:p>
          <w:p w14:paraId="0612BD22">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 xml:space="preserve">  项目主体、公用、辅助及环保工程情况表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22"/>
              <w:gridCol w:w="1193"/>
              <w:gridCol w:w="1427"/>
              <w:gridCol w:w="2816"/>
              <w:gridCol w:w="918"/>
            </w:tblGrid>
            <w:tr w14:paraId="33A37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trPr>
              <w:tc>
                <w:tcPr>
                  <w:tcW w:w="465" w:type="pct"/>
                  <w:tcBorders>
                    <w:tl2br w:val="nil"/>
                    <w:tr2bl w:val="nil"/>
                  </w:tcBorders>
                  <w:vAlign w:val="center"/>
                </w:tcPr>
                <w:p w14:paraId="1ABB68AB">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1445" w:type="pct"/>
                  <w:gridSpan w:val="2"/>
                  <w:tcBorders>
                    <w:tl2br w:val="nil"/>
                    <w:tr2bl w:val="nil"/>
                  </w:tcBorders>
                  <w:vAlign w:val="center"/>
                </w:tcPr>
                <w:p w14:paraId="5BAA4ED6">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建设名称</w:t>
                  </w:r>
                </w:p>
              </w:tc>
              <w:tc>
                <w:tcPr>
                  <w:tcW w:w="854" w:type="pct"/>
                  <w:tcBorders>
                    <w:tl2br w:val="nil"/>
                    <w:tr2bl w:val="nil"/>
                  </w:tcBorders>
                  <w:vAlign w:val="center"/>
                </w:tcPr>
                <w:p w14:paraId="6635F88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设计能力</w:t>
                  </w:r>
                </w:p>
              </w:tc>
              <w:tc>
                <w:tcPr>
                  <w:tcW w:w="1685" w:type="pct"/>
                  <w:tcBorders>
                    <w:tl2br w:val="nil"/>
                    <w:tr2bl w:val="nil"/>
                  </w:tcBorders>
                  <w:vAlign w:val="center"/>
                </w:tcPr>
                <w:p w14:paraId="4A238F9D">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工程内容</w:t>
                  </w:r>
                </w:p>
              </w:tc>
              <w:tc>
                <w:tcPr>
                  <w:tcW w:w="549" w:type="pct"/>
                  <w:tcBorders>
                    <w:tl2br w:val="nil"/>
                    <w:tr2bl w:val="nil"/>
                  </w:tcBorders>
                  <w:vAlign w:val="center"/>
                </w:tcPr>
                <w:p w14:paraId="6B0415DC">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备注</w:t>
                  </w:r>
                </w:p>
              </w:tc>
            </w:tr>
            <w:tr w14:paraId="42D85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restart"/>
                  <w:tcBorders>
                    <w:tl2br w:val="nil"/>
                    <w:tr2bl w:val="nil"/>
                  </w:tcBorders>
                  <w:vAlign w:val="center"/>
                </w:tcPr>
                <w:p w14:paraId="18D8250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1445" w:type="pct"/>
                  <w:gridSpan w:val="2"/>
                  <w:tcBorders>
                    <w:tl2br w:val="nil"/>
                    <w:tr2bl w:val="nil"/>
                  </w:tcBorders>
                  <w:vAlign w:val="center"/>
                </w:tcPr>
                <w:p w14:paraId="4955D38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生产车间</w:t>
                  </w:r>
                </w:p>
              </w:tc>
              <w:tc>
                <w:tcPr>
                  <w:tcW w:w="854" w:type="pct"/>
                  <w:tcBorders>
                    <w:tl2br w:val="nil"/>
                    <w:tr2bl w:val="nil"/>
                  </w:tcBorders>
                  <w:vAlign w:val="center"/>
                </w:tcPr>
                <w:p w14:paraId="61054C5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建筑面积约</w:t>
                  </w:r>
                  <w:r>
                    <w:rPr>
                      <w:rFonts w:hint="eastAsia" w:ascii="Times New Roman" w:hAnsi="Times New Roman" w:eastAsia="宋体" w:cs="Times New Roman"/>
                      <w:color w:val="auto"/>
                      <w:szCs w:val="21"/>
                      <w:highlight w:val="none"/>
                      <w:lang w:val="en-US" w:eastAsia="zh-CN"/>
                    </w:rPr>
                    <w:t>4523.17m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77D6276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包括下料</w:t>
                  </w:r>
                  <w:r>
                    <w:rPr>
                      <w:rFonts w:hint="eastAsia" w:ascii="Times New Roman" w:hAnsi="Times New Roman" w:eastAsia="宋体" w:cs="Times New Roman"/>
                      <w:color w:val="auto"/>
                      <w:szCs w:val="21"/>
                      <w:highlight w:val="none"/>
                      <w:lang w:val="en-US" w:eastAsia="zh-CN"/>
                    </w:rPr>
                    <w:t>区、</w:t>
                  </w:r>
                  <w:r>
                    <w:rPr>
                      <w:rFonts w:hint="default" w:ascii="Times New Roman" w:hAnsi="Times New Roman" w:eastAsia="宋体" w:cs="Times New Roman"/>
                      <w:color w:val="auto"/>
                      <w:szCs w:val="21"/>
                      <w:highlight w:val="none"/>
                      <w:lang w:val="en-US" w:eastAsia="zh-CN"/>
                    </w:rPr>
                    <w:t>造型</w:t>
                  </w:r>
                  <w:r>
                    <w:rPr>
                      <w:rFonts w:hint="eastAsia" w:ascii="Times New Roman" w:hAnsi="Times New Roman" w:eastAsia="宋体" w:cs="Times New Roman"/>
                      <w:color w:val="auto"/>
                      <w:szCs w:val="21"/>
                      <w:highlight w:val="none"/>
                      <w:lang w:val="en-US" w:eastAsia="zh-CN"/>
                    </w:rPr>
                    <w:t>区、</w:t>
                  </w:r>
                  <w:r>
                    <w:rPr>
                      <w:rFonts w:hint="default" w:ascii="Times New Roman" w:hAnsi="Times New Roman" w:eastAsia="宋体" w:cs="Times New Roman"/>
                      <w:color w:val="auto"/>
                      <w:szCs w:val="21"/>
                      <w:highlight w:val="none"/>
                      <w:lang w:val="en-US" w:eastAsia="zh-CN"/>
                    </w:rPr>
                    <w:t>检验</w:t>
                  </w:r>
                  <w:r>
                    <w:rPr>
                      <w:rFonts w:hint="eastAsia" w:ascii="Times New Roman" w:hAnsi="Times New Roman" w:eastAsia="宋体" w:cs="Times New Roman"/>
                      <w:color w:val="auto"/>
                      <w:szCs w:val="21"/>
                      <w:highlight w:val="none"/>
                      <w:lang w:val="en-US" w:eastAsia="zh-CN"/>
                    </w:rPr>
                    <w:t>区、</w:t>
                  </w:r>
                  <w:r>
                    <w:rPr>
                      <w:rFonts w:hint="default" w:ascii="Times New Roman" w:hAnsi="Times New Roman" w:eastAsia="宋体" w:cs="Times New Roman"/>
                      <w:color w:val="auto"/>
                      <w:szCs w:val="21"/>
                      <w:highlight w:val="none"/>
                      <w:lang w:val="en-US" w:eastAsia="zh-CN"/>
                    </w:rPr>
                    <w:t>焊接</w:t>
                  </w:r>
                  <w:r>
                    <w:rPr>
                      <w:rFonts w:hint="eastAsia" w:ascii="Times New Roman" w:hAnsi="Times New Roman" w:eastAsia="宋体" w:cs="Times New Roman"/>
                      <w:color w:val="auto"/>
                      <w:szCs w:val="21"/>
                      <w:highlight w:val="none"/>
                      <w:lang w:val="en-US" w:eastAsia="zh-CN"/>
                    </w:rPr>
                    <w:t>区、</w:t>
                  </w:r>
                  <w:r>
                    <w:rPr>
                      <w:rFonts w:hint="default" w:ascii="Times New Roman" w:hAnsi="Times New Roman" w:eastAsia="宋体" w:cs="Times New Roman"/>
                      <w:color w:val="auto"/>
                      <w:szCs w:val="21"/>
                      <w:highlight w:val="none"/>
                      <w:lang w:val="en-US" w:eastAsia="zh-CN"/>
                    </w:rPr>
                    <w:t>打磨</w:t>
                  </w:r>
                  <w:r>
                    <w:rPr>
                      <w:rFonts w:hint="eastAsia" w:ascii="Times New Roman" w:hAnsi="Times New Roman" w:eastAsia="宋体" w:cs="Times New Roman"/>
                      <w:color w:val="auto"/>
                      <w:szCs w:val="21"/>
                      <w:highlight w:val="none"/>
                      <w:lang w:val="en-US" w:eastAsia="zh-CN"/>
                    </w:rPr>
                    <w:t>室、喷砂室、喷涂线</w:t>
                  </w:r>
                  <w:r>
                    <w:rPr>
                      <w:rFonts w:hint="default" w:ascii="Times New Roman" w:hAnsi="Times New Roman" w:eastAsia="宋体" w:cs="Times New Roman"/>
                      <w:color w:val="auto"/>
                      <w:szCs w:val="21"/>
                      <w:highlight w:val="none"/>
                      <w:lang w:val="en-US" w:eastAsia="zh-CN"/>
                    </w:rPr>
                    <w:t>等</w:t>
                  </w:r>
                  <w:r>
                    <w:rPr>
                      <w:rFonts w:hint="eastAsia" w:ascii="Times New Roman" w:hAnsi="Times New Roman" w:eastAsia="宋体" w:cs="Times New Roman"/>
                      <w:color w:val="auto"/>
                      <w:szCs w:val="21"/>
                      <w:highlight w:val="none"/>
                      <w:lang w:val="en-US" w:eastAsia="zh-CN"/>
                    </w:rPr>
                    <w:t>，位于1层</w:t>
                  </w:r>
                </w:p>
              </w:tc>
              <w:tc>
                <w:tcPr>
                  <w:tcW w:w="549" w:type="pct"/>
                  <w:vMerge w:val="restart"/>
                  <w:tcBorders>
                    <w:tl2br w:val="nil"/>
                    <w:tr2bl w:val="nil"/>
                  </w:tcBorders>
                  <w:vAlign w:val="center"/>
                </w:tcPr>
                <w:p w14:paraId="3F8A7E3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依托现有空置厂房</w:t>
                  </w:r>
                </w:p>
              </w:tc>
            </w:tr>
            <w:tr w14:paraId="4F8E8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0B8DA897">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vAlign w:val="center"/>
                </w:tcPr>
                <w:p w14:paraId="6D28A59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装配区</w:t>
                  </w:r>
                </w:p>
              </w:tc>
              <w:tc>
                <w:tcPr>
                  <w:tcW w:w="854" w:type="pct"/>
                  <w:tcBorders>
                    <w:tl2br w:val="nil"/>
                    <w:tr2bl w:val="nil"/>
                  </w:tcBorders>
                  <w:vAlign w:val="center"/>
                </w:tcPr>
                <w:p w14:paraId="7DA628A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建筑面积约</w:t>
                  </w:r>
                  <w:r>
                    <w:rPr>
                      <w:rFonts w:hint="eastAsia" w:ascii="Times New Roman" w:hAnsi="Times New Roman" w:eastAsia="宋体" w:cs="Times New Roman"/>
                      <w:color w:val="auto"/>
                      <w:szCs w:val="21"/>
                      <w:highlight w:val="none"/>
                      <w:lang w:val="en-US" w:eastAsia="zh-CN"/>
                    </w:rPr>
                    <w:t>300m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4269E4A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包括打胶房、装配区等，位于2层</w:t>
                  </w:r>
                </w:p>
              </w:tc>
              <w:tc>
                <w:tcPr>
                  <w:tcW w:w="549" w:type="pct"/>
                  <w:vMerge w:val="continue"/>
                  <w:tcBorders>
                    <w:tl2br w:val="nil"/>
                    <w:tr2bl w:val="nil"/>
                  </w:tcBorders>
                  <w:vAlign w:val="center"/>
                </w:tcPr>
                <w:p w14:paraId="455D5337">
                  <w:pPr>
                    <w:jc w:val="center"/>
                    <w:rPr>
                      <w:rFonts w:hint="default" w:ascii="Times New Roman" w:hAnsi="Times New Roman" w:eastAsia="宋体" w:cs="Times New Roman"/>
                      <w:color w:val="auto"/>
                      <w:szCs w:val="21"/>
                      <w:highlight w:val="none"/>
                      <w:lang w:val="en-US" w:eastAsia="zh-CN"/>
                    </w:rPr>
                  </w:pPr>
                </w:p>
              </w:tc>
            </w:tr>
            <w:tr w14:paraId="35A24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469EE5F1">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vAlign w:val="center"/>
                </w:tcPr>
                <w:p w14:paraId="6C1FF5D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办公区</w:t>
                  </w:r>
                </w:p>
              </w:tc>
              <w:tc>
                <w:tcPr>
                  <w:tcW w:w="854" w:type="pct"/>
                  <w:tcBorders>
                    <w:tl2br w:val="nil"/>
                    <w:tr2bl w:val="nil"/>
                  </w:tcBorders>
                  <w:vAlign w:val="center"/>
                </w:tcPr>
                <w:p w14:paraId="5E96694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建筑面积约</w:t>
                  </w:r>
                  <w:r>
                    <w:rPr>
                      <w:rFonts w:hint="eastAsia" w:ascii="Times New Roman" w:hAnsi="Times New Roman" w:eastAsia="宋体" w:cs="Times New Roman"/>
                      <w:color w:val="auto"/>
                      <w:szCs w:val="21"/>
                      <w:highlight w:val="none"/>
                      <w:lang w:val="en-US" w:eastAsia="zh-CN"/>
                    </w:rPr>
                    <w:t>4523.17m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09849A0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办公区，位于3层</w:t>
                  </w:r>
                </w:p>
              </w:tc>
              <w:tc>
                <w:tcPr>
                  <w:tcW w:w="549" w:type="pct"/>
                  <w:vMerge w:val="continue"/>
                  <w:tcBorders>
                    <w:tl2br w:val="nil"/>
                    <w:tr2bl w:val="nil"/>
                  </w:tcBorders>
                  <w:vAlign w:val="center"/>
                </w:tcPr>
                <w:p w14:paraId="01D7ECCF">
                  <w:pPr>
                    <w:jc w:val="center"/>
                    <w:rPr>
                      <w:rFonts w:hint="default" w:ascii="Times New Roman" w:hAnsi="Times New Roman" w:eastAsia="宋体" w:cs="Times New Roman"/>
                      <w:color w:val="auto"/>
                      <w:szCs w:val="21"/>
                      <w:highlight w:val="none"/>
                      <w:lang w:val="en-US" w:eastAsia="zh-CN"/>
                    </w:rPr>
                  </w:pPr>
                </w:p>
              </w:tc>
            </w:tr>
            <w:tr w14:paraId="0B7C9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restart"/>
                  <w:tcBorders>
                    <w:tl2br w:val="nil"/>
                    <w:tr2bl w:val="nil"/>
                  </w:tcBorders>
                  <w:vAlign w:val="center"/>
                </w:tcPr>
                <w:p w14:paraId="60DF37D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贮运工程</w:t>
                  </w:r>
                </w:p>
              </w:tc>
              <w:tc>
                <w:tcPr>
                  <w:tcW w:w="1445" w:type="pct"/>
                  <w:gridSpan w:val="2"/>
                  <w:tcBorders>
                    <w:tl2br w:val="nil"/>
                    <w:tr2bl w:val="nil"/>
                  </w:tcBorders>
                  <w:vAlign w:val="center"/>
                </w:tcPr>
                <w:p w14:paraId="249757CC">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成品</w:t>
                  </w:r>
                  <w:r>
                    <w:rPr>
                      <w:rFonts w:hint="eastAsia" w:ascii="Times New Roman" w:hAnsi="Times New Roman" w:eastAsia="宋体" w:cs="Times New Roman"/>
                      <w:color w:val="auto"/>
                      <w:szCs w:val="21"/>
                      <w:highlight w:val="none"/>
                      <w:lang w:val="en-US" w:eastAsia="zh-CN"/>
                    </w:rPr>
                    <w:t>仓库</w:t>
                  </w:r>
                </w:p>
              </w:tc>
              <w:tc>
                <w:tcPr>
                  <w:tcW w:w="854" w:type="pct"/>
                  <w:tcBorders>
                    <w:tl2br w:val="nil"/>
                    <w:tr2bl w:val="nil"/>
                  </w:tcBorders>
                  <w:vAlign w:val="center"/>
                </w:tcPr>
                <w:p w14:paraId="1A66B08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建筑面积约</w:t>
                  </w:r>
                  <w:r>
                    <w:rPr>
                      <w:rFonts w:hint="eastAsia" w:ascii="Times New Roman" w:hAnsi="Times New Roman" w:eastAsia="宋体" w:cs="Times New Roman"/>
                      <w:color w:val="auto"/>
                      <w:szCs w:val="21"/>
                      <w:highlight w:val="none"/>
                      <w:lang w:val="en-US" w:eastAsia="zh-CN"/>
                    </w:rPr>
                    <w:t>200m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7F03316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贮存成品，位于2层</w:t>
                  </w:r>
                </w:p>
              </w:tc>
              <w:tc>
                <w:tcPr>
                  <w:tcW w:w="549" w:type="pct"/>
                  <w:vMerge w:val="continue"/>
                  <w:tcBorders>
                    <w:tl2br w:val="nil"/>
                    <w:tr2bl w:val="nil"/>
                  </w:tcBorders>
                  <w:vAlign w:val="center"/>
                </w:tcPr>
                <w:p w14:paraId="055BF724">
                  <w:pPr>
                    <w:jc w:val="center"/>
                    <w:rPr>
                      <w:rFonts w:hint="default" w:ascii="Times New Roman" w:hAnsi="Times New Roman" w:eastAsia="宋体" w:cs="Times New Roman"/>
                      <w:color w:val="auto"/>
                      <w:szCs w:val="21"/>
                      <w:highlight w:val="none"/>
                      <w:lang w:val="en-US" w:eastAsia="zh-CN"/>
                    </w:rPr>
                  </w:pPr>
                </w:p>
              </w:tc>
            </w:tr>
            <w:tr w14:paraId="08B13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08F2CB12">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shd w:val="clear" w:color="auto" w:fill="auto"/>
                  <w:vAlign w:val="center"/>
                </w:tcPr>
                <w:p w14:paraId="3B594A2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原辅料仓库</w:t>
                  </w:r>
                </w:p>
              </w:tc>
              <w:tc>
                <w:tcPr>
                  <w:tcW w:w="854" w:type="pct"/>
                  <w:tcBorders>
                    <w:tl2br w:val="nil"/>
                    <w:tr2bl w:val="nil"/>
                  </w:tcBorders>
                  <w:shd w:val="clear" w:color="auto" w:fill="auto"/>
                  <w:vAlign w:val="center"/>
                </w:tcPr>
                <w:p w14:paraId="534E91D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建筑面积约</w:t>
                  </w:r>
                  <w:r>
                    <w:rPr>
                      <w:rFonts w:hint="eastAsia" w:ascii="Times New Roman" w:hAnsi="Times New Roman" w:eastAsia="宋体" w:cs="Times New Roman"/>
                      <w:color w:val="auto"/>
                      <w:szCs w:val="21"/>
                      <w:highlight w:val="none"/>
                      <w:lang w:val="en-US" w:eastAsia="zh-CN"/>
                    </w:rPr>
                    <w:t>300</w:t>
                  </w:r>
                  <w:r>
                    <w:rPr>
                      <w:rFonts w:hint="default" w:ascii="Times New Roman" w:hAnsi="Times New Roman" w:eastAsia="宋体" w:cs="Times New Roman"/>
                      <w:color w:val="auto"/>
                      <w:szCs w:val="21"/>
                      <w:highlight w:val="none"/>
                    </w:rPr>
                    <w:t xml:space="preserve"> 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shd w:val="clear" w:color="auto" w:fill="auto"/>
                  <w:vAlign w:val="center"/>
                </w:tcPr>
                <w:p w14:paraId="0FAA1C4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贮存原辅料，位于2层</w:t>
                  </w:r>
                </w:p>
              </w:tc>
              <w:tc>
                <w:tcPr>
                  <w:tcW w:w="549" w:type="pct"/>
                  <w:vMerge w:val="continue"/>
                  <w:tcBorders>
                    <w:tl2br w:val="nil"/>
                    <w:tr2bl w:val="nil"/>
                  </w:tcBorders>
                  <w:vAlign w:val="center"/>
                </w:tcPr>
                <w:p w14:paraId="423602D1">
                  <w:pPr>
                    <w:jc w:val="center"/>
                    <w:rPr>
                      <w:rFonts w:hint="default" w:ascii="Times New Roman" w:hAnsi="Times New Roman" w:eastAsia="宋体" w:cs="Times New Roman"/>
                      <w:color w:val="auto"/>
                      <w:szCs w:val="21"/>
                      <w:highlight w:val="none"/>
                      <w:lang w:val="en-US" w:eastAsia="zh-CN"/>
                    </w:rPr>
                  </w:pPr>
                </w:p>
              </w:tc>
            </w:tr>
            <w:tr w14:paraId="46F0F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restart"/>
                  <w:tcBorders>
                    <w:tl2br w:val="nil"/>
                    <w:tr2bl w:val="nil"/>
                  </w:tcBorders>
                  <w:vAlign w:val="center"/>
                </w:tcPr>
                <w:p w14:paraId="35CFED9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公辅工程</w:t>
                  </w:r>
                </w:p>
              </w:tc>
              <w:tc>
                <w:tcPr>
                  <w:tcW w:w="1445" w:type="pct"/>
                  <w:gridSpan w:val="2"/>
                  <w:tcBorders>
                    <w:tl2br w:val="nil"/>
                    <w:tr2bl w:val="nil"/>
                  </w:tcBorders>
                  <w:vAlign w:val="center"/>
                </w:tcPr>
                <w:p w14:paraId="6FA7287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给水系统</w:t>
                  </w:r>
                </w:p>
              </w:tc>
              <w:tc>
                <w:tcPr>
                  <w:tcW w:w="854" w:type="pct"/>
                  <w:tcBorders>
                    <w:tl2br w:val="nil"/>
                    <w:tr2bl w:val="nil"/>
                  </w:tcBorders>
                  <w:vAlign w:val="center"/>
                </w:tcPr>
                <w:p w14:paraId="739A5B17">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1407.2</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1685" w:type="pct"/>
                  <w:tcBorders>
                    <w:tl2br w:val="nil"/>
                    <w:tr2bl w:val="nil"/>
                  </w:tcBorders>
                  <w:vAlign w:val="center"/>
                </w:tcPr>
                <w:p w14:paraId="17BBCE7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549" w:type="pct"/>
                  <w:tcBorders>
                    <w:tl2br w:val="nil"/>
                    <w:tr2bl w:val="nil"/>
                  </w:tcBorders>
                  <w:vAlign w:val="center"/>
                </w:tcPr>
                <w:p w14:paraId="63A09842">
                  <w:pPr>
                    <w:pStyle w:val="52"/>
                    <w:widowControl/>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由城市给水管网供给</w:t>
                  </w:r>
                </w:p>
              </w:tc>
            </w:tr>
            <w:tr w14:paraId="5E8CC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65" w:type="pct"/>
                  <w:vMerge w:val="continue"/>
                  <w:tcBorders>
                    <w:tl2br w:val="nil"/>
                    <w:tr2bl w:val="nil"/>
                  </w:tcBorders>
                  <w:vAlign w:val="center"/>
                </w:tcPr>
                <w:p w14:paraId="7155A745">
                  <w:pPr>
                    <w:jc w:val="center"/>
                    <w:rPr>
                      <w:rFonts w:hint="default" w:ascii="Times New Roman" w:hAnsi="Times New Roman" w:eastAsia="宋体" w:cs="Times New Roman"/>
                      <w:color w:val="auto"/>
                      <w:szCs w:val="21"/>
                      <w:highlight w:val="none"/>
                    </w:rPr>
                  </w:pPr>
                </w:p>
              </w:tc>
              <w:tc>
                <w:tcPr>
                  <w:tcW w:w="731" w:type="pct"/>
                  <w:tcBorders>
                    <w:tl2br w:val="nil"/>
                    <w:tr2bl w:val="nil"/>
                  </w:tcBorders>
                  <w:vAlign w:val="center"/>
                </w:tcPr>
                <w:p w14:paraId="4BC8475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排水系统</w:t>
                  </w:r>
                </w:p>
              </w:tc>
              <w:tc>
                <w:tcPr>
                  <w:tcW w:w="714" w:type="pct"/>
                  <w:tcBorders>
                    <w:tl2br w:val="nil"/>
                    <w:tr2bl w:val="nil"/>
                  </w:tcBorders>
                  <w:vAlign w:val="center"/>
                </w:tcPr>
                <w:p w14:paraId="2D45E65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854" w:type="pct"/>
                  <w:tcBorders>
                    <w:tl2br w:val="nil"/>
                    <w:tr2bl w:val="nil"/>
                  </w:tcBorders>
                  <w:vAlign w:val="center"/>
                </w:tcPr>
                <w:p w14:paraId="3EC4D495">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1080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1685" w:type="pct"/>
                  <w:tcBorders>
                    <w:tl2br w:val="nil"/>
                    <w:tr2bl w:val="nil"/>
                  </w:tcBorders>
                  <w:vAlign w:val="center"/>
                </w:tcPr>
                <w:p w14:paraId="66B081C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本项目生产废水</w:t>
                  </w:r>
                  <w:r>
                    <w:rPr>
                      <w:rFonts w:hint="eastAsia" w:ascii="Times New Roman" w:hAnsi="Times New Roman" w:eastAsia="宋体" w:cs="Times New Roman"/>
                      <w:color w:val="auto"/>
                      <w:szCs w:val="21"/>
                      <w:highlight w:val="none"/>
                      <w:lang w:val="en-US" w:eastAsia="zh-CN"/>
                    </w:rPr>
                    <w:t>经污水处理站处理后回用于前处理</w:t>
                  </w:r>
                  <w:r>
                    <w:rPr>
                      <w:rFonts w:hint="default" w:ascii="Times New Roman" w:hAnsi="Times New Roman" w:eastAsia="宋体" w:cs="Times New Roman"/>
                      <w:color w:val="auto"/>
                      <w:szCs w:val="21"/>
                      <w:highlight w:val="none"/>
                    </w:rPr>
                    <w:t>，生活污水</w:t>
                  </w:r>
                  <w:r>
                    <w:rPr>
                      <w:rFonts w:hint="eastAsia" w:ascii="Times New Roman" w:hAnsi="Times New Roman" w:eastAsia="宋体" w:cs="Times New Roman"/>
                      <w:color w:val="auto"/>
                      <w:szCs w:val="21"/>
                      <w:highlight w:val="none"/>
                      <w:lang w:val="en-US" w:eastAsia="zh-CN"/>
                    </w:rPr>
                    <w:t>进入</w:t>
                  </w:r>
                  <w:r>
                    <w:rPr>
                      <w:rFonts w:hint="default" w:ascii="Times New Roman" w:hAnsi="Times New Roman" w:eastAsia="宋体" w:cs="Times New Roman"/>
                      <w:color w:val="auto"/>
                      <w:szCs w:val="21"/>
                      <w:highlight w:val="none"/>
                      <w:lang w:val="en-US" w:eastAsia="zh-CN"/>
                    </w:rPr>
                    <w:t>市政污水管网接至</w:t>
                  </w:r>
                  <w:r>
                    <w:rPr>
                      <w:rFonts w:hint="default" w:ascii="Times New Roman" w:hAnsi="Times New Roman" w:eastAsia="宋体" w:cs="Times New Roman"/>
                      <w:color w:val="auto"/>
                      <w:szCs w:val="21"/>
                      <w:highlight w:val="none"/>
                    </w:rPr>
                    <w:t>常州市金坛区第二污水厂集中处理，尾水排入尧塘河</w:t>
                  </w:r>
                </w:p>
              </w:tc>
              <w:tc>
                <w:tcPr>
                  <w:tcW w:w="549" w:type="pct"/>
                  <w:tcBorders>
                    <w:tl2br w:val="nil"/>
                    <w:tr2bl w:val="nil"/>
                  </w:tcBorders>
                  <w:vAlign w:val="center"/>
                </w:tcPr>
                <w:p w14:paraId="28BE9F01">
                  <w:pPr>
                    <w:pStyle w:val="52"/>
                    <w:widowControl/>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391A4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77986792">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vAlign w:val="center"/>
                </w:tcPr>
                <w:p w14:paraId="5CB58F3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雨水排放系统</w:t>
                  </w:r>
                </w:p>
              </w:tc>
              <w:tc>
                <w:tcPr>
                  <w:tcW w:w="854" w:type="pct"/>
                  <w:tcBorders>
                    <w:tl2br w:val="nil"/>
                    <w:tr2bl w:val="nil"/>
                  </w:tcBorders>
                  <w:vAlign w:val="center"/>
                </w:tcPr>
                <w:p w14:paraId="42EEAC2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685" w:type="pct"/>
                  <w:tcBorders>
                    <w:tl2br w:val="nil"/>
                    <w:tr2bl w:val="nil"/>
                  </w:tcBorders>
                  <w:vAlign w:val="center"/>
                </w:tcPr>
                <w:p w14:paraId="51A29D3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雨水通过</w:t>
                  </w:r>
                  <w:r>
                    <w:rPr>
                      <w:rFonts w:hint="eastAsia" w:ascii="Times New Roman" w:hAnsi="Times New Roman" w:eastAsia="宋体" w:cs="Times New Roman"/>
                      <w:color w:val="auto"/>
                      <w:szCs w:val="21"/>
                      <w:highlight w:val="none"/>
                      <w:lang w:val="en-US" w:eastAsia="zh-CN"/>
                    </w:rPr>
                    <w:t>园</w:t>
                  </w:r>
                  <w:r>
                    <w:rPr>
                      <w:rFonts w:hint="default" w:ascii="Times New Roman" w:hAnsi="Times New Roman" w:eastAsia="宋体" w:cs="Times New Roman"/>
                      <w:color w:val="auto"/>
                      <w:szCs w:val="21"/>
                      <w:highlight w:val="none"/>
                    </w:rPr>
                    <w:t>内现有雨水管网排入市政雨水管网</w:t>
                  </w:r>
                </w:p>
              </w:tc>
              <w:tc>
                <w:tcPr>
                  <w:tcW w:w="549" w:type="pct"/>
                  <w:tcBorders>
                    <w:tl2br w:val="nil"/>
                    <w:tr2bl w:val="nil"/>
                  </w:tcBorders>
                  <w:vAlign w:val="center"/>
                </w:tcPr>
                <w:p w14:paraId="7F55A54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023FB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1FE59F02">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shd w:val="clear" w:color="auto" w:fill="auto"/>
                  <w:vAlign w:val="center"/>
                </w:tcPr>
                <w:p w14:paraId="70986D7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供</w:t>
                  </w:r>
                  <w:r>
                    <w:rPr>
                      <w:rFonts w:hint="eastAsia" w:ascii="Times New Roman" w:hAnsi="Times New Roman" w:eastAsia="宋体" w:cs="Times New Roman"/>
                      <w:color w:val="auto"/>
                      <w:szCs w:val="21"/>
                      <w:highlight w:val="none"/>
                      <w:lang w:val="en-US" w:eastAsia="zh-CN"/>
                    </w:rPr>
                    <w:t>气</w:t>
                  </w:r>
                  <w:r>
                    <w:rPr>
                      <w:rFonts w:hint="default" w:ascii="Times New Roman" w:hAnsi="Times New Roman" w:eastAsia="宋体" w:cs="Times New Roman"/>
                      <w:color w:val="auto"/>
                      <w:szCs w:val="21"/>
                      <w:highlight w:val="none"/>
                    </w:rPr>
                    <w:t>工程</w:t>
                  </w:r>
                </w:p>
              </w:tc>
              <w:tc>
                <w:tcPr>
                  <w:tcW w:w="854" w:type="pct"/>
                  <w:tcBorders>
                    <w:tl2br w:val="nil"/>
                    <w:tr2bl w:val="nil"/>
                  </w:tcBorders>
                  <w:shd w:val="clear" w:color="auto" w:fill="auto"/>
                  <w:vAlign w:val="center"/>
                </w:tcPr>
                <w:p w14:paraId="232FBAF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天然气10</w:t>
                  </w:r>
                  <w:r>
                    <w:rPr>
                      <w:rFonts w:hint="default" w:ascii="Times New Roman" w:hAnsi="Times New Roman" w:eastAsia="宋体" w:cs="Times New Roman"/>
                      <w:color w:val="auto"/>
                      <w:szCs w:val="21"/>
                      <w:highlight w:val="none"/>
                    </w:rPr>
                    <w:t>万</w:t>
                  </w:r>
                  <w:r>
                    <w:rPr>
                      <w:rFonts w:hint="eastAsia" w:ascii="Times New Roman" w:hAnsi="Times New Roman" w:eastAsia="宋体" w:cs="Times New Roman"/>
                      <w:color w:val="auto"/>
                      <w:szCs w:val="21"/>
                      <w:highlight w:val="none"/>
                      <w:lang w:val="en-US" w:eastAsia="zh-CN"/>
                    </w:rPr>
                    <w:t>Nm</w:t>
                  </w:r>
                  <w:r>
                    <w:rPr>
                      <w:rFonts w:hint="eastAsia"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rPr>
                    <w:t>/a</w:t>
                  </w:r>
                </w:p>
              </w:tc>
              <w:tc>
                <w:tcPr>
                  <w:tcW w:w="1685" w:type="pct"/>
                  <w:tcBorders>
                    <w:tl2br w:val="nil"/>
                    <w:tr2bl w:val="nil"/>
                  </w:tcBorders>
                  <w:shd w:val="clear" w:color="auto" w:fill="auto"/>
                  <w:vAlign w:val="center"/>
                </w:tcPr>
                <w:p w14:paraId="75C777F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由</w:t>
                  </w:r>
                  <w:r>
                    <w:rPr>
                      <w:rFonts w:hint="eastAsia" w:ascii="Times New Roman" w:hAnsi="Times New Roman" w:eastAsia="宋体" w:cs="Times New Roman"/>
                      <w:color w:val="auto"/>
                      <w:szCs w:val="21"/>
                      <w:highlight w:val="none"/>
                      <w:lang w:val="en-US" w:eastAsia="zh-CN"/>
                    </w:rPr>
                    <w:t>燃气公司</w:t>
                  </w:r>
                  <w:r>
                    <w:rPr>
                      <w:rFonts w:hint="default" w:ascii="Times New Roman" w:hAnsi="Times New Roman" w:eastAsia="宋体" w:cs="Times New Roman"/>
                      <w:color w:val="auto"/>
                      <w:szCs w:val="21"/>
                      <w:highlight w:val="none"/>
                    </w:rPr>
                    <w:t>供给</w:t>
                  </w:r>
                </w:p>
              </w:tc>
              <w:tc>
                <w:tcPr>
                  <w:tcW w:w="549" w:type="pct"/>
                  <w:tcBorders>
                    <w:tl2br w:val="nil"/>
                    <w:tr2bl w:val="nil"/>
                  </w:tcBorders>
                  <w:shd w:val="clear" w:color="auto" w:fill="auto"/>
                  <w:vAlign w:val="center"/>
                </w:tcPr>
                <w:p w14:paraId="669CAE9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新建</w:t>
                  </w:r>
                </w:p>
              </w:tc>
            </w:tr>
            <w:tr w14:paraId="0B8A4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01178540">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vAlign w:val="center"/>
                </w:tcPr>
                <w:p w14:paraId="7D78C08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供电工程</w:t>
                  </w:r>
                </w:p>
              </w:tc>
              <w:tc>
                <w:tcPr>
                  <w:tcW w:w="854" w:type="pct"/>
                  <w:tcBorders>
                    <w:tl2br w:val="nil"/>
                    <w:tr2bl w:val="nil"/>
                  </w:tcBorders>
                  <w:vAlign w:val="center"/>
                </w:tcPr>
                <w:p w14:paraId="175C38D3">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120</w:t>
                  </w:r>
                  <w:r>
                    <w:rPr>
                      <w:rFonts w:hint="default" w:ascii="Times New Roman" w:hAnsi="Times New Roman" w:eastAsia="宋体" w:cs="Times New Roman"/>
                      <w:color w:val="auto"/>
                      <w:szCs w:val="21"/>
                      <w:highlight w:val="none"/>
                    </w:rPr>
                    <w:t>万kWh/a</w:t>
                  </w:r>
                </w:p>
              </w:tc>
              <w:tc>
                <w:tcPr>
                  <w:tcW w:w="1685" w:type="pct"/>
                  <w:tcBorders>
                    <w:tl2br w:val="nil"/>
                    <w:tr2bl w:val="nil"/>
                  </w:tcBorders>
                  <w:vAlign w:val="center"/>
                </w:tcPr>
                <w:p w14:paraId="7016ED4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由城市电网供给</w:t>
                  </w:r>
                </w:p>
              </w:tc>
              <w:tc>
                <w:tcPr>
                  <w:tcW w:w="549" w:type="pct"/>
                  <w:tcBorders>
                    <w:tl2br w:val="nil"/>
                    <w:tr2bl w:val="nil"/>
                  </w:tcBorders>
                  <w:vAlign w:val="center"/>
                </w:tcPr>
                <w:p w14:paraId="12FDF61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7090F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restart"/>
                  <w:tcBorders>
                    <w:tl2br w:val="nil"/>
                    <w:tr2bl w:val="nil"/>
                  </w:tcBorders>
                  <w:vAlign w:val="center"/>
                </w:tcPr>
                <w:p w14:paraId="7EF727B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1445" w:type="pct"/>
                  <w:gridSpan w:val="2"/>
                  <w:tcBorders>
                    <w:tl2br w:val="nil"/>
                    <w:tr2bl w:val="nil"/>
                  </w:tcBorders>
                  <w:vAlign w:val="center"/>
                </w:tcPr>
                <w:p w14:paraId="61D6C63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规范化排污口、雨污分流管网</w:t>
                  </w:r>
                </w:p>
              </w:tc>
              <w:tc>
                <w:tcPr>
                  <w:tcW w:w="2539" w:type="pct"/>
                  <w:gridSpan w:val="2"/>
                  <w:tcBorders>
                    <w:tl2br w:val="nil"/>
                    <w:tr2bl w:val="nil"/>
                  </w:tcBorders>
                  <w:vAlign w:val="center"/>
                </w:tcPr>
                <w:p w14:paraId="73A7ED0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本项目实行“雨污分流”，雨水排入市政雨水管网，生活污水</w:t>
                  </w:r>
                  <w:r>
                    <w:rPr>
                      <w:rFonts w:hint="default" w:ascii="Times New Roman" w:hAnsi="Times New Roman" w:eastAsia="宋体" w:cs="Times New Roman"/>
                      <w:color w:val="auto"/>
                      <w:szCs w:val="21"/>
                      <w:highlight w:val="none"/>
                      <w:lang w:val="en-US" w:eastAsia="zh-CN"/>
                    </w:rPr>
                    <w:t>经市政污水管网接至</w:t>
                  </w:r>
                  <w:r>
                    <w:rPr>
                      <w:rFonts w:hint="default" w:ascii="Times New Roman" w:hAnsi="Times New Roman" w:eastAsia="宋体" w:cs="Times New Roman"/>
                      <w:color w:val="auto"/>
                      <w:szCs w:val="21"/>
                      <w:highlight w:val="none"/>
                    </w:rPr>
                    <w:t>常州市金坛区第二污水厂集中处理，尾水排入尧塘河</w:t>
                  </w:r>
                </w:p>
              </w:tc>
              <w:tc>
                <w:tcPr>
                  <w:tcW w:w="549" w:type="pct"/>
                  <w:tcBorders>
                    <w:tl2br w:val="nil"/>
                    <w:tr2bl w:val="nil"/>
                  </w:tcBorders>
                  <w:vAlign w:val="center"/>
                </w:tcPr>
                <w:p w14:paraId="30ACE1A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602F4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vMerge w:val="continue"/>
                  <w:tcBorders>
                    <w:tl2br w:val="nil"/>
                    <w:tr2bl w:val="nil"/>
                  </w:tcBorders>
                  <w:vAlign w:val="center"/>
                </w:tcPr>
                <w:p w14:paraId="25410069">
                  <w:pPr>
                    <w:jc w:val="center"/>
                    <w:rPr>
                      <w:rFonts w:hint="default" w:ascii="Times New Roman" w:hAnsi="Times New Roman" w:eastAsia="宋体" w:cs="Times New Roman"/>
                      <w:color w:val="auto"/>
                      <w:szCs w:val="21"/>
                      <w:highlight w:val="none"/>
                    </w:rPr>
                  </w:pPr>
                </w:p>
              </w:tc>
              <w:tc>
                <w:tcPr>
                  <w:tcW w:w="731" w:type="pct"/>
                  <w:vMerge w:val="restart"/>
                  <w:tcBorders>
                    <w:tl2br w:val="nil"/>
                    <w:tr2bl w:val="nil"/>
                  </w:tcBorders>
                  <w:vAlign w:val="center"/>
                </w:tcPr>
                <w:p w14:paraId="2A9524BB">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废水</w:t>
                  </w:r>
                </w:p>
              </w:tc>
              <w:tc>
                <w:tcPr>
                  <w:tcW w:w="714" w:type="pct"/>
                  <w:tcBorders>
                    <w:tl2br w:val="nil"/>
                    <w:tr2bl w:val="nil"/>
                  </w:tcBorders>
                  <w:vAlign w:val="center"/>
                </w:tcPr>
                <w:p w14:paraId="1854E3C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854" w:type="pct"/>
                  <w:tcBorders>
                    <w:tl2br w:val="nil"/>
                    <w:tr2bl w:val="nil"/>
                  </w:tcBorders>
                  <w:vAlign w:val="center"/>
                </w:tcPr>
                <w:p w14:paraId="6C22B9B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 xml:space="preserve">1080 </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1685" w:type="pct"/>
                  <w:tcBorders>
                    <w:tl2br w:val="nil"/>
                    <w:tr2bl w:val="nil"/>
                  </w:tcBorders>
                  <w:vAlign w:val="center"/>
                </w:tcPr>
                <w:p w14:paraId="6605CF9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进入</w:t>
                  </w:r>
                  <w:r>
                    <w:rPr>
                      <w:rFonts w:hint="default" w:ascii="Times New Roman" w:hAnsi="Times New Roman" w:eastAsia="宋体" w:cs="Times New Roman"/>
                      <w:color w:val="auto"/>
                      <w:szCs w:val="21"/>
                      <w:highlight w:val="none"/>
                      <w:lang w:val="en-US" w:eastAsia="zh-CN"/>
                    </w:rPr>
                    <w:t>市政污水管网接至</w:t>
                  </w:r>
                  <w:r>
                    <w:rPr>
                      <w:rFonts w:hint="default" w:ascii="Times New Roman" w:hAnsi="Times New Roman" w:eastAsia="宋体" w:cs="Times New Roman"/>
                      <w:color w:val="auto"/>
                      <w:szCs w:val="21"/>
                      <w:highlight w:val="none"/>
                    </w:rPr>
                    <w:t>常州市金坛区第二污水厂集中处理，尾水排入尧塘河</w:t>
                  </w:r>
                </w:p>
              </w:tc>
              <w:tc>
                <w:tcPr>
                  <w:tcW w:w="549" w:type="pct"/>
                  <w:tcBorders>
                    <w:tl2br w:val="nil"/>
                    <w:tr2bl w:val="nil"/>
                  </w:tcBorders>
                  <w:vAlign w:val="center"/>
                </w:tcPr>
                <w:p w14:paraId="0D8D97A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125CF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vMerge w:val="continue"/>
                  <w:tcBorders>
                    <w:tl2br w:val="nil"/>
                    <w:tr2bl w:val="nil"/>
                  </w:tcBorders>
                  <w:vAlign w:val="center"/>
                </w:tcPr>
                <w:p w14:paraId="3BB29E17">
                  <w:pPr>
                    <w:jc w:val="center"/>
                    <w:rPr>
                      <w:color w:val="auto"/>
                      <w:highlight w:val="none"/>
                    </w:rPr>
                  </w:pPr>
                </w:p>
              </w:tc>
              <w:tc>
                <w:tcPr>
                  <w:tcW w:w="731" w:type="pct"/>
                  <w:vMerge w:val="continue"/>
                  <w:tcBorders>
                    <w:tl2br w:val="nil"/>
                    <w:tr2bl w:val="nil"/>
                  </w:tcBorders>
                  <w:vAlign w:val="center"/>
                </w:tcPr>
                <w:p w14:paraId="1EB82226">
                  <w:pPr>
                    <w:jc w:val="center"/>
                    <w:rPr>
                      <w:color w:val="auto"/>
                      <w:highlight w:val="none"/>
                    </w:rPr>
                  </w:pPr>
                </w:p>
              </w:tc>
              <w:tc>
                <w:tcPr>
                  <w:tcW w:w="714" w:type="pct"/>
                  <w:tcBorders>
                    <w:tl2br w:val="nil"/>
                    <w:tr2bl w:val="nil"/>
                  </w:tcBorders>
                  <w:vAlign w:val="center"/>
                </w:tcPr>
                <w:p w14:paraId="43D88AC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脱脂废水、硅烷化废水、水洗废水、拖地废水</w:t>
                  </w:r>
                </w:p>
              </w:tc>
              <w:tc>
                <w:tcPr>
                  <w:tcW w:w="854" w:type="pct"/>
                  <w:tcBorders>
                    <w:tl2br w:val="nil"/>
                    <w:tr2bl w:val="nil"/>
                  </w:tcBorders>
                  <w:vAlign w:val="center"/>
                </w:tcPr>
                <w:p w14:paraId="323B79B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131m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/a</w:t>
                  </w:r>
                </w:p>
              </w:tc>
              <w:tc>
                <w:tcPr>
                  <w:tcW w:w="1685" w:type="pct"/>
                  <w:tcBorders>
                    <w:tl2br w:val="nil"/>
                    <w:tr2bl w:val="nil"/>
                  </w:tcBorders>
                  <w:vAlign w:val="center"/>
                </w:tcPr>
                <w:p w14:paraId="16382B5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经污水处理站处理后回用于前处理</w:t>
                  </w:r>
                </w:p>
              </w:tc>
              <w:tc>
                <w:tcPr>
                  <w:tcW w:w="549" w:type="pct"/>
                  <w:tcBorders>
                    <w:tl2br w:val="nil"/>
                    <w:tr2bl w:val="nil"/>
                  </w:tcBorders>
                  <w:vAlign w:val="center"/>
                </w:tcPr>
                <w:p w14:paraId="02F5A14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6E6CB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65" w:type="pct"/>
                  <w:vMerge w:val="continue"/>
                  <w:tcBorders>
                    <w:tl2br w:val="nil"/>
                    <w:tr2bl w:val="nil"/>
                  </w:tcBorders>
                  <w:vAlign w:val="center"/>
                </w:tcPr>
                <w:p w14:paraId="02A3BDEF">
                  <w:pPr>
                    <w:jc w:val="center"/>
                    <w:rPr>
                      <w:rFonts w:hint="default" w:ascii="Times New Roman" w:hAnsi="Times New Roman" w:eastAsia="宋体" w:cs="Times New Roman"/>
                      <w:color w:val="auto"/>
                      <w:szCs w:val="21"/>
                      <w:highlight w:val="none"/>
                    </w:rPr>
                  </w:pPr>
                </w:p>
              </w:tc>
              <w:tc>
                <w:tcPr>
                  <w:tcW w:w="731" w:type="pct"/>
                  <w:vMerge w:val="restart"/>
                  <w:tcBorders>
                    <w:tl2br w:val="nil"/>
                    <w:tr2bl w:val="nil"/>
                  </w:tcBorders>
                  <w:vAlign w:val="center"/>
                </w:tcPr>
                <w:p w14:paraId="35FB9BB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714" w:type="pct"/>
                  <w:tcBorders>
                    <w:tl2br w:val="nil"/>
                    <w:tr2bl w:val="nil"/>
                  </w:tcBorders>
                  <w:vAlign w:val="center"/>
                </w:tcPr>
                <w:p w14:paraId="4FF1B64A">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切割烟尘</w:t>
                  </w:r>
                </w:p>
              </w:tc>
              <w:tc>
                <w:tcPr>
                  <w:tcW w:w="854" w:type="pct"/>
                  <w:tcBorders>
                    <w:tl2br w:val="nil"/>
                    <w:tr2bl w:val="nil"/>
                  </w:tcBorders>
                  <w:vAlign w:val="center"/>
                </w:tcPr>
                <w:p w14:paraId="7BF04DF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85" w:type="pct"/>
                  <w:tcBorders>
                    <w:tl2br w:val="nil"/>
                    <w:tr2bl w:val="nil"/>
                  </w:tcBorders>
                  <w:vAlign w:val="center"/>
                </w:tcPr>
                <w:p w14:paraId="0DF6C4AC">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经移动式烟尘净化器处理后车间内无组织排放</w:t>
                  </w:r>
                </w:p>
              </w:tc>
              <w:tc>
                <w:tcPr>
                  <w:tcW w:w="549" w:type="pct"/>
                  <w:vMerge w:val="restart"/>
                  <w:tcBorders>
                    <w:tl2br w:val="nil"/>
                    <w:tr2bl w:val="nil"/>
                  </w:tcBorders>
                  <w:vAlign w:val="center"/>
                </w:tcPr>
                <w:p w14:paraId="5FABC1B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7FCDC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65" w:type="pct"/>
                  <w:vMerge w:val="continue"/>
                  <w:tcBorders>
                    <w:tl2br w:val="nil"/>
                    <w:tr2bl w:val="nil"/>
                  </w:tcBorders>
                  <w:vAlign w:val="center"/>
                </w:tcPr>
                <w:p w14:paraId="22BC32FE">
                  <w:pPr>
                    <w:jc w:val="center"/>
                    <w:rPr>
                      <w:color w:val="auto"/>
                      <w:highlight w:val="none"/>
                    </w:rPr>
                  </w:pPr>
                </w:p>
              </w:tc>
              <w:tc>
                <w:tcPr>
                  <w:tcW w:w="731" w:type="pct"/>
                  <w:vMerge w:val="continue"/>
                  <w:tcBorders>
                    <w:tl2br w:val="nil"/>
                    <w:tr2bl w:val="nil"/>
                  </w:tcBorders>
                  <w:vAlign w:val="center"/>
                </w:tcPr>
                <w:p w14:paraId="6A9F551D">
                  <w:pPr>
                    <w:jc w:val="center"/>
                    <w:rPr>
                      <w:color w:val="auto"/>
                      <w:highlight w:val="none"/>
                    </w:rPr>
                  </w:pPr>
                </w:p>
              </w:tc>
              <w:tc>
                <w:tcPr>
                  <w:tcW w:w="714" w:type="pct"/>
                  <w:tcBorders>
                    <w:tl2br w:val="nil"/>
                    <w:tr2bl w:val="nil"/>
                  </w:tcBorders>
                  <w:vAlign w:val="center"/>
                </w:tcPr>
                <w:p w14:paraId="75CC837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焊接烟尘</w:t>
                  </w:r>
                </w:p>
              </w:tc>
              <w:tc>
                <w:tcPr>
                  <w:tcW w:w="854" w:type="pct"/>
                  <w:tcBorders>
                    <w:tl2br w:val="nil"/>
                    <w:tr2bl w:val="nil"/>
                  </w:tcBorders>
                  <w:vAlign w:val="center"/>
                </w:tcPr>
                <w:p w14:paraId="5E9FA8D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85" w:type="pct"/>
                  <w:tcBorders>
                    <w:tl2br w:val="nil"/>
                    <w:tr2bl w:val="nil"/>
                  </w:tcBorders>
                  <w:vAlign w:val="center"/>
                </w:tcPr>
                <w:p w14:paraId="1239F8B0">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经移动式烟尘净化器处理后车间内无组织排放</w:t>
                  </w:r>
                </w:p>
              </w:tc>
              <w:tc>
                <w:tcPr>
                  <w:tcW w:w="549" w:type="pct"/>
                  <w:vMerge w:val="continue"/>
                  <w:tcBorders>
                    <w:tl2br w:val="nil"/>
                    <w:tr2bl w:val="nil"/>
                  </w:tcBorders>
                  <w:vAlign w:val="center"/>
                </w:tcPr>
                <w:p w14:paraId="343D8DB4">
                  <w:pPr>
                    <w:jc w:val="center"/>
                    <w:rPr>
                      <w:rFonts w:hint="eastAsia" w:ascii="Times New Roman" w:hAnsi="Times New Roman" w:eastAsia="宋体" w:cs="Times New Roman"/>
                      <w:color w:val="auto"/>
                      <w:szCs w:val="21"/>
                      <w:highlight w:val="none"/>
                      <w:lang w:val="en-US" w:eastAsia="zh-CN"/>
                    </w:rPr>
                  </w:pPr>
                </w:p>
              </w:tc>
            </w:tr>
            <w:tr w14:paraId="122E1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65" w:type="pct"/>
                  <w:vMerge w:val="continue"/>
                  <w:tcBorders>
                    <w:tl2br w:val="nil"/>
                    <w:tr2bl w:val="nil"/>
                  </w:tcBorders>
                  <w:vAlign w:val="center"/>
                </w:tcPr>
                <w:p w14:paraId="27493B9D">
                  <w:pPr>
                    <w:jc w:val="center"/>
                    <w:rPr>
                      <w:rFonts w:hint="eastAsia" w:ascii="Times New Roman" w:hAnsi="Times New Roman" w:eastAsia="宋体" w:cs="Times New Roman"/>
                      <w:color w:val="auto"/>
                      <w:szCs w:val="21"/>
                      <w:highlight w:val="none"/>
                      <w:lang w:val="en-US" w:eastAsia="zh-CN"/>
                    </w:rPr>
                  </w:pPr>
                </w:p>
              </w:tc>
              <w:tc>
                <w:tcPr>
                  <w:tcW w:w="731" w:type="pct"/>
                  <w:vMerge w:val="continue"/>
                  <w:tcBorders>
                    <w:tl2br w:val="nil"/>
                    <w:tr2bl w:val="nil"/>
                  </w:tcBorders>
                  <w:vAlign w:val="center"/>
                </w:tcPr>
                <w:p w14:paraId="3E406FD3">
                  <w:pPr>
                    <w:jc w:val="center"/>
                    <w:rPr>
                      <w:rFonts w:hint="eastAsia" w:ascii="Times New Roman" w:hAnsi="Times New Roman" w:eastAsia="宋体" w:cs="Times New Roman"/>
                      <w:color w:val="auto"/>
                      <w:szCs w:val="21"/>
                      <w:highlight w:val="none"/>
                      <w:lang w:val="en-US" w:eastAsia="zh-CN"/>
                    </w:rPr>
                  </w:pPr>
                </w:p>
              </w:tc>
              <w:tc>
                <w:tcPr>
                  <w:tcW w:w="714" w:type="pct"/>
                  <w:tcBorders>
                    <w:tl2br w:val="nil"/>
                    <w:tr2bl w:val="nil"/>
                  </w:tcBorders>
                  <w:vAlign w:val="center"/>
                </w:tcPr>
                <w:p w14:paraId="6BA4D6A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打磨粉尘</w:t>
                  </w:r>
                </w:p>
              </w:tc>
              <w:tc>
                <w:tcPr>
                  <w:tcW w:w="854" w:type="pct"/>
                  <w:vMerge w:val="restart"/>
                  <w:tcBorders>
                    <w:tl2br w:val="nil"/>
                    <w:tr2bl w:val="nil"/>
                  </w:tcBorders>
                  <w:vAlign w:val="center"/>
                </w:tcPr>
                <w:p w14:paraId="0189D3F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25000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h</w:t>
                  </w:r>
                </w:p>
              </w:tc>
              <w:tc>
                <w:tcPr>
                  <w:tcW w:w="1685" w:type="pct"/>
                  <w:vMerge w:val="restart"/>
                  <w:tcBorders>
                    <w:tl2br w:val="nil"/>
                    <w:tr2bl w:val="nil"/>
                  </w:tcBorders>
                  <w:shd w:val="clear" w:color="auto" w:fill="auto"/>
                  <w:vAlign w:val="center"/>
                </w:tcPr>
                <w:p w14:paraId="553E624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通过一套1#旋风除尘器+滤筒除尘器处理后由1根25m高的排气筒FQ-1排放</w:t>
                  </w:r>
                </w:p>
              </w:tc>
              <w:tc>
                <w:tcPr>
                  <w:tcW w:w="549" w:type="pct"/>
                  <w:vMerge w:val="continue"/>
                  <w:tcBorders>
                    <w:tl2br w:val="nil"/>
                    <w:tr2bl w:val="nil"/>
                  </w:tcBorders>
                  <w:vAlign w:val="center"/>
                </w:tcPr>
                <w:p w14:paraId="05E86327">
                  <w:pPr>
                    <w:jc w:val="center"/>
                    <w:rPr>
                      <w:rFonts w:hint="eastAsia" w:ascii="Times New Roman" w:hAnsi="Times New Roman" w:eastAsia="宋体" w:cs="Times New Roman"/>
                      <w:color w:val="auto"/>
                      <w:szCs w:val="21"/>
                      <w:highlight w:val="none"/>
                      <w:lang w:val="en-US" w:eastAsia="zh-CN"/>
                    </w:rPr>
                  </w:pPr>
                </w:p>
              </w:tc>
            </w:tr>
            <w:tr w14:paraId="2FEEF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65" w:type="pct"/>
                  <w:vMerge w:val="continue"/>
                  <w:tcBorders>
                    <w:tl2br w:val="nil"/>
                    <w:tr2bl w:val="nil"/>
                  </w:tcBorders>
                  <w:vAlign w:val="center"/>
                </w:tcPr>
                <w:p w14:paraId="4921C8EC">
                  <w:pPr>
                    <w:jc w:val="center"/>
                    <w:rPr>
                      <w:color w:val="auto"/>
                      <w:highlight w:val="none"/>
                    </w:rPr>
                  </w:pPr>
                </w:p>
              </w:tc>
              <w:tc>
                <w:tcPr>
                  <w:tcW w:w="731" w:type="pct"/>
                  <w:vMerge w:val="continue"/>
                  <w:tcBorders>
                    <w:tl2br w:val="nil"/>
                    <w:tr2bl w:val="nil"/>
                  </w:tcBorders>
                  <w:vAlign w:val="center"/>
                </w:tcPr>
                <w:p w14:paraId="0817F1C2">
                  <w:pPr>
                    <w:jc w:val="center"/>
                    <w:rPr>
                      <w:color w:val="auto"/>
                      <w:highlight w:val="none"/>
                    </w:rPr>
                  </w:pPr>
                </w:p>
              </w:tc>
              <w:tc>
                <w:tcPr>
                  <w:tcW w:w="714" w:type="pct"/>
                  <w:tcBorders>
                    <w:tl2br w:val="nil"/>
                    <w:tr2bl w:val="nil"/>
                  </w:tcBorders>
                  <w:vAlign w:val="center"/>
                </w:tcPr>
                <w:p w14:paraId="6541B0E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喷砂粉尘</w:t>
                  </w:r>
                </w:p>
              </w:tc>
              <w:tc>
                <w:tcPr>
                  <w:tcW w:w="854" w:type="pct"/>
                  <w:vMerge w:val="continue"/>
                  <w:tcBorders>
                    <w:tl2br w:val="nil"/>
                    <w:tr2bl w:val="nil"/>
                  </w:tcBorders>
                  <w:vAlign w:val="center"/>
                </w:tcPr>
                <w:p w14:paraId="76BA99E1">
                  <w:pPr>
                    <w:jc w:val="center"/>
                    <w:rPr>
                      <w:rFonts w:hint="eastAsia" w:ascii="Times New Roman" w:hAnsi="Times New Roman" w:eastAsia="宋体" w:cs="Times New Roman"/>
                      <w:color w:val="auto"/>
                      <w:szCs w:val="21"/>
                      <w:highlight w:val="none"/>
                      <w:lang w:val="en-US" w:eastAsia="zh-CN"/>
                    </w:rPr>
                  </w:pPr>
                </w:p>
              </w:tc>
              <w:tc>
                <w:tcPr>
                  <w:tcW w:w="1685" w:type="pct"/>
                  <w:vMerge w:val="continue"/>
                  <w:tcBorders>
                    <w:tl2br w:val="nil"/>
                    <w:tr2bl w:val="nil"/>
                  </w:tcBorders>
                  <w:shd w:val="clear" w:color="auto" w:fill="auto"/>
                  <w:vAlign w:val="center"/>
                </w:tcPr>
                <w:p w14:paraId="796854FE">
                  <w:pPr>
                    <w:jc w:val="center"/>
                    <w:rPr>
                      <w:rFonts w:hint="eastAsia" w:ascii="Times New Roman" w:hAnsi="Times New Roman" w:eastAsia="宋体" w:cs="Times New Roman"/>
                      <w:color w:val="auto"/>
                      <w:szCs w:val="21"/>
                      <w:highlight w:val="none"/>
                      <w:lang w:val="en-US" w:eastAsia="zh-CN"/>
                    </w:rPr>
                  </w:pPr>
                </w:p>
              </w:tc>
              <w:tc>
                <w:tcPr>
                  <w:tcW w:w="549" w:type="pct"/>
                  <w:vMerge w:val="continue"/>
                  <w:tcBorders>
                    <w:tl2br w:val="nil"/>
                    <w:tr2bl w:val="nil"/>
                  </w:tcBorders>
                  <w:vAlign w:val="center"/>
                </w:tcPr>
                <w:p w14:paraId="47A4F6DD">
                  <w:pPr>
                    <w:jc w:val="center"/>
                    <w:rPr>
                      <w:rFonts w:hint="eastAsia" w:ascii="Times New Roman" w:hAnsi="Times New Roman" w:eastAsia="宋体" w:cs="Times New Roman"/>
                      <w:color w:val="auto"/>
                      <w:szCs w:val="21"/>
                      <w:highlight w:val="none"/>
                      <w:lang w:val="en-US" w:eastAsia="zh-CN"/>
                    </w:rPr>
                  </w:pPr>
                </w:p>
              </w:tc>
            </w:tr>
            <w:tr w14:paraId="2FAB3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65" w:type="pct"/>
                  <w:vMerge w:val="continue"/>
                  <w:tcBorders>
                    <w:tl2br w:val="nil"/>
                    <w:tr2bl w:val="nil"/>
                  </w:tcBorders>
                  <w:vAlign w:val="center"/>
                </w:tcPr>
                <w:p w14:paraId="48BDABCB">
                  <w:pPr>
                    <w:jc w:val="center"/>
                    <w:rPr>
                      <w:rFonts w:hint="eastAsia" w:ascii="Times New Roman" w:hAnsi="Times New Roman" w:eastAsia="宋体" w:cs="Times New Roman"/>
                      <w:color w:val="auto"/>
                      <w:szCs w:val="21"/>
                      <w:highlight w:val="none"/>
                      <w:lang w:val="en-US" w:eastAsia="zh-CN"/>
                    </w:rPr>
                  </w:pPr>
                </w:p>
              </w:tc>
              <w:tc>
                <w:tcPr>
                  <w:tcW w:w="731" w:type="pct"/>
                  <w:vMerge w:val="continue"/>
                  <w:tcBorders>
                    <w:tl2br w:val="nil"/>
                    <w:tr2bl w:val="nil"/>
                  </w:tcBorders>
                  <w:vAlign w:val="center"/>
                </w:tcPr>
                <w:p w14:paraId="37085986">
                  <w:pPr>
                    <w:jc w:val="center"/>
                    <w:rPr>
                      <w:rFonts w:hint="eastAsia" w:ascii="Times New Roman" w:hAnsi="Times New Roman" w:eastAsia="宋体" w:cs="Times New Roman"/>
                      <w:color w:val="auto"/>
                      <w:szCs w:val="21"/>
                      <w:highlight w:val="none"/>
                      <w:lang w:val="en-US" w:eastAsia="zh-CN"/>
                    </w:rPr>
                  </w:pPr>
                </w:p>
              </w:tc>
              <w:tc>
                <w:tcPr>
                  <w:tcW w:w="714" w:type="pct"/>
                  <w:tcBorders>
                    <w:tl2br w:val="nil"/>
                    <w:tr2bl w:val="nil"/>
                  </w:tcBorders>
                  <w:shd w:val="clear" w:color="auto" w:fill="auto"/>
                  <w:vAlign w:val="center"/>
                </w:tcPr>
                <w:p w14:paraId="15D3043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喷粉废气</w:t>
                  </w:r>
                </w:p>
              </w:tc>
              <w:tc>
                <w:tcPr>
                  <w:tcW w:w="854" w:type="pct"/>
                  <w:vMerge w:val="continue"/>
                  <w:tcBorders>
                    <w:tl2br w:val="nil"/>
                    <w:tr2bl w:val="nil"/>
                  </w:tcBorders>
                  <w:vAlign w:val="center"/>
                </w:tcPr>
                <w:p w14:paraId="484CD2BD">
                  <w:pPr>
                    <w:jc w:val="center"/>
                    <w:rPr>
                      <w:rFonts w:hint="default" w:ascii="Times New Roman" w:hAnsi="Times New Roman" w:eastAsia="宋体" w:cs="Times New Roman"/>
                      <w:color w:val="auto"/>
                      <w:szCs w:val="21"/>
                      <w:highlight w:val="none"/>
                      <w:lang w:val="en-US" w:eastAsia="zh-CN"/>
                    </w:rPr>
                  </w:pPr>
                </w:p>
              </w:tc>
              <w:tc>
                <w:tcPr>
                  <w:tcW w:w="1685" w:type="pct"/>
                  <w:tcBorders>
                    <w:tl2br w:val="nil"/>
                    <w:tr2bl w:val="nil"/>
                  </w:tcBorders>
                  <w:shd w:val="clear" w:color="auto" w:fill="auto"/>
                  <w:vAlign w:val="center"/>
                </w:tcPr>
                <w:p w14:paraId="795F5B7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手工喷粉废气经下吸风收集后通过一套2#</w:t>
                  </w:r>
                  <w:r>
                    <w:rPr>
                      <w:rFonts w:hint="eastAsia" w:ascii="Times New Roman" w:hAnsi="Times New Roman" w:eastAsia="宋体" w:cs="Times New Roman"/>
                      <w:color w:val="auto"/>
                      <w:kern w:val="2"/>
                      <w:sz w:val="21"/>
                      <w:szCs w:val="21"/>
                      <w:highlight w:val="none"/>
                      <w:lang w:val="en-US" w:eastAsia="zh-CN" w:bidi="ar-SA"/>
                    </w:rPr>
                    <w:t>旋风除尘器+滤筒除尘器</w:t>
                  </w:r>
                  <w:r>
                    <w:rPr>
                      <w:rFonts w:hint="eastAsia" w:ascii="Times New Roman" w:hAnsi="Times New Roman" w:eastAsia="宋体" w:cs="Times New Roman"/>
                      <w:color w:val="auto"/>
                      <w:szCs w:val="21"/>
                      <w:highlight w:val="none"/>
                      <w:lang w:val="en-US" w:eastAsia="zh-CN"/>
                    </w:rPr>
                    <w:t>处理，自动喷粉废气经下吸风收集后通过一套3#旋风除尘器+滤筒除尘器处理，最后合并由一根25m高的排气筒FQ-1排放</w:t>
                  </w:r>
                </w:p>
              </w:tc>
              <w:tc>
                <w:tcPr>
                  <w:tcW w:w="549" w:type="pct"/>
                  <w:vMerge w:val="continue"/>
                  <w:tcBorders>
                    <w:tl2br w:val="nil"/>
                    <w:tr2bl w:val="nil"/>
                  </w:tcBorders>
                  <w:vAlign w:val="center"/>
                </w:tcPr>
                <w:p w14:paraId="5DAF5DCC">
                  <w:pPr>
                    <w:jc w:val="center"/>
                    <w:rPr>
                      <w:rFonts w:hint="eastAsia" w:ascii="Times New Roman" w:hAnsi="Times New Roman" w:eastAsia="宋体" w:cs="Times New Roman"/>
                      <w:color w:val="auto"/>
                      <w:szCs w:val="21"/>
                      <w:highlight w:val="none"/>
                      <w:lang w:val="en-US" w:eastAsia="zh-CN"/>
                    </w:rPr>
                  </w:pPr>
                </w:p>
              </w:tc>
            </w:tr>
            <w:tr w14:paraId="2868A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65" w:type="pct"/>
                  <w:vMerge w:val="continue"/>
                  <w:tcBorders>
                    <w:tl2br w:val="nil"/>
                    <w:tr2bl w:val="nil"/>
                  </w:tcBorders>
                  <w:vAlign w:val="center"/>
                </w:tcPr>
                <w:p w14:paraId="57E5FCEF">
                  <w:pPr>
                    <w:jc w:val="center"/>
                    <w:rPr>
                      <w:rFonts w:hint="eastAsia" w:ascii="Times New Roman" w:hAnsi="Times New Roman" w:eastAsia="宋体" w:cs="Times New Roman"/>
                      <w:color w:val="auto"/>
                      <w:szCs w:val="21"/>
                      <w:highlight w:val="none"/>
                      <w:lang w:val="en-US" w:eastAsia="zh-CN"/>
                    </w:rPr>
                  </w:pPr>
                </w:p>
              </w:tc>
              <w:tc>
                <w:tcPr>
                  <w:tcW w:w="731" w:type="pct"/>
                  <w:vMerge w:val="continue"/>
                  <w:tcBorders>
                    <w:tl2br w:val="nil"/>
                    <w:tr2bl w:val="nil"/>
                  </w:tcBorders>
                  <w:vAlign w:val="center"/>
                </w:tcPr>
                <w:p w14:paraId="174F4B4D">
                  <w:pPr>
                    <w:jc w:val="center"/>
                    <w:rPr>
                      <w:rFonts w:hint="eastAsia" w:ascii="Times New Roman" w:hAnsi="Times New Roman" w:eastAsia="宋体" w:cs="Times New Roman"/>
                      <w:color w:val="auto"/>
                      <w:szCs w:val="21"/>
                      <w:highlight w:val="none"/>
                      <w:lang w:val="en-US" w:eastAsia="zh-CN"/>
                    </w:rPr>
                  </w:pPr>
                </w:p>
              </w:tc>
              <w:tc>
                <w:tcPr>
                  <w:tcW w:w="714" w:type="pct"/>
                  <w:tcBorders>
                    <w:tl2br w:val="nil"/>
                    <w:tr2bl w:val="nil"/>
                  </w:tcBorders>
                  <w:shd w:val="clear" w:color="auto" w:fill="auto"/>
                  <w:vAlign w:val="center"/>
                </w:tcPr>
                <w:p w14:paraId="449B830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固化废气</w:t>
                  </w:r>
                </w:p>
              </w:tc>
              <w:tc>
                <w:tcPr>
                  <w:tcW w:w="854" w:type="pct"/>
                  <w:vMerge w:val="restart"/>
                  <w:tcBorders>
                    <w:tl2br w:val="nil"/>
                    <w:tr2bl w:val="nil"/>
                  </w:tcBorders>
                  <w:vAlign w:val="center"/>
                </w:tcPr>
                <w:p w14:paraId="288FFBF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h</w:t>
                  </w:r>
                </w:p>
              </w:tc>
              <w:tc>
                <w:tcPr>
                  <w:tcW w:w="1685" w:type="pct"/>
                  <w:tcBorders>
                    <w:tl2br w:val="nil"/>
                    <w:tr2bl w:val="nil"/>
                  </w:tcBorders>
                  <w:shd w:val="clear" w:color="auto" w:fill="auto"/>
                  <w:vAlign w:val="center"/>
                </w:tcPr>
                <w:p w14:paraId="39E5A52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通过1#二级活性炭吸附装置处理后，由一根25m高的排气筒FQ-2排放</w:t>
                  </w:r>
                </w:p>
              </w:tc>
              <w:tc>
                <w:tcPr>
                  <w:tcW w:w="549" w:type="pct"/>
                  <w:vMerge w:val="continue"/>
                  <w:tcBorders>
                    <w:tl2br w:val="nil"/>
                    <w:tr2bl w:val="nil"/>
                  </w:tcBorders>
                  <w:vAlign w:val="center"/>
                </w:tcPr>
                <w:p w14:paraId="21E7E5C3">
                  <w:pPr>
                    <w:jc w:val="center"/>
                    <w:rPr>
                      <w:rFonts w:hint="eastAsia" w:ascii="Times New Roman" w:hAnsi="Times New Roman" w:eastAsia="宋体" w:cs="Times New Roman"/>
                      <w:color w:val="auto"/>
                      <w:szCs w:val="21"/>
                      <w:highlight w:val="none"/>
                      <w:lang w:val="en-US" w:eastAsia="zh-CN"/>
                    </w:rPr>
                  </w:pPr>
                </w:p>
              </w:tc>
            </w:tr>
            <w:tr w14:paraId="7C451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1" w:hRule="atLeast"/>
              </w:trPr>
              <w:tc>
                <w:tcPr>
                  <w:tcW w:w="465" w:type="pct"/>
                  <w:vMerge w:val="continue"/>
                  <w:tcBorders>
                    <w:tl2br w:val="nil"/>
                    <w:tr2bl w:val="nil"/>
                  </w:tcBorders>
                  <w:vAlign w:val="center"/>
                </w:tcPr>
                <w:p w14:paraId="2345077B">
                  <w:pPr>
                    <w:jc w:val="center"/>
                    <w:rPr>
                      <w:rFonts w:hint="eastAsia" w:ascii="Times New Roman" w:hAnsi="Times New Roman" w:eastAsia="宋体" w:cs="Times New Roman"/>
                      <w:color w:val="auto"/>
                      <w:szCs w:val="21"/>
                      <w:highlight w:val="none"/>
                      <w:lang w:val="en-US" w:eastAsia="zh-CN"/>
                    </w:rPr>
                  </w:pPr>
                </w:p>
              </w:tc>
              <w:tc>
                <w:tcPr>
                  <w:tcW w:w="731" w:type="pct"/>
                  <w:vMerge w:val="continue"/>
                  <w:tcBorders>
                    <w:tl2br w:val="nil"/>
                    <w:tr2bl w:val="nil"/>
                  </w:tcBorders>
                  <w:vAlign w:val="center"/>
                </w:tcPr>
                <w:p w14:paraId="1539D61C">
                  <w:pPr>
                    <w:jc w:val="center"/>
                    <w:rPr>
                      <w:rFonts w:hint="eastAsia" w:ascii="Times New Roman" w:hAnsi="Times New Roman" w:eastAsia="宋体" w:cs="Times New Roman"/>
                      <w:color w:val="auto"/>
                      <w:szCs w:val="21"/>
                      <w:highlight w:val="none"/>
                      <w:lang w:val="en-US" w:eastAsia="zh-CN"/>
                    </w:rPr>
                  </w:pPr>
                </w:p>
              </w:tc>
              <w:tc>
                <w:tcPr>
                  <w:tcW w:w="714" w:type="pct"/>
                  <w:tcBorders>
                    <w:tl2br w:val="nil"/>
                    <w:tr2bl w:val="nil"/>
                  </w:tcBorders>
                  <w:shd w:val="clear" w:color="auto" w:fill="auto"/>
                  <w:vAlign w:val="center"/>
                </w:tcPr>
                <w:p w14:paraId="45A9856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天然气燃烧废气</w:t>
                  </w:r>
                </w:p>
              </w:tc>
              <w:tc>
                <w:tcPr>
                  <w:tcW w:w="854" w:type="pct"/>
                  <w:vMerge w:val="continue"/>
                  <w:tcBorders>
                    <w:tl2br w:val="nil"/>
                    <w:tr2bl w:val="nil"/>
                  </w:tcBorders>
                  <w:vAlign w:val="center"/>
                </w:tcPr>
                <w:p w14:paraId="02620BAE">
                  <w:pPr>
                    <w:jc w:val="center"/>
                    <w:rPr>
                      <w:rFonts w:hint="eastAsia" w:ascii="Times New Roman" w:hAnsi="Times New Roman" w:eastAsia="宋体" w:cs="Times New Roman"/>
                      <w:color w:val="auto"/>
                      <w:szCs w:val="21"/>
                      <w:highlight w:val="none"/>
                      <w:lang w:val="en-US" w:eastAsia="zh-CN"/>
                    </w:rPr>
                  </w:pPr>
                </w:p>
              </w:tc>
              <w:tc>
                <w:tcPr>
                  <w:tcW w:w="1685" w:type="pct"/>
                  <w:tcBorders>
                    <w:tl2br w:val="nil"/>
                    <w:tr2bl w:val="nil"/>
                  </w:tcBorders>
                  <w:vAlign w:val="center"/>
                </w:tcPr>
                <w:p w14:paraId="7AC9FD22">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采用低氮燃烧，通过1#二级活性炭吸附装置，由一根25m高的排气筒FQ-2排放</w:t>
                  </w:r>
                </w:p>
              </w:tc>
              <w:tc>
                <w:tcPr>
                  <w:tcW w:w="549" w:type="pct"/>
                  <w:vMerge w:val="continue"/>
                  <w:tcBorders>
                    <w:tl2br w:val="nil"/>
                    <w:tr2bl w:val="nil"/>
                  </w:tcBorders>
                  <w:vAlign w:val="center"/>
                </w:tcPr>
                <w:p w14:paraId="07CBFD05">
                  <w:pPr>
                    <w:jc w:val="center"/>
                    <w:rPr>
                      <w:rFonts w:hint="eastAsia" w:ascii="Times New Roman" w:hAnsi="Times New Roman" w:eastAsia="宋体" w:cs="Times New Roman"/>
                      <w:color w:val="auto"/>
                      <w:szCs w:val="21"/>
                      <w:highlight w:val="none"/>
                      <w:lang w:val="en-US" w:eastAsia="zh-CN"/>
                    </w:rPr>
                  </w:pPr>
                </w:p>
              </w:tc>
            </w:tr>
            <w:tr w14:paraId="5C080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65" w:type="pct"/>
                  <w:vMerge w:val="continue"/>
                  <w:tcBorders>
                    <w:tl2br w:val="nil"/>
                    <w:tr2bl w:val="nil"/>
                  </w:tcBorders>
                  <w:vAlign w:val="center"/>
                </w:tcPr>
                <w:p w14:paraId="4C85CD1C">
                  <w:pPr>
                    <w:jc w:val="center"/>
                    <w:rPr>
                      <w:rFonts w:hint="eastAsia" w:ascii="Times New Roman" w:hAnsi="Times New Roman" w:eastAsia="宋体" w:cs="Times New Roman"/>
                      <w:color w:val="auto"/>
                      <w:szCs w:val="21"/>
                      <w:highlight w:val="none"/>
                      <w:lang w:val="en-US" w:eastAsia="zh-CN"/>
                    </w:rPr>
                  </w:pPr>
                </w:p>
              </w:tc>
              <w:tc>
                <w:tcPr>
                  <w:tcW w:w="731" w:type="pct"/>
                  <w:vMerge w:val="continue"/>
                  <w:tcBorders>
                    <w:tl2br w:val="nil"/>
                    <w:tr2bl w:val="nil"/>
                  </w:tcBorders>
                  <w:vAlign w:val="center"/>
                </w:tcPr>
                <w:p w14:paraId="75038959">
                  <w:pPr>
                    <w:jc w:val="center"/>
                    <w:rPr>
                      <w:rFonts w:hint="eastAsia" w:ascii="Times New Roman" w:hAnsi="Times New Roman" w:eastAsia="宋体" w:cs="Times New Roman"/>
                      <w:color w:val="auto"/>
                      <w:szCs w:val="21"/>
                      <w:highlight w:val="none"/>
                      <w:lang w:val="en-US" w:eastAsia="zh-CN"/>
                    </w:rPr>
                  </w:pPr>
                </w:p>
              </w:tc>
              <w:tc>
                <w:tcPr>
                  <w:tcW w:w="714" w:type="pct"/>
                  <w:tcBorders>
                    <w:tl2br w:val="nil"/>
                    <w:tr2bl w:val="nil"/>
                  </w:tcBorders>
                  <w:shd w:val="clear" w:color="auto" w:fill="auto"/>
                  <w:vAlign w:val="center"/>
                </w:tcPr>
                <w:p w14:paraId="68502A3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打胶废气</w:t>
                  </w:r>
                </w:p>
              </w:tc>
              <w:tc>
                <w:tcPr>
                  <w:tcW w:w="854" w:type="pct"/>
                  <w:tcBorders>
                    <w:tl2br w:val="nil"/>
                    <w:tr2bl w:val="nil"/>
                  </w:tcBorders>
                  <w:vAlign w:val="center"/>
                </w:tcPr>
                <w:p w14:paraId="03FD986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h</w:t>
                  </w:r>
                </w:p>
              </w:tc>
              <w:tc>
                <w:tcPr>
                  <w:tcW w:w="1685" w:type="pct"/>
                  <w:tcBorders>
                    <w:tl2br w:val="nil"/>
                    <w:tr2bl w:val="nil"/>
                  </w:tcBorders>
                  <w:vAlign w:val="center"/>
                </w:tcPr>
                <w:p w14:paraId="20866031">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通过2#二级活性炭吸附装置处理后，由一根25m高的排气筒FQ-3排放</w:t>
                  </w:r>
                </w:p>
              </w:tc>
              <w:tc>
                <w:tcPr>
                  <w:tcW w:w="549" w:type="pct"/>
                  <w:vMerge w:val="continue"/>
                  <w:tcBorders>
                    <w:tl2br w:val="nil"/>
                    <w:tr2bl w:val="nil"/>
                  </w:tcBorders>
                  <w:vAlign w:val="center"/>
                </w:tcPr>
                <w:p w14:paraId="35E7C5E7">
                  <w:pPr>
                    <w:jc w:val="center"/>
                    <w:rPr>
                      <w:rFonts w:hint="eastAsia" w:ascii="Times New Roman" w:hAnsi="Times New Roman" w:eastAsia="宋体" w:cs="Times New Roman"/>
                      <w:color w:val="auto"/>
                      <w:szCs w:val="21"/>
                      <w:highlight w:val="none"/>
                      <w:lang w:val="en-US" w:eastAsia="zh-CN"/>
                    </w:rPr>
                  </w:pPr>
                </w:p>
              </w:tc>
            </w:tr>
            <w:tr w14:paraId="72B43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583A2FCC">
                  <w:pPr>
                    <w:jc w:val="center"/>
                    <w:rPr>
                      <w:rFonts w:hint="default" w:ascii="Times New Roman" w:hAnsi="Times New Roman" w:eastAsia="宋体" w:cs="Times New Roman"/>
                      <w:color w:val="auto"/>
                      <w:szCs w:val="21"/>
                      <w:highlight w:val="none"/>
                    </w:rPr>
                  </w:pPr>
                </w:p>
              </w:tc>
              <w:tc>
                <w:tcPr>
                  <w:tcW w:w="1445" w:type="pct"/>
                  <w:gridSpan w:val="2"/>
                  <w:tcBorders>
                    <w:tl2br w:val="nil"/>
                    <w:tr2bl w:val="nil"/>
                  </w:tcBorders>
                  <w:vAlign w:val="center"/>
                </w:tcPr>
                <w:p w14:paraId="26C8734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854" w:type="pct"/>
                  <w:tcBorders>
                    <w:tl2br w:val="nil"/>
                    <w:tr2bl w:val="nil"/>
                  </w:tcBorders>
                  <w:vAlign w:val="center"/>
                </w:tcPr>
                <w:p w14:paraId="28CD27DD">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降噪25dB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85" w:type="pct"/>
                  <w:tcBorders>
                    <w:tl2br w:val="nil"/>
                    <w:tr2bl w:val="nil"/>
                  </w:tcBorders>
                  <w:vAlign w:val="center"/>
                </w:tcPr>
                <w:p w14:paraId="130A5DF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选取厂房隔声、距离衰减</w:t>
                  </w:r>
                </w:p>
              </w:tc>
              <w:tc>
                <w:tcPr>
                  <w:tcW w:w="549" w:type="pct"/>
                  <w:tcBorders>
                    <w:tl2br w:val="nil"/>
                    <w:tr2bl w:val="nil"/>
                  </w:tcBorders>
                  <w:vAlign w:val="center"/>
                </w:tcPr>
                <w:p w14:paraId="6D2FB26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厂界达标</w:t>
                  </w:r>
                </w:p>
              </w:tc>
            </w:tr>
            <w:tr w14:paraId="4BB8B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22A125F7">
                  <w:pPr>
                    <w:jc w:val="center"/>
                    <w:rPr>
                      <w:rFonts w:hint="default" w:ascii="Times New Roman" w:hAnsi="Times New Roman" w:eastAsia="宋体" w:cs="Times New Roman"/>
                      <w:color w:val="auto"/>
                      <w:szCs w:val="21"/>
                      <w:highlight w:val="none"/>
                    </w:rPr>
                  </w:pPr>
                </w:p>
              </w:tc>
              <w:tc>
                <w:tcPr>
                  <w:tcW w:w="731" w:type="pct"/>
                  <w:vMerge w:val="restart"/>
                  <w:tcBorders>
                    <w:tl2br w:val="nil"/>
                    <w:tr2bl w:val="nil"/>
                  </w:tcBorders>
                  <w:vAlign w:val="center"/>
                </w:tcPr>
                <w:p w14:paraId="66ED2A2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714" w:type="pct"/>
                  <w:tcBorders>
                    <w:tl2br w:val="nil"/>
                    <w:tr2bl w:val="nil"/>
                  </w:tcBorders>
                  <w:vAlign w:val="center"/>
                </w:tcPr>
                <w:p w14:paraId="1E486FF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一般固废堆场</w:t>
                  </w:r>
                </w:p>
              </w:tc>
              <w:tc>
                <w:tcPr>
                  <w:tcW w:w="854" w:type="pct"/>
                  <w:tcBorders>
                    <w:tl2br w:val="nil"/>
                    <w:tr2bl w:val="nil"/>
                  </w:tcBorders>
                  <w:vAlign w:val="center"/>
                </w:tcPr>
                <w:p w14:paraId="6C1F96EA">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195EA44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位于</w:t>
                  </w:r>
                  <w:r>
                    <w:rPr>
                      <w:rFonts w:hint="eastAsia" w:ascii="Times New Roman" w:hAnsi="Times New Roman" w:eastAsia="宋体" w:cs="Times New Roman"/>
                      <w:color w:val="auto"/>
                      <w:szCs w:val="21"/>
                      <w:highlight w:val="none"/>
                      <w:lang w:val="en-US" w:eastAsia="zh-CN"/>
                    </w:rPr>
                    <w:t>生产</w:t>
                  </w:r>
                  <w:r>
                    <w:rPr>
                      <w:rFonts w:hint="default" w:ascii="Times New Roman" w:hAnsi="Times New Roman" w:eastAsia="宋体" w:cs="Times New Roman"/>
                      <w:color w:val="auto"/>
                      <w:szCs w:val="21"/>
                      <w:highlight w:val="none"/>
                    </w:rPr>
                    <w:t>车间</w:t>
                  </w:r>
                  <w:r>
                    <w:rPr>
                      <w:rFonts w:hint="eastAsia" w:ascii="Times New Roman" w:hAnsi="Times New Roman" w:eastAsia="宋体" w:cs="Times New Roman"/>
                      <w:color w:val="auto"/>
                      <w:szCs w:val="21"/>
                      <w:highlight w:val="none"/>
                      <w:lang w:val="en-US" w:eastAsia="zh-CN"/>
                    </w:rPr>
                    <w:t>北</w:t>
                  </w:r>
                  <w:r>
                    <w:rPr>
                      <w:rFonts w:hint="default" w:ascii="Times New Roman" w:hAnsi="Times New Roman" w:eastAsia="宋体" w:cs="Times New Roman"/>
                      <w:color w:val="auto"/>
                      <w:szCs w:val="21"/>
                      <w:highlight w:val="none"/>
                    </w:rPr>
                    <w:t>侧，堆放一般固废</w:t>
                  </w:r>
                </w:p>
              </w:tc>
              <w:tc>
                <w:tcPr>
                  <w:tcW w:w="549" w:type="pct"/>
                  <w:tcBorders>
                    <w:tl2br w:val="nil"/>
                    <w:tr2bl w:val="nil"/>
                  </w:tcBorders>
                  <w:vAlign w:val="center"/>
                </w:tcPr>
                <w:p w14:paraId="7634EE4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新建</w:t>
                  </w:r>
                </w:p>
              </w:tc>
            </w:tr>
            <w:tr w14:paraId="3A6EB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vAlign w:val="center"/>
                </w:tcPr>
                <w:p w14:paraId="417FD7C5">
                  <w:pPr>
                    <w:jc w:val="center"/>
                    <w:rPr>
                      <w:rFonts w:hint="default" w:ascii="Times New Roman" w:hAnsi="Times New Roman" w:eastAsia="宋体" w:cs="Times New Roman"/>
                      <w:color w:val="auto"/>
                      <w:szCs w:val="21"/>
                      <w:highlight w:val="none"/>
                    </w:rPr>
                  </w:pPr>
                </w:p>
              </w:tc>
              <w:tc>
                <w:tcPr>
                  <w:tcW w:w="731" w:type="pct"/>
                  <w:vMerge w:val="continue"/>
                  <w:tcBorders>
                    <w:tl2br w:val="nil"/>
                    <w:tr2bl w:val="nil"/>
                  </w:tcBorders>
                  <w:vAlign w:val="center"/>
                </w:tcPr>
                <w:p w14:paraId="08DAD319">
                  <w:pPr>
                    <w:jc w:val="center"/>
                    <w:rPr>
                      <w:rFonts w:hint="default" w:ascii="Times New Roman" w:hAnsi="Times New Roman" w:eastAsia="宋体" w:cs="Times New Roman"/>
                      <w:color w:val="auto"/>
                      <w:szCs w:val="21"/>
                      <w:highlight w:val="none"/>
                    </w:rPr>
                  </w:pPr>
                </w:p>
              </w:tc>
              <w:tc>
                <w:tcPr>
                  <w:tcW w:w="714" w:type="pct"/>
                  <w:tcBorders>
                    <w:tl2br w:val="nil"/>
                    <w:tr2bl w:val="nil"/>
                  </w:tcBorders>
                  <w:vAlign w:val="center"/>
                </w:tcPr>
                <w:p w14:paraId="1CA91C8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危废</w:t>
                  </w:r>
                  <w:r>
                    <w:rPr>
                      <w:rFonts w:hint="default" w:ascii="Times New Roman" w:hAnsi="Times New Roman" w:eastAsia="宋体" w:cs="Times New Roman"/>
                      <w:color w:val="auto"/>
                      <w:szCs w:val="21"/>
                      <w:highlight w:val="none"/>
                      <w:lang w:val="en-US" w:eastAsia="zh-CN"/>
                    </w:rPr>
                    <w:t>暂存间</w:t>
                  </w:r>
                </w:p>
              </w:tc>
              <w:tc>
                <w:tcPr>
                  <w:tcW w:w="854" w:type="pct"/>
                  <w:tcBorders>
                    <w:tl2br w:val="nil"/>
                    <w:tr2bl w:val="nil"/>
                  </w:tcBorders>
                  <w:vAlign w:val="center"/>
                </w:tcPr>
                <w:p w14:paraId="2B876A5B">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685" w:type="pct"/>
                  <w:tcBorders>
                    <w:tl2br w:val="nil"/>
                    <w:tr2bl w:val="nil"/>
                  </w:tcBorders>
                  <w:vAlign w:val="center"/>
                </w:tcPr>
                <w:p w14:paraId="11B75BB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位于</w:t>
                  </w:r>
                  <w:r>
                    <w:rPr>
                      <w:rFonts w:hint="eastAsia" w:ascii="Times New Roman" w:hAnsi="Times New Roman" w:eastAsia="宋体" w:cs="Times New Roman"/>
                      <w:color w:val="auto"/>
                      <w:szCs w:val="21"/>
                      <w:highlight w:val="none"/>
                      <w:lang w:val="en-US" w:eastAsia="zh-CN"/>
                    </w:rPr>
                    <w:t>生产</w:t>
                  </w:r>
                  <w:r>
                    <w:rPr>
                      <w:rFonts w:hint="default" w:ascii="Times New Roman" w:hAnsi="Times New Roman" w:eastAsia="宋体" w:cs="Times New Roman"/>
                      <w:color w:val="auto"/>
                      <w:szCs w:val="21"/>
                      <w:highlight w:val="none"/>
                    </w:rPr>
                    <w:t>车间</w:t>
                  </w:r>
                  <w:r>
                    <w:rPr>
                      <w:rFonts w:hint="eastAsia" w:ascii="Times New Roman" w:hAnsi="Times New Roman" w:eastAsia="宋体" w:cs="Times New Roman"/>
                      <w:color w:val="auto"/>
                      <w:szCs w:val="21"/>
                      <w:highlight w:val="none"/>
                      <w:lang w:val="en-US" w:eastAsia="zh-CN"/>
                    </w:rPr>
                    <w:t>北</w:t>
                  </w:r>
                  <w:r>
                    <w:rPr>
                      <w:rFonts w:hint="default" w:ascii="Times New Roman" w:hAnsi="Times New Roman" w:eastAsia="宋体" w:cs="Times New Roman"/>
                      <w:color w:val="auto"/>
                      <w:szCs w:val="21"/>
                      <w:highlight w:val="none"/>
                    </w:rPr>
                    <w:t>侧，存放危险废物</w:t>
                  </w:r>
                </w:p>
              </w:tc>
              <w:tc>
                <w:tcPr>
                  <w:tcW w:w="549" w:type="pct"/>
                  <w:tcBorders>
                    <w:tl2br w:val="nil"/>
                    <w:tr2bl w:val="nil"/>
                  </w:tcBorders>
                  <w:vAlign w:val="center"/>
                </w:tcPr>
                <w:p w14:paraId="7F94BE7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新建</w:t>
                  </w:r>
                </w:p>
              </w:tc>
            </w:tr>
            <w:tr w14:paraId="13398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5" w:type="pct"/>
                  <w:tcBorders>
                    <w:tl2br w:val="nil"/>
                    <w:tr2bl w:val="nil"/>
                  </w:tcBorders>
                  <w:shd w:val="clear" w:color="auto" w:fill="auto"/>
                  <w:vAlign w:val="center"/>
                </w:tcPr>
                <w:p w14:paraId="0671B2A6">
                  <w:pPr>
                    <w:pStyle w:val="75"/>
                    <w:ind w:firstLine="0" w:firstLineChars="0"/>
                    <w:rPr>
                      <w:rFonts w:hint="default" w:eastAsia="宋体" w:asciiTheme="minorHAnsi" w:hAnsiTheme="minorHAnsi" w:cstheme="minorBidi"/>
                      <w:color w:val="auto"/>
                      <w:kern w:val="0"/>
                      <w:sz w:val="21"/>
                      <w:szCs w:val="20"/>
                      <w:highlight w:val="none"/>
                      <w:lang w:val="en-US" w:eastAsia="zh-CN" w:bidi="ar-SA"/>
                    </w:rPr>
                  </w:pPr>
                  <w:r>
                    <w:rPr>
                      <w:rFonts w:hint="eastAsia"/>
                      <w:color w:val="auto"/>
                      <w:highlight w:val="none"/>
                      <w:lang w:val="en-US" w:eastAsia="zh-CN"/>
                    </w:rPr>
                    <w:t>风险工程</w:t>
                  </w:r>
                </w:p>
              </w:tc>
              <w:tc>
                <w:tcPr>
                  <w:tcW w:w="731" w:type="pct"/>
                  <w:tcBorders>
                    <w:tl2br w:val="nil"/>
                    <w:tr2bl w:val="nil"/>
                  </w:tcBorders>
                  <w:shd w:val="clear" w:color="auto" w:fill="auto"/>
                  <w:vAlign w:val="center"/>
                </w:tcPr>
                <w:p w14:paraId="367D80FC">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环境风险应急设施</w:t>
                  </w:r>
                </w:p>
              </w:tc>
              <w:tc>
                <w:tcPr>
                  <w:tcW w:w="3253" w:type="pct"/>
                  <w:gridSpan w:val="3"/>
                  <w:tcBorders>
                    <w:tl2br w:val="nil"/>
                    <w:tr2bl w:val="nil"/>
                  </w:tcBorders>
                  <w:shd w:val="clear" w:color="auto" w:fill="auto"/>
                  <w:vAlign w:val="center"/>
                </w:tcPr>
                <w:p w14:paraId="29E9D5AC">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rPr>
                    <w:t>车间内配套消防灭火设施</w:t>
                  </w:r>
                  <w:r>
                    <w:rPr>
                      <w:rFonts w:hint="eastAsia"/>
                      <w:color w:val="auto"/>
                      <w:sz w:val="21"/>
                      <w:szCs w:val="21"/>
                      <w:highlight w:val="none"/>
                      <w:lang w:eastAsia="zh-CN"/>
                    </w:rPr>
                    <w:t>，</w:t>
                  </w:r>
                  <w:r>
                    <w:rPr>
                      <w:rFonts w:hint="eastAsia"/>
                      <w:color w:val="auto"/>
                      <w:sz w:val="21"/>
                      <w:szCs w:val="21"/>
                      <w:highlight w:val="none"/>
                      <w:lang w:val="en-US" w:eastAsia="zh-CN"/>
                    </w:rPr>
                    <w:t>园区已建设70m³事故应急池</w:t>
                  </w:r>
                </w:p>
              </w:tc>
              <w:tc>
                <w:tcPr>
                  <w:tcW w:w="549" w:type="pct"/>
                  <w:tcBorders>
                    <w:tl2br w:val="nil"/>
                    <w:tr2bl w:val="nil"/>
                  </w:tcBorders>
                  <w:shd w:val="clear" w:color="auto" w:fill="auto"/>
                  <w:vAlign w:val="center"/>
                </w:tcPr>
                <w:p w14:paraId="47CFCD1F">
                  <w:pPr>
                    <w:pStyle w:val="75"/>
                    <w:spacing w:line="240" w:lineRule="auto"/>
                    <w:ind w:firstLine="0" w:firstLineChars="0"/>
                    <w:rPr>
                      <w:rFonts w:hint="default" w:asciiTheme="minorHAnsi" w:hAnsiTheme="minorHAnsi" w:eastAsiaTheme="minorEastAsia" w:cstheme="minorBidi"/>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依托现有</w:t>
                  </w:r>
                </w:p>
              </w:tc>
            </w:tr>
          </w:tbl>
          <w:p w14:paraId="2C9D5B05">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依托可行性分析：</w:t>
            </w:r>
          </w:p>
          <w:p w14:paraId="2AAAB2B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本项目</w:t>
            </w:r>
            <w:r>
              <w:rPr>
                <w:rFonts w:hint="eastAsia" w:ascii="Times New Roman" w:hAnsi="Times New Roman" w:eastAsia="宋体" w:cs="Times New Roman"/>
                <w:color w:val="auto"/>
                <w:sz w:val="24"/>
                <w:highlight w:val="none"/>
                <w:lang w:val="en-US" w:eastAsia="zh-CN"/>
              </w:rPr>
              <w:t>租赁</w:t>
            </w:r>
            <w:r>
              <w:rPr>
                <w:rFonts w:hint="default" w:ascii="Times New Roman" w:hAnsi="Times New Roman" w:eastAsia="宋体" w:cs="Times New Roman"/>
                <w:color w:val="auto"/>
                <w:sz w:val="24"/>
                <w:highlight w:val="none"/>
                <w:lang w:val="en-US" w:eastAsia="zh-CN"/>
              </w:rPr>
              <w:t>位于</w:t>
            </w:r>
            <w:r>
              <w:rPr>
                <w:rFonts w:hint="eastAsia" w:ascii="Times New Roman" w:hAnsi="Times New Roman" w:eastAsia="宋体" w:cs="Times New Roman"/>
                <w:color w:val="auto"/>
                <w:sz w:val="24"/>
                <w:highlight w:val="none"/>
                <w:lang w:eastAsia="zh-CN"/>
              </w:rPr>
              <w:t>常州市金坛区晨风路1136号（金坛控股中南高科创新园）14幢</w:t>
            </w:r>
            <w:r>
              <w:rPr>
                <w:rFonts w:hint="default" w:ascii="Times New Roman" w:hAnsi="Times New Roman" w:eastAsia="宋体" w:cs="Times New Roman"/>
                <w:color w:val="auto"/>
                <w:sz w:val="24"/>
                <w:highlight w:val="none"/>
                <w:lang w:val="en-US" w:eastAsia="zh-CN"/>
              </w:rPr>
              <w:t>内的现有空置厂房（</w:t>
            </w:r>
            <w:r>
              <w:rPr>
                <w:rFonts w:hint="eastAsia" w:ascii="Times New Roman" w:hAnsi="Times New Roman" w:eastAsia="宋体" w:cs="Times New Roman"/>
                <w:color w:val="auto"/>
                <w:sz w:val="24"/>
                <w:highlight w:val="none"/>
                <w:lang w:val="en-US" w:eastAsia="zh-CN"/>
              </w:rPr>
              <w:t>1-3层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，建筑面积共</w:t>
            </w:r>
            <w:r>
              <w:rPr>
                <w:rFonts w:hint="eastAsia" w:ascii="Times New Roman" w:hAnsi="Times New Roman" w:eastAsia="宋体" w:cs="Times New Roman"/>
                <w:color w:val="auto"/>
                <w:sz w:val="24"/>
                <w:highlight w:val="none"/>
                <w:lang w:val="en-US" w:eastAsia="zh-CN"/>
              </w:rPr>
              <w:t>13652.88</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2</w:t>
            </w:r>
            <w:r>
              <w:rPr>
                <w:rFonts w:hint="default" w:ascii="Times New Roman" w:hAnsi="Times New Roman" w:eastAsia="宋体" w:cs="Times New Roman"/>
                <w:color w:val="auto"/>
                <w:sz w:val="24"/>
                <w:highlight w:val="none"/>
                <w:lang w:eastAsia="zh-CN"/>
              </w:rPr>
              <w:t>，可满足本项目生产所需；</w:t>
            </w:r>
            <w:r>
              <w:rPr>
                <w:rFonts w:hint="eastAsia" w:ascii="Times New Roman" w:hAnsi="Times New Roman" w:eastAsia="宋体" w:cs="Times New Roman"/>
                <w:color w:val="auto"/>
                <w:sz w:val="24"/>
                <w:highlight w:val="none"/>
                <w:lang w:eastAsia="zh-CN"/>
              </w:rPr>
              <w:t>金坛控股中南高科创新园</w:t>
            </w:r>
            <w:r>
              <w:rPr>
                <w:rFonts w:hint="default" w:ascii="Times New Roman" w:hAnsi="Times New Roman" w:eastAsia="宋体" w:cs="Times New Roman"/>
                <w:color w:val="auto"/>
                <w:sz w:val="24"/>
                <w:highlight w:val="none"/>
                <w:lang w:eastAsia="zh-CN"/>
              </w:rPr>
              <w:t>内已实施雨污分流，已建设污水管网及排口、雨水管网及排口、供电线路及供水管网。供水由市政给水管网提供，依托</w:t>
            </w:r>
            <w:r>
              <w:rPr>
                <w:rFonts w:hint="eastAsia"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区已建管网；排水依托</w:t>
            </w:r>
            <w:r>
              <w:rPr>
                <w:rFonts w:hint="eastAsia"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区现有雨污管网，供电依托</w:t>
            </w:r>
            <w:r>
              <w:rPr>
                <w:rFonts w:hint="eastAsia"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区供电管网，满足本项目使用需求。</w:t>
            </w:r>
          </w:p>
          <w:p w14:paraId="6C2FB481">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公用工程说明：</w:t>
            </w:r>
          </w:p>
          <w:p w14:paraId="197BE47A">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（1）给</w:t>
            </w:r>
            <w:r>
              <w:rPr>
                <w:rFonts w:hint="default" w:ascii="Times New Roman" w:hAnsi="Times New Roman" w:eastAsia="宋体" w:cs="Times New Roman"/>
                <w:b/>
                <w:color w:val="auto"/>
                <w:sz w:val="24"/>
                <w:szCs w:val="24"/>
                <w:highlight w:val="none"/>
                <w:lang w:val="en-US" w:eastAsia="zh-CN"/>
              </w:rPr>
              <w:t>排</w:t>
            </w:r>
            <w:r>
              <w:rPr>
                <w:rFonts w:hint="default" w:ascii="Times New Roman" w:hAnsi="Times New Roman" w:eastAsia="宋体" w:cs="Times New Roman"/>
                <w:b/>
                <w:color w:val="auto"/>
                <w:sz w:val="24"/>
                <w:szCs w:val="24"/>
                <w:highlight w:val="none"/>
              </w:rPr>
              <w:t>水</w:t>
            </w:r>
          </w:p>
          <w:p w14:paraId="1AC51D9E">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生活用水：</w:t>
            </w:r>
            <w:r>
              <w:rPr>
                <w:rFonts w:hint="default" w:ascii="Times New Roman" w:hAnsi="Times New Roman" w:eastAsia="宋体" w:cs="Times New Roman"/>
                <w:bCs/>
                <w:color w:val="auto"/>
                <w:sz w:val="24"/>
                <w:szCs w:val="24"/>
                <w:highlight w:val="none"/>
              </w:rPr>
              <w:t>本项目员工定员为</w:t>
            </w:r>
            <w:r>
              <w:rPr>
                <w:rFonts w:hint="eastAsia" w:ascii="Times New Roman" w:hAnsi="Times New Roman" w:eastAsia="宋体" w:cs="Times New Roman"/>
                <w:bCs/>
                <w:color w:val="auto"/>
                <w:sz w:val="24"/>
                <w:szCs w:val="24"/>
                <w:highlight w:val="none"/>
                <w:lang w:val="en-US" w:eastAsia="zh-CN"/>
              </w:rPr>
              <w:t>45</w:t>
            </w:r>
            <w:r>
              <w:rPr>
                <w:rFonts w:hint="default" w:ascii="Times New Roman" w:hAnsi="Times New Roman" w:eastAsia="宋体" w:cs="Times New Roman"/>
                <w:bCs/>
                <w:color w:val="auto"/>
                <w:sz w:val="24"/>
                <w:szCs w:val="24"/>
                <w:highlight w:val="none"/>
              </w:rPr>
              <w:t>人，年工作日约300天，根据《常州市工业、服务业和生活用水定额》（2016年修订），办公生活用水量按照</w:t>
            </w:r>
            <w:r>
              <w:rPr>
                <w:rFonts w:hint="eastAsia"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rPr>
              <w:t>0L/人·d计算，则本项目生活用水量为</w:t>
            </w:r>
            <w:r>
              <w:rPr>
                <w:rFonts w:hint="eastAsia" w:ascii="Times New Roman" w:hAnsi="Times New Roman" w:eastAsia="宋体" w:cs="Times New Roman"/>
                <w:bCs/>
                <w:color w:val="auto"/>
                <w:sz w:val="24"/>
                <w:szCs w:val="24"/>
                <w:highlight w:val="none"/>
                <w:lang w:val="en-US" w:eastAsia="zh-CN"/>
              </w:rPr>
              <w:t>135</w:t>
            </w:r>
            <w:r>
              <w:rPr>
                <w:rFonts w:hint="default" w:ascii="Times New Roman" w:hAnsi="Times New Roman" w:eastAsia="宋体" w:cs="Times New Roman"/>
                <w:bCs/>
                <w:color w:val="auto"/>
                <w:sz w:val="24"/>
                <w:szCs w:val="24"/>
                <w:highlight w:val="none"/>
              </w:rPr>
              <w:t>0t/a。生活污水量按照用水量的80%计，污水产生量约</w:t>
            </w:r>
            <w:r>
              <w:rPr>
                <w:rFonts w:hint="eastAsia" w:ascii="Times New Roman" w:hAnsi="Times New Roman" w:eastAsia="宋体" w:cs="Times New Roman"/>
                <w:bCs/>
                <w:color w:val="auto"/>
                <w:sz w:val="24"/>
                <w:szCs w:val="24"/>
                <w:highlight w:val="none"/>
                <w:lang w:val="en-US" w:eastAsia="zh-CN"/>
              </w:rPr>
              <w:t>1080</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val="en-US" w:eastAsia="zh-CN"/>
              </w:rPr>
              <w:t>经市政污水管网接至</w:t>
            </w:r>
            <w:r>
              <w:rPr>
                <w:rFonts w:hint="default" w:ascii="Times New Roman" w:hAnsi="Times New Roman" w:eastAsia="宋体" w:cs="Times New Roman"/>
                <w:color w:val="auto"/>
                <w:sz w:val="24"/>
                <w:highlight w:val="none"/>
              </w:rPr>
              <w:t>常州市金坛第二污水处理厂集中处理，处理后尾水排入尧塘河。</w:t>
            </w:r>
          </w:p>
          <w:p w14:paraId="207A794E">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color w:val="auto"/>
                <w:sz w:val="24"/>
                <w:szCs w:val="24"/>
                <w:highlight w:val="none"/>
                <w:lang w:val="en-US" w:eastAsia="zh-CN"/>
              </w:rPr>
              <w:t>脱脂用</w:t>
            </w:r>
            <w:r>
              <w:rPr>
                <w:rFonts w:hint="default" w:ascii="Times New Roman" w:hAnsi="Times New Roman" w:eastAsia="宋体" w:cs="Times New Roman"/>
                <w:b/>
                <w:color w:val="auto"/>
                <w:sz w:val="24"/>
                <w:szCs w:val="24"/>
                <w:highlight w:val="none"/>
              </w:rPr>
              <w:t>水</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本项目</w:t>
            </w:r>
            <w:r>
              <w:rPr>
                <w:rFonts w:hint="eastAsia" w:ascii="Times New Roman" w:hAnsi="Times New Roman" w:eastAsia="宋体" w:cs="Times New Roman"/>
                <w:b w:val="0"/>
                <w:bCs/>
                <w:color w:val="auto"/>
                <w:sz w:val="24"/>
                <w:szCs w:val="24"/>
                <w:highlight w:val="none"/>
                <w:lang w:val="en-US" w:eastAsia="zh-CN"/>
              </w:rPr>
              <w:t>采用脱脂剂去除金属制品表面油脂，脱脂剂加水进行调配，预脱脂槽中水和脱脂剂的配比为</w:t>
            </w:r>
            <w:r>
              <w:rPr>
                <w:rFonts w:hint="default" w:ascii="Times New Roman" w:hAnsi="Times New Roman" w:eastAsia="宋体" w:cs="Times New Roman"/>
                <w:b w:val="0"/>
                <w:bCs/>
                <w:color w:val="auto"/>
                <w:sz w:val="24"/>
                <w:szCs w:val="24"/>
                <w:highlight w:val="none"/>
                <w:lang w:val="en-US" w:eastAsia="zh-CN"/>
              </w:rPr>
              <w:t>20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，主脱脂槽中水和脱脂剂的配比为1</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在脱脂过程中，随着清洗时间的延长，清洗槽液中污染物浓度逐渐增加，有效脱脂浓度逐渐下降，当到达一定程度时，需要对脱脂液进行定期更换，预脱脂槽更换频次为6次/a，主脱脂槽更换频次为4次/年。则预脱脂废水用水量为10t/a，主脱脂用水量为8t/a。</w:t>
            </w:r>
          </w:p>
          <w:p w14:paraId="28B5CE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水洗用水：</w:t>
            </w:r>
            <w:r>
              <w:rPr>
                <w:rFonts w:hint="default" w:ascii="Times New Roman" w:hAnsi="Times New Roman" w:eastAsia="宋体" w:cs="Times New Roman"/>
                <w:b w:val="0"/>
                <w:bCs/>
                <w:color w:val="auto"/>
                <w:sz w:val="24"/>
                <w:szCs w:val="24"/>
                <w:highlight w:val="none"/>
              </w:rPr>
              <w:t>本项目</w:t>
            </w:r>
            <w:r>
              <w:rPr>
                <w:rFonts w:hint="eastAsia" w:ascii="Times New Roman" w:hAnsi="Times New Roman" w:eastAsia="宋体" w:cs="Times New Roman"/>
                <w:b w:val="0"/>
                <w:bCs/>
                <w:color w:val="auto"/>
                <w:sz w:val="24"/>
                <w:szCs w:val="24"/>
                <w:highlight w:val="none"/>
                <w:lang w:val="en-US" w:eastAsia="zh-CN"/>
              </w:rPr>
              <w:t>采用自来水对加工后的工件进行清洗，洗去工件表面残留的脱脂剂和硅烷处理剂，两个槽液更换频次为18次/年，则水洗用水量为136t/a</w:t>
            </w:r>
            <w:r>
              <w:rPr>
                <w:rFonts w:hint="default" w:ascii="Times New Roman" w:hAnsi="Times New Roman" w:eastAsia="宋体" w:cs="Times New Roman"/>
                <w:b w:val="0"/>
                <w:bCs/>
                <w:color w:val="auto"/>
                <w:sz w:val="24"/>
                <w:szCs w:val="24"/>
                <w:highlight w:val="none"/>
              </w:rPr>
              <w:t>。</w:t>
            </w:r>
          </w:p>
          <w:p w14:paraId="7C83A08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color w:val="auto"/>
                <w:sz w:val="24"/>
                <w:szCs w:val="24"/>
                <w:highlight w:val="none"/>
                <w:lang w:val="en-US" w:eastAsia="zh-CN"/>
              </w:rPr>
              <w:t>硅烷化用</w:t>
            </w:r>
            <w:r>
              <w:rPr>
                <w:rFonts w:hint="default" w:ascii="Times New Roman" w:hAnsi="Times New Roman" w:eastAsia="宋体" w:cs="Times New Roman"/>
                <w:b/>
                <w:color w:val="auto"/>
                <w:sz w:val="24"/>
                <w:szCs w:val="24"/>
                <w:highlight w:val="none"/>
              </w:rPr>
              <w:t>水</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本项目</w:t>
            </w:r>
            <w:r>
              <w:rPr>
                <w:rFonts w:hint="eastAsia" w:ascii="Times New Roman" w:hAnsi="Times New Roman" w:eastAsia="宋体" w:cs="Times New Roman"/>
                <w:b w:val="0"/>
                <w:bCs/>
                <w:color w:val="auto"/>
                <w:sz w:val="24"/>
                <w:szCs w:val="24"/>
                <w:highlight w:val="none"/>
                <w:lang w:val="en-US" w:eastAsia="zh-CN"/>
              </w:rPr>
              <w:t>采用硅烷处理剂对产品进行表面处理，提高工件表面附着力，硅烷处理剂加水进行调配，水和硅烷处理剂的配比为</w:t>
            </w:r>
            <w:r>
              <w:rPr>
                <w:rFonts w:hint="default" w:ascii="Times New Roman" w:hAnsi="Times New Roman" w:eastAsia="宋体" w:cs="Times New Roman"/>
                <w:b w:val="0"/>
                <w:bCs/>
                <w:color w:val="auto"/>
                <w:sz w:val="24"/>
                <w:szCs w:val="24"/>
                <w:highlight w:val="none"/>
                <w:lang w:val="en-US" w:eastAsia="zh-CN"/>
              </w:rPr>
              <w:t>20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val="en-US" w:eastAsia="zh-CN"/>
              </w:rPr>
              <w:t>。槽液更换频次为4次/a，则全年补充水量为8t/a</w:t>
            </w:r>
            <w:r>
              <w:rPr>
                <w:rFonts w:hint="default" w:ascii="Times New Roman" w:hAnsi="Times New Roman" w:eastAsia="宋体" w:cs="Times New Roman"/>
                <w:b w:val="0"/>
                <w:bCs/>
                <w:color w:val="auto"/>
                <w:sz w:val="24"/>
                <w:szCs w:val="24"/>
                <w:highlight w:val="none"/>
              </w:rPr>
              <w:t>。</w:t>
            </w:r>
          </w:p>
          <w:p w14:paraId="00C695AE">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color w:val="auto"/>
                <w:sz w:val="24"/>
                <w:szCs w:val="24"/>
                <w:highlight w:val="none"/>
                <w:lang w:val="en-US" w:eastAsia="zh-CN"/>
              </w:rPr>
              <w:t>拖地用</w:t>
            </w:r>
            <w:r>
              <w:rPr>
                <w:rFonts w:hint="default" w:ascii="Times New Roman" w:hAnsi="Times New Roman" w:eastAsia="宋体" w:cs="Times New Roman"/>
                <w:b/>
                <w:color w:val="auto"/>
                <w:sz w:val="24"/>
                <w:szCs w:val="24"/>
                <w:highlight w:val="none"/>
              </w:rPr>
              <w:t>水</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厂房生产过程中，地面基本保持清洁，定期用拖地机清理，拖地</w:t>
            </w:r>
            <w:r>
              <w:rPr>
                <w:rFonts w:hint="eastAsia" w:ascii="Times New Roman" w:hAnsi="Times New Roman" w:eastAsia="宋体" w:cs="Times New Roman"/>
                <w:b w:val="0"/>
                <w:bCs/>
                <w:color w:val="auto"/>
                <w:sz w:val="24"/>
                <w:szCs w:val="24"/>
                <w:highlight w:val="none"/>
                <w:lang w:val="en-US" w:eastAsia="zh-CN"/>
              </w:rPr>
              <w:t>用水量为3t/a，每年约产生2t拖地废水进入污水处理站处理</w:t>
            </w:r>
            <w:r>
              <w:rPr>
                <w:rFonts w:hint="default" w:ascii="Times New Roman" w:hAnsi="Times New Roman" w:eastAsia="宋体" w:cs="Times New Roman"/>
                <w:b w:val="0"/>
                <w:bCs/>
                <w:color w:val="auto"/>
                <w:sz w:val="24"/>
                <w:szCs w:val="24"/>
                <w:highlight w:val="none"/>
              </w:rPr>
              <w:t>。</w:t>
            </w:r>
          </w:p>
          <w:p w14:paraId="2566502D">
            <w:pPr>
              <w:keepNext w:val="0"/>
              <w:keepLines w:val="0"/>
              <w:pageBreakBefore w:val="0"/>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color w:val="auto"/>
                <w:sz w:val="24"/>
                <w:szCs w:val="24"/>
                <w:highlight w:val="none"/>
                <w:lang w:val="en-US" w:eastAsia="zh-CN"/>
              </w:rPr>
              <w:t>企业设备无需清洗，不产生设备清洗废水。</w:t>
            </w:r>
          </w:p>
          <w:p w14:paraId="7EFBB7D3">
            <w:pPr>
              <w:keepNext w:val="0"/>
              <w:keepLines w:val="0"/>
              <w:pageBreakBefore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highlight w:val="none"/>
                <w:lang w:val="en-US" w:eastAsia="zh-CN"/>
              </w:rPr>
              <w:t>本项目前处理用排水见下表。</w:t>
            </w:r>
          </w:p>
          <w:p w14:paraId="72C2811D">
            <w:pPr>
              <w:pStyle w:val="59"/>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w:t>
            </w:r>
            <w:r>
              <w:rPr>
                <w:rFonts w:hint="eastAsia" w:ascii="Times New Roman" w:hAnsi="Times New Roman" w:eastAsia="宋体" w:cs="Times New Roman"/>
                <w:b/>
                <w:bCs w:val="0"/>
                <w:color w:val="auto"/>
                <w:spacing w:val="0"/>
                <w:sz w:val="24"/>
                <w:szCs w:val="24"/>
                <w:highlight w:val="none"/>
                <w:lang w:val="en-US" w:eastAsia="zh-CN"/>
              </w:rPr>
              <w:t>2</w:t>
            </w:r>
            <w:r>
              <w:rPr>
                <w:rFonts w:hint="default" w:ascii="Times New Roman" w:hAnsi="Times New Roman" w:eastAsia="宋体" w:cs="Times New Roman"/>
                <w:b/>
                <w:bCs w:val="0"/>
                <w:color w:val="auto"/>
                <w:spacing w:val="0"/>
                <w:sz w:val="24"/>
                <w:szCs w:val="24"/>
                <w:highlight w:val="none"/>
              </w:rPr>
              <w:t>-</w:t>
            </w:r>
            <w:r>
              <w:rPr>
                <w:rFonts w:hint="eastAsia" w:ascii="Times New Roman" w:hAnsi="Times New Roman" w:eastAsia="宋体" w:cs="Times New Roman"/>
                <w:b/>
                <w:bCs w:val="0"/>
                <w:color w:val="auto"/>
                <w:spacing w:val="0"/>
                <w:sz w:val="24"/>
                <w:szCs w:val="24"/>
                <w:highlight w:val="none"/>
                <w:lang w:val="en-US" w:eastAsia="zh-CN"/>
              </w:rPr>
              <w:t>10</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前处理用排水</w:t>
            </w:r>
            <w:r>
              <w:rPr>
                <w:rFonts w:hint="default" w:ascii="Times New Roman" w:hAnsi="Times New Roman" w:eastAsia="宋体" w:cs="Times New Roman"/>
                <w:b/>
                <w:bCs w:val="0"/>
                <w:color w:val="auto"/>
                <w:spacing w:val="0"/>
                <w:sz w:val="24"/>
                <w:szCs w:val="24"/>
                <w:highlight w:val="none"/>
              </w:rPr>
              <w:t>情况表</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078"/>
              <w:gridCol w:w="1139"/>
              <w:gridCol w:w="858"/>
              <w:gridCol w:w="867"/>
              <w:gridCol w:w="897"/>
              <w:gridCol w:w="878"/>
              <w:gridCol w:w="897"/>
              <w:gridCol w:w="877"/>
              <w:gridCol w:w="866"/>
            </w:tblGrid>
            <w:tr w14:paraId="49DE7A4F">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9" w:hRule="atLeast"/>
                <w:jc w:val="center"/>
              </w:trPr>
              <w:tc>
                <w:tcPr>
                  <w:tcW w:w="644" w:type="pct"/>
                  <w:noWrap w:val="0"/>
                  <w:vAlign w:val="center"/>
                </w:tcPr>
                <w:p w14:paraId="0EB544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槽体名称</w:t>
                  </w:r>
                </w:p>
              </w:tc>
              <w:tc>
                <w:tcPr>
                  <w:tcW w:w="681" w:type="pct"/>
                  <w:noWrap w:val="0"/>
                  <w:vAlign w:val="center"/>
                </w:tcPr>
                <w:p w14:paraId="3D163D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槽体积</w:t>
                  </w:r>
                </w:p>
              </w:tc>
              <w:tc>
                <w:tcPr>
                  <w:tcW w:w="513" w:type="pct"/>
                  <w:noWrap w:val="0"/>
                  <w:vAlign w:val="center"/>
                </w:tcPr>
                <w:p w14:paraId="05D1A8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有效容量（t）</w:t>
                  </w:r>
                </w:p>
              </w:tc>
              <w:tc>
                <w:tcPr>
                  <w:tcW w:w="518" w:type="pct"/>
                  <w:noWrap w:val="0"/>
                  <w:vAlign w:val="center"/>
                </w:tcPr>
                <w:p w14:paraId="675AF6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水和药剂配比</w:t>
                  </w:r>
                </w:p>
              </w:tc>
              <w:tc>
                <w:tcPr>
                  <w:tcW w:w="536" w:type="pct"/>
                  <w:noWrap w:val="0"/>
                  <w:vAlign w:val="center"/>
                </w:tcPr>
                <w:p w14:paraId="04EC24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更换频次</w:t>
                  </w:r>
                </w:p>
              </w:tc>
              <w:tc>
                <w:tcPr>
                  <w:tcW w:w="525" w:type="pct"/>
                  <w:noWrap w:val="0"/>
                  <w:vAlign w:val="center"/>
                </w:tcPr>
                <w:p w14:paraId="368BD5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用水</w:t>
                  </w:r>
                  <w:r>
                    <w:rPr>
                      <w:rFonts w:hint="default" w:ascii="Times New Roman" w:hAnsi="Times New Roman" w:eastAsia="宋体" w:cs="Times New Roman"/>
                      <w:b/>
                      <w:bCs w:val="0"/>
                      <w:smallCaps w:val="0"/>
                      <w:color w:val="auto"/>
                      <w:spacing w:val="0"/>
                      <w:sz w:val="21"/>
                      <w:szCs w:val="21"/>
                      <w:highlight w:val="none"/>
                      <w:lang w:val="en-US" w:eastAsia="zh-CN"/>
                    </w:rPr>
                    <w:t>量（t/a）</w:t>
                  </w:r>
                </w:p>
              </w:tc>
              <w:tc>
                <w:tcPr>
                  <w:tcW w:w="536" w:type="pct"/>
                  <w:noWrap w:val="0"/>
                  <w:vAlign w:val="center"/>
                </w:tcPr>
                <w:p w14:paraId="3F5A2E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药剂用量（t/a）</w:t>
                  </w:r>
                </w:p>
              </w:tc>
              <w:tc>
                <w:tcPr>
                  <w:tcW w:w="524" w:type="pct"/>
                  <w:noWrap w:val="0"/>
                  <w:vAlign w:val="center"/>
                </w:tcPr>
                <w:p w14:paraId="514E0D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损耗</w:t>
                  </w:r>
                  <w:r>
                    <w:rPr>
                      <w:rFonts w:hint="default" w:ascii="Times New Roman" w:hAnsi="Times New Roman" w:eastAsia="宋体" w:cs="Times New Roman"/>
                      <w:b/>
                      <w:bCs w:val="0"/>
                      <w:smallCaps w:val="0"/>
                      <w:color w:val="auto"/>
                      <w:spacing w:val="0"/>
                      <w:sz w:val="21"/>
                      <w:szCs w:val="21"/>
                      <w:highlight w:val="none"/>
                      <w:lang w:val="en-US" w:eastAsia="zh-CN"/>
                    </w:rPr>
                    <w:t>量（t/a）</w:t>
                  </w:r>
                </w:p>
              </w:tc>
              <w:tc>
                <w:tcPr>
                  <w:tcW w:w="518" w:type="pct"/>
                  <w:noWrap w:val="0"/>
                  <w:vAlign w:val="center"/>
                </w:tcPr>
                <w:p w14:paraId="2596D6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排水</w:t>
                  </w:r>
                  <w:r>
                    <w:rPr>
                      <w:rFonts w:hint="default" w:ascii="Times New Roman" w:hAnsi="Times New Roman" w:eastAsia="宋体" w:cs="Times New Roman"/>
                      <w:b/>
                      <w:bCs w:val="0"/>
                      <w:smallCaps w:val="0"/>
                      <w:color w:val="auto"/>
                      <w:spacing w:val="0"/>
                      <w:sz w:val="21"/>
                      <w:szCs w:val="21"/>
                      <w:highlight w:val="none"/>
                      <w:lang w:val="en-US" w:eastAsia="zh-CN"/>
                    </w:rPr>
                    <w:t>量（t/a）</w:t>
                  </w:r>
                </w:p>
              </w:tc>
            </w:tr>
            <w:tr w14:paraId="21A306BD">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noWrap w:val="0"/>
                  <w:vAlign w:val="center"/>
                </w:tcPr>
                <w:p w14:paraId="1E4B91D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预脱脂槽</w:t>
                  </w:r>
                </w:p>
              </w:tc>
              <w:tc>
                <w:tcPr>
                  <w:tcW w:w="681" w:type="pct"/>
                  <w:noWrap w:val="0"/>
                  <w:vAlign w:val="center"/>
                </w:tcPr>
                <w:p w14:paraId="0B57A45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noWrap w:val="0"/>
                  <w:vAlign w:val="center"/>
                </w:tcPr>
                <w:p w14:paraId="5C54F85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noWrap w:val="0"/>
                  <w:vAlign w:val="center"/>
                </w:tcPr>
                <w:p w14:paraId="429D918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w:t>
                  </w:r>
                </w:p>
              </w:tc>
              <w:tc>
                <w:tcPr>
                  <w:tcW w:w="536" w:type="pct"/>
                  <w:noWrap w:val="0"/>
                  <w:vAlign w:val="center"/>
                </w:tcPr>
                <w:p w14:paraId="0FFFBA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6次/年</w:t>
                  </w:r>
                </w:p>
              </w:tc>
              <w:tc>
                <w:tcPr>
                  <w:tcW w:w="525" w:type="pct"/>
                  <w:noWrap w:val="0"/>
                  <w:vAlign w:val="center"/>
                </w:tcPr>
                <w:p w14:paraId="3F6250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w:t>
                  </w:r>
                </w:p>
              </w:tc>
              <w:tc>
                <w:tcPr>
                  <w:tcW w:w="536" w:type="pct"/>
                  <w:noWrap w:val="0"/>
                  <w:vAlign w:val="center"/>
                </w:tcPr>
                <w:p w14:paraId="69D3BC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0.5</w:t>
                  </w:r>
                </w:p>
              </w:tc>
              <w:tc>
                <w:tcPr>
                  <w:tcW w:w="524" w:type="pct"/>
                  <w:noWrap w:val="0"/>
                  <w:vAlign w:val="center"/>
                </w:tcPr>
                <w:p w14:paraId="11B643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1.5</w:t>
                  </w:r>
                </w:p>
              </w:tc>
              <w:tc>
                <w:tcPr>
                  <w:tcW w:w="518" w:type="pct"/>
                  <w:noWrap w:val="0"/>
                  <w:vAlign w:val="center"/>
                </w:tcPr>
                <w:p w14:paraId="256C8B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9</w:t>
                  </w:r>
                </w:p>
              </w:tc>
            </w:tr>
            <w:tr w14:paraId="53D0399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shd w:val="clear" w:color="auto" w:fill="auto"/>
                  <w:noWrap w:val="0"/>
                  <w:vAlign w:val="center"/>
                </w:tcPr>
                <w:p w14:paraId="0FA0877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主脱脂槽</w:t>
                  </w:r>
                </w:p>
              </w:tc>
              <w:tc>
                <w:tcPr>
                  <w:tcW w:w="681" w:type="pct"/>
                  <w:shd w:val="clear" w:color="auto" w:fill="auto"/>
                  <w:noWrap w:val="0"/>
                  <w:vAlign w:val="center"/>
                </w:tcPr>
                <w:p w14:paraId="77C798A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681A75E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2515EFC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10:1</w:t>
                  </w:r>
                </w:p>
              </w:tc>
              <w:tc>
                <w:tcPr>
                  <w:tcW w:w="536" w:type="pct"/>
                  <w:shd w:val="clear" w:color="auto" w:fill="auto"/>
                  <w:noWrap w:val="0"/>
                  <w:vAlign w:val="center"/>
                </w:tcPr>
                <w:p w14:paraId="02E28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4次/年</w:t>
                  </w:r>
                </w:p>
              </w:tc>
              <w:tc>
                <w:tcPr>
                  <w:tcW w:w="525" w:type="pct"/>
                  <w:shd w:val="clear" w:color="auto" w:fill="auto"/>
                  <w:noWrap w:val="0"/>
                  <w:vAlign w:val="center"/>
                </w:tcPr>
                <w:p w14:paraId="005368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8</w:t>
                  </w:r>
                </w:p>
              </w:tc>
              <w:tc>
                <w:tcPr>
                  <w:tcW w:w="536" w:type="pct"/>
                  <w:shd w:val="clear" w:color="auto" w:fill="auto"/>
                  <w:noWrap w:val="0"/>
                  <w:vAlign w:val="center"/>
                </w:tcPr>
                <w:p w14:paraId="56C097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0.8</w:t>
                  </w:r>
                </w:p>
              </w:tc>
              <w:tc>
                <w:tcPr>
                  <w:tcW w:w="524" w:type="pct"/>
                  <w:shd w:val="clear" w:color="auto" w:fill="auto"/>
                  <w:noWrap w:val="0"/>
                  <w:vAlign w:val="center"/>
                </w:tcPr>
                <w:p w14:paraId="50B9B9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2.8</w:t>
                  </w:r>
                </w:p>
              </w:tc>
              <w:tc>
                <w:tcPr>
                  <w:tcW w:w="518" w:type="pct"/>
                  <w:shd w:val="clear" w:color="auto" w:fill="auto"/>
                  <w:noWrap w:val="0"/>
                  <w:vAlign w:val="center"/>
                </w:tcPr>
                <w:p w14:paraId="023CC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6</w:t>
                  </w:r>
                </w:p>
              </w:tc>
            </w:tr>
            <w:tr w14:paraId="75458717">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noWrap w:val="0"/>
                  <w:vAlign w:val="center"/>
                </w:tcPr>
                <w:p w14:paraId="501E8CE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水洗1槽</w:t>
                  </w:r>
                </w:p>
              </w:tc>
              <w:tc>
                <w:tcPr>
                  <w:tcW w:w="681" w:type="pct"/>
                  <w:noWrap w:val="0"/>
                  <w:vAlign w:val="center"/>
                </w:tcPr>
                <w:p w14:paraId="7CD131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160D9AF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06F192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36" w:type="pct"/>
                  <w:noWrap w:val="0"/>
                  <w:vAlign w:val="center"/>
                </w:tcPr>
                <w:p w14:paraId="600417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18次/年</w:t>
                  </w:r>
                </w:p>
              </w:tc>
              <w:tc>
                <w:tcPr>
                  <w:tcW w:w="525" w:type="pct"/>
                  <w:vMerge w:val="restart"/>
                  <w:noWrap w:val="0"/>
                  <w:vAlign w:val="center"/>
                </w:tcPr>
                <w:p w14:paraId="4CCB11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102</w:t>
                  </w:r>
                </w:p>
              </w:tc>
              <w:tc>
                <w:tcPr>
                  <w:tcW w:w="536" w:type="pct"/>
                  <w:vMerge w:val="restart"/>
                  <w:noWrap w:val="0"/>
                  <w:vAlign w:val="center"/>
                </w:tcPr>
                <w:p w14:paraId="19B6B0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w:t>
                  </w:r>
                </w:p>
              </w:tc>
              <w:tc>
                <w:tcPr>
                  <w:tcW w:w="524" w:type="pct"/>
                  <w:vMerge w:val="restart"/>
                  <w:noWrap w:val="0"/>
                  <w:vAlign w:val="center"/>
                </w:tcPr>
                <w:p w14:paraId="158BC2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21</w:t>
                  </w:r>
                </w:p>
              </w:tc>
              <w:tc>
                <w:tcPr>
                  <w:tcW w:w="518" w:type="pct"/>
                  <w:vMerge w:val="restart"/>
                  <w:noWrap w:val="0"/>
                  <w:vAlign w:val="center"/>
                </w:tcPr>
                <w:p w14:paraId="4B28FE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81</w:t>
                  </w:r>
                </w:p>
              </w:tc>
            </w:tr>
            <w:tr w14:paraId="5FD4613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noWrap w:val="0"/>
                  <w:vAlign w:val="center"/>
                </w:tcPr>
                <w:p w14:paraId="794695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水洗2槽</w:t>
                  </w:r>
                </w:p>
              </w:tc>
              <w:tc>
                <w:tcPr>
                  <w:tcW w:w="681" w:type="pct"/>
                  <w:noWrap w:val="0"/>
                  <w:vAlign w:val="center"/>
                </w:tcPr>
                <w:p w14:paraId="6D3231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5325F3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6C2B15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36" w:type="pct"/>
                  <w:noWrap w:val="0"/>
                  <w:vAlign w:val="center"/>
                </w:tcPr>
                <w:p w14:paraId="676A67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溢流去水洗1</w:t>
                  </w:r>
                </w:p>
              </w:tc>
              <w:tc>
                <w:tcPr>
                  <w:tcW w:w="525" w:type="pct"/>
                  <w:vMerge w:val="continue"/>
                  <w:noWrap w:val="0"/>
                  <w:vAlign w:val="center"/>
                </w:tcPr>
                <w:p w14:paraId="04ED20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36" w:type="pct"/>
                  <w:vMerge w:val="continue"/>
                  <w:noWrap w:val="0"/>
                  <w:vAlign w:val="center"/>
                </w:tcPr>
                <w:p w14:paraId="4D579A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524" w:type="pct"/>
                  <w:vMerge w:val="continue"/>
                  <w:noWrap w:val="0"/>
                  <w:vAlign w:val="center"/>
                </w:tcPr>
                <w:p w14:paraId="4C6A8A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18" w:type="pct"/>
                  <w:vMerge w:val="continue"/>
                  <w:noWrap w:val="0"/>
                  <w:vAlign w:val="center"/>
                </w:tcPr>
                <w:p w14:paraId="1A964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5B817127">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noWrap w:val="0"/>
                  <w:vAlign w:val="center"/>
                </w:tcPr>
                <w:p w14:paraId="54414C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水洗3槽</w:t>
                  </w:r>
                </w:p>
              </w:tc>
              <w:tc>
                <w:tcPr>
                  <w:tcW w:w="681" w:type="pct"/>
                  <w:noWrap w:val="0"/>
                  <w:vAlign w:val="center"/>
                </w:tcPr>
                <w:p w14:paraId="4F1FE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74BDB8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513746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36" w:type="pct"/>
                  <w:noWrap w:val="0"/>
                  <w:vAlign w:val="center"/>
                </w:tcPr>
                <w:p w14:paraId="00B7B4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溢流去水洗2</w:t>
                  </w:r>
                </w:p>
              </w:tc>
              <w:tc>
                <w:tcPr>
                  <w:tcW w:w="525" w:type="pct"/>
                  <w:vMerge w:val="continue"/>
                  <w:noWrap w:val="0"/>
                  <w:vAlign w:val="center"/>
                </w:tcPr>
                <w:p w14:paraId="00A349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36" w:type="pct"/>
                  <w:vMerge w:val="continue"/>
                  <w:noWrap w:val="0"/>
                  <w:vAlign w:val="center"/>
                </w:tcPr>
                <w:p w14:paraId="28E671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524" w:type="pct"/>
                  <w:vMerge w:val="continue"/>
                  <w:noWrap w:val="0"/>
                  <w:vAlign w:val="center"/>
                </w:tcPr>
                <w:p w14:paraId="724BC3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18" w:type="pct"/>
                  <w:vMerge w:val="continue"/>
                  <w:noWrap w:val="0"/>
                  <w:vAlign w:val="center"/>
                </w:tcPr>
                <w:p w14:paraId="3D7999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75D1AF1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shd w:val="clear" w:color="auto" w:fill="auto"/>
                  <w:noWrap w:val="0"/>
                  <w:vAlign w:val="center"/>
                </w:tcPr>
                <w:p w14:paraId="2FA9C5C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硅烷化槽</w:t>
                  </w:r>
                </w:p>
              </w:tc>
              <w:tc>
                <w:tcPr>
                  <w:tcW w:w="681" w:type="pct"/>
                  <w:shd w:val="clear" w:color="auto" w:fill="auto"/>
                  <w:noWrap w:val="0"/>
                  <w:vAlign w:val="center"/>
                </w:tcPr>
                <w:p w14:paraId="58DFD3F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6D4EA20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4228D12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w:t>
                  </w:r>
                </w:p>
              </w:tc>
              <w:tc>
                <w:tcPr>
                  <w:tcW w:w="536" w:type="pct"/>
                  <w:shd w:val="clear" w:color="auto" w:fill="auto"/>
                  <w:noWrap w:val="0"/>
                  <w:vAlign w:val="center"/>
                </w:tcPr>
                <w:p w14:paraId="1BCA97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4次/年</w:t>
                  </w:r>
                </w:p>
              </w:tc>
              <w:tc>
                <w:tcPr>
                  <w:tcW w:w="525" w:type="pct"/>
                  <w:shd w:val="clear" w:color="auto" w:fill="auto"/>
                  <w:noWrap w:val="0"/>
                  <w:vAlign w:val="center"/>
                </w:tcPr>
                <w:p w14:paraId="5946D7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8</w:t>
                  </w:r>
                </w:p>
              </w:tc>
              <w:tc>
                <w:tcPr>
                  <w:tcW w:w="536" w:type="pct"/>
                  <w:shd w:val="clear" w:color="auto" w:fill="auto"/>
                  <w:noWrap w:val="0"/>
                  <w:vAlign w:val="center"/>
                </w:tcPr>
                <w:p w14:paraId="417BB8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0.4</w:t>
                  </w:r>
                </w:p>
              </w:tc>
              <w:tc>
                <w:tcPr>
                  <w:tcW w:w="524" w:type="pct"/>
                  <w:shd w:val="clear" w:color="auto" w:fill="auto"/>
                  <w:noWrap w:val="0"/>
                  <w:vAlign w:val="center"/>
                </w:tcPr>
                <w:p w14:paraId="338813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2.4</w:t>
                  </w:r>
                </w:p>
              </w:tc>
              <w:tc>
                <w:tcPr>
                  <w:tcW w:w="518" w:type="pct"/>
                  <w:shd w:val="clear" w:color="auto" w:fill="auto"/>
                  <w:noWrap w:val="0"/>
                  <w:vAlign w:val="center"/>
                </w:tcPr>
                <w:p w14:paraId="70645A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6</w:t>
                  </w:r>
                </w:p>
              </w:tc>
            </w:tr>
            <w:tr w14:paraId="6AE0277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644" w:type="pct"/>
                  <w:shd w:val="clear" w:color="auto" w:fill="auto"/>
                  <w:noWrap w:val="0"/>
                  <w:vAlign w:val="center"/>
                </w:tcPr>
                <w:p w14:paraId="34E35A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水洗4槽</w:t>
                  </w:r>
                </w:p>
              </w:tc>
              <w:tc>
                <w:tcPr>
                  <w:tcW w:w="681" w:type="pct"/>
                  <w:shd w:val="clear" w:color="auto" w:fill="auto"/>
                  <w:noWrap w:val="0"/>
                  <w:vAlign w:val="center"/>
                </w:tcPr>
                <w:p w14:paraId="76FDA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513" w:type="pct"/>
                  <w:shd w:val="clear" w:color="auto" w:fill="auto"/>
                  <w:noWrap w:val="0"/>
                  <w:vAlign w:val="center"/>
                </w:tcPr>
                <w:p w14:paraId="74BE7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518" w:type="pct"/>
                  <w:shd w:val="clear" w:color="auto" w:fill="auto"/>
                  <w:noWrap w:val="0"/>
                  <w:vAlign w:val="center"/>
                </w:tcPr>
                <w:p w14:paraId="162DF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36" w:type="pct"/>
                  <w:shd w:val="clear" w:color="auto" w:fill="auto"/>
                  <w:noWrap w:val="0"/>
                  <w:vAlign w:val="center"/>
                </w:tcPr>
                <w:p w14:paraId="69975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18次/年</w:t>
                  </w:r>
                </w:p>
              </w:tc>
              <w:tc>
                <w:tcPr>
                  <w:tcW w:w="525" w:type="pct"/>
                  <w:shd w:val="clear" w:color="auto" w:fill="auto"/>
                  <w:noWrap w:val="0"/>
                  <w:vAlign w:val="center"/>
                </w:tcPr>
                <w:p w14:paraId="051575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c>
                <w:tcPr>
                  <w:tcW w:w="536" w:type="pct"/>
                  <w:shd w:val="clear" w:color="auto" w:fill="auto"/>
                  <w:noWrap w:val="0"/>
                  <w:vAlign w:val="center"/>
                </w:tcPr>
                <w:p w14:paraId="4713DC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4" w:type="pct"/>
                  <w:shd w:val="clear" w:color="auto" w:fill="auto"/>
                  <w:noWrap w:val="0"/>
                  <w:vAlign w:val="center"/>
                </w:tcPr>
                <w:p w14:paraId="0D8A73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518" w:type="pct"/>
                  <w:shd w:val="clear" w:color="auto" w:fill="auto"/>
                  <w:noWrap w:val="0"/>
                  <w:vAlign w:val="center"/>
                </w:tcPr>
                <w:p w14:paraId="7704FC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532FE39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2895" w:type="pct"/>
                  <w:gridSpan w:val="5"/>
                  <w:shd w:val="clear" w:color="auto" w:fill="auto"/>
                  <w:noWrap w:val="0"/>
                  <w:vAlign w:val="center"/>
                </w:tcPr>
                <w:p w14:paraId="1AE5C8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合计</w:t>
                  </w:r>
                </w:p>
              </w:tc>
              <w:tc>
                <w:tcPr>
                  <w:tcW w:w="525" w:type="pct"/>
                  <w:shd w:val="clear" w:color="auto" w:fill="auto"/>
                  <w:noWrap w:val="0"/>
                  <w:vAlign w:val="center"/>
                </w:tcPr>
                <w:p w14:paraId="5CEB0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w:t>
                  </w:r>
                </w:p>
              </w:tc>
              <w:tc>
                <w:tcPr>
                  <w:tcW w:w="536" w:type="pct"/>
                  <w:shd w:val="clear" w:color="auto" w:fill="auto"/>
                  <w:noWrap w:val="0"/>
                  <w:vAlign w:val="center"/>
                </w:tcPr>
                <w:p w14:paraId="1E7419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4" w:type="pct"/>
                  <w:shd w:val="clear" w:color="auto" w:fill="auto"/>
                  <w:noWrap w:val="0"/>
                  <w:vAlign w:val="center"/>
                </w:tcPr>
                <w:p w14:paraId="08611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c>
                <w:tcPr>
                  <w:tcW w:w="518" w:type="pct"/>
                  <w:shd w:val="clear" w:color="auto" w:fill="auto"/>
                  <w:noWrap w:val="0"/>
                  <w:vAlign w:val="center"/>
                </w:tcPr>
                <w:p w14:paraId="090C8C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w:t>
                  </w:r>
                </w:p>
              </w:tc>
            </w:tr>
          </w:tbl>
          <w:p w14:paraId="3402E03A">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具体水平衡图见图2-</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p>
          <w:p w14:paraId="66ADEC4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5300980" cy="4302760"/>
                  <wp:effectExtent l="0" t="0" r="4445" b="2540"/>
                  <wp:docPr id="6" name="ECB019B1-382A-4266-B25C-5B523AA43C14-5" descr="C:/Users/29147/AppData/Local/Temp/wps.PSHqy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5" descr="C:/Users/29147/AppData/Local/Temp/wps.PSHqyNwps"/>
                          <pic:cNvPicPr>
                            <a:picLocks noChangeAspect="1"/>
                          </pic:cNvPicPr>
                        </pic:nvPicPr>
                        <pic:blipFill>
                          <a:blip r:embed="rId17"/>
                          <a:stretch>
                            <a:fillRect/>
                          </a:stretch>
                        </pic:blipFill>
                        <pic:spPr>
                          <a:xfrm>
                            <a:off x="0" y="0"/>
                            <a:ext cx="5300980" cy="4302760"/>
                          </a:xfrm>
                          <a:prstGeom prst="rect">
                            <a:avLst/>
                          </a:prstGeom>
                        </pic:spPr>
                      </pic:pic>
                    </a:graphicData>
                  </a:graphic>
                </wp:inline>
              </w:drawing>
            </w:r>
            <w:r>
              <w:rPr>
                <w:rFonts w:hint="default" w:ascii="Times New Roman" w:hAnsi="Times New Roman" w:eastAsia="宋体" w:cs="Times New Roman"/>
                <w:b/>
                <w:color w:val="auto"/>
                <w:sz w:val="24"/>
                <w:szCs w:val="24"/>
                <w:highlight w:val="none"/>
              </w:rPr>
              <w:t>图2-</w:t>
            </w: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 xml:space="preserve">  水平衡图（t/a）</w:t>
            </w:r>
          </w:p>
          <w:p w14:paraId="75A5E5B1">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）供电</w:t>
            </w:r>
          </w:p>
          <w:p w14:paraId="0204B4F4">
            <w:pPr>
              <w:keepNext w:val="0"/>
              <w:keepLines w:val="0"/>
              <w:pageBreakBefore w:val="0"/>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本项目生产设备使用电能，用电由市政电网接入，年用电量约为</w:t>
            </w:r>
            <w:r>
              <w:rPr>
                <w:rFonts w:hint="eastAsia" w:ascii="Times New Roman" w:hAnsi="Times New Roman" w:eastAsia="宋体" w:cs="Times New Roman"/>
                <w:bCs/>
                <w:color w:val="auto"/>
                <w:sz w:val="24"/>
                <w:szCs w:val="24"/>
                <w:highlight w:val="none"/>
                <w:lang w:val="en-US" w:eastAsia="zh-CN"/>
              </w:rPr>
              <w:t>120</w:t>
            </w:r>
            <w:r>
              <w:rPr>
                <w:rFonts w:hint="default" w:ascii="Times New Roman" w:hAnsi="Times New Roman" w:eastAsia="宋体" w:cs="Times New Roman"/>
                <w:bCs/>
                <w:color w:val="auto"/>
                <w:sz w:val="24"/>
                <w:szCs w:val="24"/>
                <w:highlight w:val="none"/>
              </w:rPr>
              <w:t>万kW·h。（</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）供</w:t>
            </w:r>
            <w:r>
              <w:rPr>
                <w:rFonts w:hint="eastAsia" w:ascii="Times New Roman" w:hAnsi="Times New Roman" w:eastAsia="宋体" w:cs="Times New Roman"/>
                <w:bCs/>
                <w:color w:val="auto"/>
                <w:sz w:val="24"/>
                <w:szCs w:val="24"/>
                <w:highlight w:val="none"/>
                <w:lang w:val="en-US" w:eastAsia="zh-CN"/>
              </w:rPr>
              <w:t>气</w:t>
            </w:r>
          </w:p>
          <w:p w14:paraId="11F2DFF0">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w:t>
            </w:r>
            <w:r>
              <w:rPr>
                <w:rFonts w:hint="eastAsia" w:ascii="Times New Roman" w:hAnsi="Times New Roman" w:eastAsia="宋体" w:cs="Times New Roman"/>
                <w:bCs/>
                <w:color w:val="auto"/>
                <w:sz w:val="24"/>
                <w:szCs w:val="24"/>
                <w:highlight w:val="none"/>
                <w:lang w:val="en-US" w:eastAsia="zh-CN"/>
              </w:rPr>
              <w:t>固化、烘干</w:t>
            </w:r>
            <w:r>
              <w:rPr>
                <w:rFonts w:hint="default" w:ascii="Times New Roman" w:hAnsi="Times New Roman" w:eastAsia="宋体" w:cs="Times New Roman"/>
                <w:bCs/>
                <w:color w:val="auto"/>
                <w:sz w:val="24"/>
                <w:szCs w:val="24"/>
                <w:highlight w:val="none"/>
              </w:rPr>
              <w:t>使用</w:t>
            </w:r>
            <w:r>
              <w:rPr>
                <w:rFonts w:hint="eastAsia" w:ascii="Times New Roman" w:hAnsi="Times New Roman" w:eastAsia="宋体" w:cs="Times New Roman"/>
                <w:bCs/>
                <w:color w:val="auto"/>
                <w:sz w:val="24"/>
                <w:szCs w:val="24"/>
                <w:highlight w:val="none"/>
                <w:lang w:val="en-US" w:eastAsia="zh-CN"/>
              </w:rPr>
              <w:t>天然气</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年用</w:t>
            </w:r>
            <w:r>
              <w:rPr>
                <w:rFonts w:hint="default" w:ascii="Times New Roman" w:hAnsi="Times New Roman" w:eastAsia="宋体" w:cs="Times New Roman"/>
                <w:bCs/>
                <w:color w:val="auto"/>
                <w:sz w:val="24"/>
                <w:szCs w:val="24"/>
                <w:highlight w:val="none"/>
              </w:rPr>
              <w:t>天然气</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0万Nm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/a</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由燃气公司供给。</w:t>
            </w:r>
          </w:p>
          <w:p w14:paraId="0D40C079">
            <w:pPr>
              <w:spacing w:line="360" w:lineRule="auto"/>
              <w:rPr>
                <w:rFonts w:hint="default" w:ascii="Times New Roman" w:hAnsi="Times New Roman" w:eastAsia="宋体" w:cs="Times New Roman"/>
                <w:b/>
                <w:color w:val="auto"/>
                <w:sz w:val="24"/>
                <w:highlight w:val="none"/>
              </w:rPr>
            </w:pPr>
            <w:bookmarkStart w:id="1" w:name="_Toc21016"/>
            <w:bookmarkStart w:id="2" w:name="_Toc9020"/>
            <w:bookmarkStart w:id="3" w:name="_Toc21599"/>
            <w:bookmarkStart w:id="4" w:name="_Toc4904"/>
            <w:bookmarkStart w:id="5" w:name="_Toc457"/>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、项目周边概况及车间平面布置</w:t>
            </w:r>
          </w:p>
          <w:p w14:paraId="100B551B">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①项目周边概况</w:t>
            </w:r>
          </w:p>
          <w:p w14:paraId="0AD53A9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建设项目选址位于</w:t>
            </w:r>
            <w:r>
              <w:rPr>
                <w:rFonts w:hint="eastAsia" w:ascii="Times New Roman" w:hAnsi="Times New Roman" w:eastAsia="宋体" w:cs="Times New Roman"/>
                <w:color w:val="auto"/>
                <w:sz w:val="24"/>
                <w:highlight w:val="none"/>
                <w:lang w:eastAsia="zh-CN"/>
              </w:rPr>
              <w:t>常州市金坛区晨风路1136号（金坛控股中南高科创新园）14幢</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val="en-US" w:eastAsia="zh-CN"/>
              </w:rPr>
              <w:t>区东侧</w:t>
            </w:r>
            <w:r>
              <w:rPr>
                <w:rFonts w:hint="default"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val="en-US" w:eastAsia="zh-CN"/>
              </w:rPr>
              <w:t>冈田精机常州有限公司</w:t>
            </w:r>
            <w:r>
              <w:rPr>
                <w:rFonts w:hint="default" w:ascii="Times New Roman" w:hAnsi="Times New Roman" w:eastAsia="宋体" w:cs="Times New Roman"/>
                <w:color w:val="auto"/>
                <w:sz w:val="24"/>
                <w:highlight w:val="none"/>
              </w:rPr>
              <w:t>；南侧为</w:t>
            </w:r>
            <w:r>
              <w:rPr>
                <w:rFonts w:hint="eastAsia" w:ascii="Times New Roman" w:hAnsi="Times New Roman" w:eastAsia="宋体" w:cs="Times New Roman"/>
                <w:color w:val="auto"/>
                <w:sz w:val="24"/>
                <w:highlight w:val="none"/>
                <w:lang w:val="en-US" w:eastAsia="zh-CN"/>
              </w:rPr>
              <w:t>晨风路，隔路为蓝岭公寓</w:t>
            </w:r>
            <w:r>
              <w:rPr>
                <w:rFonts w:hint="default" w:ascii="Times New Roman" w:hAnsi="Times New Roman" w:eastAsia="宋体" w:cs="Times New Roman"/>
                <w:color w:val="auto"/>
                <w:sz w:val="24"/>
                <w:highlight w:val="none"/>
              </w:rPr>
              <w:t>；西侧为</w:t>
            </w:r>
            <w:r>
              <w:rPr>
                <w:rFonts w:hint="eastAsia" w:ascii="Times New Roman" w:hAnsi="Times New Roman" w:eastAsia="宋体" w:cs="Times New Roman"/>
                <w:color w:val="auto"/>
                <w:sz w:val="24"/>
                <w:highlight w:val="none"/>
                <w:lang w:val="en-US" w:eastAsia="zh-CN"/>
              </w:rPr>
              <w:t>汇福路，隔路为振弘兴精密模具五金厂</w:t>
            </w:r>
            <w:r>
              <w:rPr>
                <w:rFonts w:hint="default" w:ascii="Times New Roman" w:hAnsi="Times New Roman" w:eastAsia="宋体" w:cs="Times New Roman"/>
                <w:color w:val="auto"/>
                <w:sz w:val="24"/>
                <w:highlight w:val="none"/>
              </w:rPr>
              <w:t>；北侧为</w:t>
            </w:r>
            <w:r>
              <w:rPr>
                <w:rFonts w:hint="eastAsia" w:ascii="Times New Roman" w:hAnsi="Times New Roman" w:eastAsia="宋体" w:cs="Times New Roman"/>
                <w:color w:val="auto"/>
                <w:sz w:val="24"/>
                <w:highlight w:val="none"/>
                <w:lang w:val="en-US" w:eastAsia="zh-CN"/>
              </w:rPr>
              <w:t>兴明路，隔路为江苏迪迈新材料有限公司</w:t>
            </w:r>
            <w:r>
              <w:rPr>
                <w:rFonts w:hint="default" w:ascii="Times New Roman" w:hAnsi="Times New Roman" w:eastAsia="宋体" w:cs="Times New Roman"/>
                <w:color w:val="auto"/>
                <w:sz w:val="24"/>
                <w:highlight w:val="none"/>
              </w:rPr>
              <w:t>。距离本项目最近的环境敏感保护目标为位于</w:t>
            </w:r>
            <w:r>
              <w:rPr>
                <w:rFonts w:hint="eastAsia" w:ascii="Times New Roman" w:hAnsi="Times New Roman" w:eastAsia="宋体" w:cs="Times New Roman"/>
                <w:color w:val="auto"/>
                <w:sz w:val="24"/>
                <w:highlight w:val="none"/>
                <w:lang w:val="en-US" w:eastAsia="zh-CN"/>
              </w:rPr>
              <w:t>南</w:t>
            </w:r>
            <w:r>
              <w:rPr>
                <w:rFonts w:hint="default" w:ascii="Times New Roman" w:hAnsi="Times New Roman" w:eastAsia="宋体" w:cs="Times New Roman"/>
                <w:color w:val="auto"/>
                <w:sz w:val="24"/>
                <w:highlight w:val="none"/>
              </w:rPr>
              <w:t>侧</w:t>
            </w:r>
            <w:r>
              <w:rPr>
                <w:rFonts w:hint="eastAsia" w:ascii="Times New Roman" w:hAnsi="Times New Roman" w:eastAsia="宋体" w:cs="Times New Roman"/>
                <w:color w:val="auto"/>
                <w:sz w:val="24"/>
                <w:highlight w:val="none"/>
                <w:lang w:val="en-US" w:eastAsia="zh-CN"/>
              </w:rPr>
              <w:t>171</w:t>
            </w:r>
            <w:r>
              <w:rPr>
                <w:rFonts w:hint="default" w:ascii="Times New Roman" w:hAnsi="Times New Roman" w:eastAsia="宋体" w:cs="Times New Roman"/>
                <w:color w:val="auto"/>
                <w:sz w:val="24"/>
                <w:highlight w:val="none"/>
              </w:rPr>
              <w:t>m处的</w:t>
            </w:r>
            <w:r>
              <w:rPr>
                <w:rFonts w:hint="eastAsia" w:ascii="Times New Roman" w:hAnsi="Times New Roman" w:eastAsia="宋体" w:cs="Times New Roman"/>
                <w:color w:val="auto"/>
                <w:sz w:val="24"/>
                <w:highlight w:val="none"/>
                <w:lang w:val="en-US" w:eastAsia="zh-CN"/>
              </w:rPr>
              <w:t>蓝岭公寓</w:t>
            </w:r>
            <w:r>
              <w:rPr>
                <w:rFonts w:hint="default" w:ascii="Times New Roman" w:hAnsi="Times New Roman" w:eastAsia="宋体" w:cs="Times New Roman"/>
                <w:color w:val="auto"/>
                <w:sz w:val="24"/>
                <w:highlight w:val="none"/>
              </w:rPr>
              <w:t>。项目周边概况图详见附图2。</w:t>
            </w:r>
          </w:p>
          <w:p w14:paraId="520E7D56">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②车间平面布置</w:t>
            </w:r>
          </w:p>
          <w:p w14:paraId="3ABFCF8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建设项目所在生产车间</w:t>
            </w:r>
            <w:r>
              <w:rPr>
                <w:rFonts w:hint="eastAsia" w:ascii="Times New Roman" w:hAnsi="Times New Roman" w:eastAsia="宋体" w:cs="Times New Roman"/>
                <w:color w:val="auto"/>
                <w:sz w:val="24"/>
                <w:highlight w:val="none"/>
                <w:lang w:val="en-US" w:eastAsia="zh-CN"/>
              </w:rPr>
              <w:t>1F</w:t>
            </w:r>
            <w:r>
              <w:rPr>
                <w:rFonts w:hint="default" w:ascii="Times New Roman" w:hAnsi="Times New Roman" w:eastAsia="宋体" w:cs="Times New Roman"/>
                <w:color w:val="auto"/>
                <w:sz w:val="24"/>
                <w:highlight w:val="none"/>
              </w:rPr>
              <w:t>建筑面积</w:t>
            </w:r>
            <w:r>
              <w:rPr>
                <w:rFonts w:hint="default" w:ascii="Times New Roman" w:hAnsi="Times New Roman" w:eastAsia="宋体" w:cs="Times New Roman"/>
                <w:color w:val="auto"/>
                <w:sz w:val="24"/>
                <w:highlight w:val="none"/>
                <w:lang w:val="en-US" w:eastAsia="zh-CN"/>
              </w:rPr>
              <w:t>约</w:t>
            </w:r>
            <w:r>
              <w:rPr>
                <w:rFonts w:hint="eastAsia" w:ascii="Times New Roman" w:hAnsi="Times New Roman" w:eastAsia="宋体" w:cs="Times New Roman"/>
                <w:color w:val="auto"/>
                <w:sz w:val="24"/>
                <w:highlight w:val="none"/>
                <w:lang w:val="en-US" w:eastAsia="zh-CN"/>
              </w:rPr>
              <w:t>4523.17m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，车间主要布置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从</w:t>
            </w:r>
            <w:r>
              <w:rPr>
                <w:rFonts w:hint="eastAsia" w:ascii="Times New Roman" w:hAnsi="Times New Roman" w:eastAsia="宋体" w:cs="Times New Roman"/>
                <w:color w:val="auto"/>
                <w:sz w:val="24"/>
                <w:highlight w:val="none"/>
                <w:lang w:val="en-US" w:eastAsia="zh-CN"/>
              </w:rPr>
              <w:t>东</w:t>
            </w:r>
            <w:r>
              <w:rPr>
                <w:rFonts w:hint="default" w:ascii="Times New Roman" w:hAnsi="Times New Roman" w:eastAsia="宋体" w:cs="Times New Roman"/>
                <w:color w:val="auto"/>
                <w:sz w:val="24"/>
                <w:highlight w:val="none"/>
                <w:lang w:val="en-US" w:eastAsia="zh-CN"/>
              </w:rPr>
              <w:t>向</w:t>
            </w:r>
            <w:r>
              <w:rPr>
                <w:rFonts w:hint="eastAsia"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lang w:val="en-US" w:eastAsia="zh-CN"/>
              </w:rPr>
              <w:t>依次为</w:t>
            </w:r>
            <w:r>
              <w:rPr>
                <w:rFonts w:hint="eastAsia" w:ascii="Times New Roman" w:hAnsi="Times New Roman" w:eastAsia="宋体" w:cs="Times New Roman"/>
                <w:color w:val="auto"/>
                <w:sz w:val="24"/>
                <w:highlight w:val="none"/>
                <w:lang w:val="en-US" w:eastAsia="zh-CN"/>
              </w:rPr>
              <w:t>打磨室、检验区、喷砂室、下料区、危废仓库、一般固废仓库、造型区、焊接区、喷涂线</w:t>
            </w:r>
            <w:r>
              <w:rPr>
                <w:rFonts w:hint="default"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color w:val="auto"/>
                <w:sz w:val="24"/>
                <w:highlight w:val="none"/>
                <w:lang w:val="en-US" w:eastAsia="zh-CN"/>
              </w:rPr>
              <w:t>，2F</w:t>
            </w:r>
            <w:r>
              <w:rPr>
                <w:rFonts w:hint="default" w:ascii="Times New Roman" w:hAnsi="Times New Roman" w:eastAsia="宋体" w:cs="Times New Roman"/>
                <w:color w:val="auto"/>
                <w:sz w:val="24"/>
                <w:highlight w:val="none"/>
              </w:rPr>
              <w:t>建筑面积</w:t>
            </w:r>
            <w:r>
              <w:rPr>
                <w:rFonts w:hint="default" w:ascii="Times New Roman" w:hAnsi="Times New Roman" w:eastAsia="宋体" w:cs="Times New Roman"/>
                <w:color w:val="auto"/>
                <w:sz w:val="24"/>
                <w:highlight w:val="none"/>
                <w:lang w:val="en-US" w:eastAsia="zh-CN"/>
              </w:rPr>
              <w:t>约</w:t>
            </w:r>
            <w:r>
              <w:rPr>
                <w:rFonts w:hint="eastAsia" w:ascii="Times New Roman" w:hAnsi="Times New Roman" w:eastAsia="宋体" w:cs="Times New Roman"/>
                <w:color w:val="auto"/>
                <w:sz w:val="24"/>
                <w:highlight w:val="none"/>
                <w:lang w:val="en-US" w:eastAsia="zh-CN"/>
              </w:rPr>
              <w:t>4523.17m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，车间主要</w:t>
            </w:r>
            <w:r>
              <w:rPr>
                <w:rFonts w:hint="eastAsia" w:ascii="Times New Roman" w:hAnsi="Times New Roman" w:eastAsia="宋体" w:cs="Times New Roman"/>
                <w:color w:val="auto"/>
                <w:sz w:val="24"/>
                <w:highlight w:val="none"/>
                <w:lang w:val="en-US" w:eastAsia="zh-CN"/>
              </w:rPr>
              <w:t>布置：装配区、打胶室、仓库，3F为办公区</w:t>
            </w:r>
            <w:r>
              <w:rPr>
                <w:rFonts w:hint="default" w:ascii="Times New Roman" w:hAnsi="Times New Roman" w:eastAsia="宋体" w:cs="Times New Roman"/>
                <w:color w:val="auto"/>
                <w:sz w:val="24"/>
                <w:highlight w:val="none"/>
              </w:rPr>
              <w:t>。项目平面布置图详见附图3</w:t>
            </w:r>
            <w:r>
              <w:rPr>
                <w:rFonts w:hint="default" w:ascii="Times New Roman" w:hAnsi="Times New Roman" w:eastAsia="宋体" w:cs="Times New Roman"/>
                <w:color w:val="auto"/>
                <w:sz w:val="24"/>
                <w:szCs w:val="24"/>
                <w:highlight w:val="none"/>
              </w:rPr>
              <w:t>。</w:t>
            </w:r>
            <w:bookmarkEnd w:id="1"/>
            <w:bookmarkEnd w:id="2"/>
            <w:bookmarkEnd w:id="3"/>
            <w:bookmarkEnd w:id="4"/>
            <w:bookmarkEnd w:id="5"/>
          </w:p>
        </w:tc>
      </w:tr>
      <w:tr w14:paraId="188F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377" w:type="pct"/>
            <w:vAlign w:val="center"/>
          </w:tcPr>
          <w:p w14:paraId="318AB70F">
            <w:pPr>
              <w:jc w:val="both"/>
              <w:rPr>
                <w:rFonts w:hint="default" w:ascii="Times New Roman" w:hAnsi="Times New Roman" w:eastAsia="宋体" w:cs="Times New Roman"/>
                <w:b/>
                <w:color w:val="auto"/>
                <w:kern w:val="2"/>
                <w:sz w:val="24"/>
                <w:szCs w:val="22"/>
                <w:highlight w:val="none"/>
                <w:lang w:val="en-US" w:eastAsia="zh-CN" w:bidi="ar-SA"/>
              </w:rPr>
            </w:pPr>
            <w:r>
              <w:rPr>
                <w:rFonts w:hint="default" w:ascii="Times New Roman" w:hAnsi="Times New Roman" w:eastAsia="宋体" w:cs="Times New Roman"/>
                <w:b/>
                <w:color w:val="auto"/>
                <w:sz w:val="24"/>
                <w:highlight w:val="none"/>
              </w:rPr>
              <w:t>工艺流程和产排污环节</w:t>
            </w:r>
          </w:p>
        </w:tc>
        <w:tc>
          <w:tcPr>
            <w:tcW w:w="4622" w:type="pct"/>
            <w:vAlign w:val="top"/>
          </w:tcPr>
          <w:p w14:paraId="10881E12">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一、工艺流程简述</w:t>
            </w:r>
          </w:p>
          <w:p w14:paraId="09603F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bookmarkStart w:id="6" w:name="_Toc21734"/>
            <w:bookmarkStart w:id="7" w:name="_Toc18182"/>
            <w:bookmarkStart w:id="8" w:name="_Toc23344"/>
            <w:bookmarkStart w:id="9" w:name="_Toc20544"/>
            <w:r>
              <w:rPr>
                <w:rFonts w:hint="eastAsia" w:ascii="Times New Roman" w:hAnsi="Times New Roman" w:eastAsia="宋体" w:cs="Times New Roman"/>
                <w:b/>
                <w:bCs w:val="0"/>
                <w:color w:val="auto"/>
                <w:sz w:val="24"/>
                <w:highlight w:val="none"/>
                <w:lang w:val="en-US" w:eastAsia="zh-CN"/>
              </w:rPr>
              <w:t>1、主要</w:t>
            </w:r>
            <w:r>
              <w:rPr>
                <w:rFonts w:hint="default" w:ascii="Times New Roman" w:hAnsi="Times New Roman" w:eastAsia="宋体" w:cs="Times New Roman"/>
                <w:b/>
                <w:bCs w:val="0"/>
                <w:color w:val="auto"/>
                <w:sz w:val="24"/>
                <w:highlight w:val="none"/>
                <w:lang w:val="en-US" w:eastAsia="zh-CN"/>
              </w:rPr>
              <w:t>生产工艺</w:t>
            </w:r>
            <w:r>
              <w:rPr>
                <w:rFonts w:hint="eastAsia" w:ascii="Times New Roman" w:hAnsi="Times New Roman" w:eastAsia="宋体" w:cs="Times New Roman"/>
                <w:b/>
                <w:bCs w:val="0"/>
                <w:color w:val="auto"/>
                <w:sz w:val="24"/>
                <w:highlight w:val="none"/>
                <w:lang w:val="en-US" w:eastAsia="zh-CN"/>
              </w:rPr>
              <w:t>如下：</w:t>
            </w:r>
          </w:p>
          <w:bookmarkEnd w:id="6"/>
          <w:bookmarkEnd w:id="7"/>
          <w:bookmarkEnd w:id="8"/>
          <w:bookmarkEnd w:id="9"/>
          <w:p w14:paraId="3C6F85B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highlight w:val="none"/>
                <w:lang w:eastAsia="zh-CN"/>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2657475</wp:posOffset>
                      </wp:positionH>
                      <wp:positionV relativeFrom="paragraph">
                        <wp:posOffset>3804920</wp:posOffset>
                      </wp:positionV>
                      <wp:extent cx="1046480" cy="5010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46480" cy="501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F0BCB">
                                  <w:pPr>
                                    <w:rPr>
                                      <w:rFonts w:hint="eastAsia" w:ascii="微软雅黑" w:hAnsi="微软雅黑" w:eastAsia="微软雅黑" w:cs="微软雅黑"/>
                                      <w:color w:val="FF0000"/>
                                      <w:sz w:val="18"/>
                                      <w:szCs w:val="20"/>
                                      <w:lang w:val="en-US" w:eastAsia="zh-CN"/>
                                    </w:rPr>
                                  </w:pPr>
                                  <w:r>
                                    <w:rPr>
                                      <w:rFonts w:hint="eastAsia" w:ascii="微软雅黑" w:hAnsi="微软雅黑" w:eastAsia="微软雅黑" w:cs="微软雅黑"/>
                                      <w:color w:val="FF0000"/>
                                      <w:sz w:val="18"/>
                                      <w:szCs w:val="20"/>
                                      <w:lang w:val="en-US" w:eastAsia="zh-CN"/>
                                    </w:rPr>
                                    <w:t>生产工艺</w:t>
                                  </w:r>
                                </w:p>
                                <w:p w14:paraId="405947E0">
                                  <w:pPr>
                                    <w:rPr>
                                      <w:rFonts w:hint="eastAsia" w:ascii="微软雅黑" w:hAnsi="微软雅黑" w:eastAsia="微软雅黑" w:cs="微软雅黑"/>
                                      <w:color w:val="FF0000"/>
                                      <w:sz w:val="18"/>
                                      <w:szCs w:val="20"/>
                                      <w:lang w:val="en-US" w:eastAsia="zh-CN"/>
                                    </w:rPr>
                                  </w:pPr>
                                  <w:r>
                                    <w:rPr>
                                      <w:rFonts w:hint="eastAsia" w:ascii="微软雅黑" w:hAnsi="微软雅黑" w:eastAsia="微软雅黑" w:cs="微软雅黑"/>
                                      <w:color w:val="FF0000"/>
                                      <w:sz w:val="18"/>
                                      <w:szCs w:val="20"/>
                                      <w:lang w:val="en-US" w:eastAsia="zh-CN"/>
                                    </w:rPr>
                                    <w:t>详见下文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25pt;margin-top:299.6pt;height:39.45pt;width:82.4pt;z-index:251665408;mso-width-relative:page;mso-height-relative:page;" filled="f" stroked="f" coordsize="21600,21600" o:gfxdata="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m6hR3QAAAAsBAAAPAAAAAAAAAAEAIAAAACIAAABk&#10;cnMvZG93bnJldi54bWxQSwECFAAUAAAACACHTuJAzTnwnToCAABoBAAADgAAAAAAAAABACAAAAAs&#10;AQAAZHJzL2Uyb0RvYy54bWxQSwUGAAAAAAYABgBZAQAA2AUAAAAA&#10;">
                      <v:fill on="f" focussize="0,0"/>
                      <v:stroke on="f" weight="0.5pt"/>
                      <v:imagedata o:title=""/>
                      <o:lock v:ext="edit" aspectratio="f"/>
                      <v:textbox>
                        <w:txbxContent>
                          <w:p w14:paraId="53EF0BCB">
                            <w:pPr>
                              <w:rPr>
                                <w:rFonts w:hint="eastAsia" w:ascii="微软雅黑" w:hAnsi="微软雅黑" w:eastAsia="微软雅黑" w:cs="微软雅黑"/>
                                <w:color w:val="FF0000"/>
                                <w:sz w:val="18"/>
                                <w:szCs w:val="20"/>
                                <w:lang w:val="en-US" w:eastAsia="zh-CN"/>
                              </w:rPr>
                            </w:pPr>
                            <w:r>
                              <w:rPr>
                                <w:rFonts w:hint="eastAsia" w:ascii="微软雅黑" w:hAnsi="微软雅黑" w:eastAsia="微软雅黑" w:cs="微软雅黑"/>
                                <w:color w:val="FF0000"/>
                                <w:sz w:val="18"/>
                                <w:szCs w:val="20"/>
                                <w:lang w:val="en-US" w:eastAsia="zh-CN"/>
                              </w:rPr>
                              <w:t>生产工艺</w:t>
                            </w:r>
                          </w:p>
                          <w:p w14:paraId="405947E0">
                            <w:pPr>
                              <w:rPr>
                                <w:rFonts w:hint="eastAsia" w:ascii="微软雅黑" w:hAnsi="微软雅黑" w:eastAsia="微软雅黑" w:cs="微软雅黑"/>
                                <w:color w:val="FF0000"/>
                                <w:sz w:val="18"/>
                                <w:szCs w:val="20"/>
                                <w:lang w:val="en-US" w:eastAsia="zh-CN"/>
                              </w:rPr>
                            </w:pPr>
                            <w:r>
                              <w:rPr>
                                <w:rFonts w:hint="eastAsia" w:ascii="微软雅黑" w:hAnsi="微软雅黑" w:eastAsia="微软雅黑" w:cs="微软雅黑"/>
                                <w:color w:val="FF0000"/>
                                <w:sz w:val="18"/>
                                <w:szCs w:val="20"/>
                                <w:lang w:val="en-US" w:eastAsia="zh-CN"/>
                              </w:rPr>
                              <w:t>详见下文</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1726565</wp:posOffset>
                      </wp:positionH>
                      <wp:positionV relativeFrom="paragraph">
                        <wp:posOffset>3780155</wp:posOffset>
                      </wp:positionV>
                      <wp:extent cx="918845" cy="555625"/>
                      <wp:effectExtent l="6350" t="6350" r="8255" b="9525"/>
                      <wp:wrapNone/>
                      <wp:docPr id="11" name="矩形 11"/>
                      <wp:cNvGraphicFramePr/>
                      <a:graphic xmlns:a="http://schemas.openxmlformats.org/drawingml/2006/main">
                        <a:graphicData uri="http://schemas.microsoft.com/office/word/2010/wordprocessingShape">
                          <wps:wsp>
                            <wps:cNvSpPr/>
                            <wps:spPr>
                              <a:xfrm>
                                <a:off x="0" y="0"/>
                                <a:ext cx="918845" cy="555625"/>
                              </a:xfrm>
                              <a:prstGeom prst="rect">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95pt;margin-top:297.65pt;height:43.75pt;width:72.35pt;z-index:251664384;v-text-anchor:middle;mso-width-relative:page;mso-height-relative:page;" filled="f" stroked="t" coordsize="21600,21600" o:gfxdata="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HMRg62wAAAAsBAAAPAAAAAAAAAAEAIAAAACIAAABkcnMvZG93bnJl&#10;di54bWxQSwECFAAUAAAACACHTuJAXfeEI2wCAADLBAAADgAAAAAAAAABACAAAAAqAQAAZHJzL2Uy&#10;b0RvYy54bWxQSwUGAAAAAAYABgBZAQAACAYAAAAA&#10;">
                      <v:fill on="f" focussize="0,0"/>
                      <v:stroke weight="1pt" color="#FF0000 [2404]" miterlimit="8" joinstyle="miter" dashstyle="dash"/>
                      <v:imagedata o:title=""/>
                      <o:lock v:ext="edit" aspectratio="f"/>
                    </v:rect>
                  </w:pict>
                </mc:Fallback>
              </mc:AlternateContent>
            </w:r>
            <w:r>
              <w:rPr>
                <w:rFonts w:hint="default" w:ascii="Times New Roman" w:hAnsi="Times New Roman" w:eastAsia="宋体" w:cs="Times New Roman"/>
                <w:color w:val="auto"/>
                <w:sz w:val="24"/>
                <w:highlight w:val="none"/>
                <w:lang w:eastAsia="zh-CN"/>
              </w:rPr>
              <w:drawing>
                <wp:inline distT="0" distB="0" distL="114300" distR="114300">
                  <wp:extent cx="4067810" cy="7028815"/>
                  <wp:effectExtent l="0" t="0" r="0" b="0"/>
                  <wp:docPr id="9" name="ECB019B1-382A-4266-B25C-5B523AA43C14-6" descr="C:/Users/29147/AppData/Local/Temp/wps.qozFm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6" descr="C:/Users/29147/AppData/Local/Temp/wps.qozFmHwps"/>
                          <pic:cNvPicPr>
                            <a:picLocks noChangeAspect="1"/>
                          </pic:cNvPicPr>
                        </pic:nvPicPr>
                        <pic:blipFill>
                          <a:blip r:embed="rId18"/>
                          <a:stretch>
                            <a:fillRect/>
                          </a:stretch>
                        </pic:blipFill>
                        <pic:spPr>
                          <a:xfrm>
                            <a:off x="0" y="0"/>
                            <a:ext cx="4067810" cy="7028815"/>
                          </a:xfrm>
                          <a:prstGeom prst="rect">
                            <a:avLst/>
                          </a:prstGeom>
                        </pic:spPr>
                      </pic:pic>
                    </a:graphicData>
                  </a:graphic>
                </wp:inline>
              </w:drawing>
            </w:r>
          </w:p>
          <w:p w14:paraId="70158BB2">
            <w:pPr>
              <w:pStyle w:val="7"/>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注：G——废气；S——固废；N——噪声</w:t>
            </w:r>
          </w:p>
          <w:p w14:paraId="30D7DC55">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val="en-US" w:eastAsia="zh-CN"/>
              </w:rPr>
              <w:t>主要</w:t>
            </w:r>
            <w:r>
              <w:rPr>
                <w:rFonts w:hint="default" w:ascii="Times New Roman" w:hAnsi="Times New Roman" w:eastAsia="宋体" w:cs="Times New Roman"/>
                <w:b/>
                <w:bCs/>
                <w:color w:val="auto"/>
                <w:sz w:val="24"/>
                <w:highlight w:val="none"/>
                <w:lang w:val="en-US" w:eastAsia="zh-CN"/>
              </w:rPr>
              <w:t>生产工</w:t>
            </w:r>
            <w:r>
              <w:rPr>
                <w:rFonts w:hint="default" w:ascii="Times New Roman" w:hAnsi="Times New Roman" w:eastAsia="宋体" w:cs="Times New Roman"/>
                <w:b/>
                <w:bCs/>
                <w:color w:val="auto"/>
                <w:sz w:val="24"/>
                <w:highlight w:val="none"/>
              </w:rPr>
              <w:t>艺流程及产污环节示意图</w:t>
            </w:r>
          </w:p>
          <w:p w14:paraId="3549CEAC">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生产工艺简述：</w:t>
            </w:r>
          </w:p>
          <w:p w14:paraId="31B399DA">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（1）下料：根据产品需要，利用切割设备、剪板机对外购的钢板进行切割、剪板处理，激光切割采用氮气或氧气作为辅助气体。此工序会产生切割烟尘G1、边角料S1及噪声N。</w:t>
            </w:r>
          </w:p>
          <w:p w14:paraId="21D0498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（2）造型：下料后的钢板通过数控冲床、数控折弯机、压铆机、打孔机等设备对工件进行冲压、折弯、压铆、制孔加工。此工序会产生边角料S2及噪声N。</w:t>
            </w:r>
          </w:p>
          <w:p w14:paraId="524DAC69">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（3）检验：造型后的产品使用3D检测仪对工件规格、尺寸进行自动扫描检测，不合格品返回上一工序重新加工。</w:t>
            </w:r>
          </w:p>
          <w:p w14:paraId="46C55077">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（4）焊接：使用焊机对加工成不同规格的钢板进行组装、焊接，焊接过程使用氧气、氩气或二氧化碳气体作为保护气，其中焊机焊接过程需使用无铅焊丝，此工序产生少量焊接烟尘G2及噪声N。</w:t>
            </w:r>
          </w:p>
          <w:p w14:paraId="68ED820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（5）打磨：在打磨房内利用磨光机对工件的表面进行打磨处理，使得工件表面光滑。此工序产生打磨粉尘G3及噪声N。</w:t>
            </w:r>
          </w:p>
          <w:p w14:paraId="301AAA4A">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6）喷砂：将工件放入喷砂机内进行喷砂，本项目设置喷砂机1套。喷砂是利用高速砂流的冲击作用清理和粗化工件表面的过程。采用压缩空气为动力，以形成高速喷射束将钢砂高速喷射到工件表面，使工件的表面获得一定的清洁度和不同的粗糙度，机械性能得到改善。喷砂会产生喷砂粉尘G4和噪声N。</w:t>
            </w:r>
          </w:p>
          <w:p w14:paraId="4FB9EAC8">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（7）前处理：将工件分批次固定在导轨挂钩上，工件沿导轨进入全自动预脱脂室、主脱脂室、硅烷化室等对工件进行前处理，详见“前处理生产工艺流程”。</w:t>
            </w:r>
          </w:p>
          <w:p w14:paraId="5897CD1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（8）喷粉：对工件进行手工喷粉和自动喷粉。</w:t>
            </w:r>
          </w:p>
          <w:p w14:paraId="2BDB1EA3">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设置1个手工喷粉室（配套4台EPG手动喷涂机）和1个全自动喷粉室（配套1台静电喷塑成套设备），先对工件缝隙、角落采用手工喷粉，再通过自动喷粉的方式对工件剩余的表面进行喷粉处理。该工序产生手工喷粉废气G5、自动喷粉废气G6。</w:t>
            </w:r>
          </w:p>
          <w:p w14:paraId="7F7E6ED3">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工件固定在导轨挂钩上，然后进入喷粉室进行喷粉，因此喷粉室前后两端留有出入口，同时喷粉室左右两侧留有喷粉操作口。本项目采用高压静电喷粉的方法，原理为喷粉枪接负极，工件接地（正极），粉末涂料由供粉系统借压缩空气气体送入喷枪，在喷枪前端加有高压静电发生器产生的高压，由于电晕放电，在其附近产生密集的电荷，粉末由枪嘴喷出时，构成回路形成带电涂料粒子，它受静电力的作用，被吸到与其极性相反的工件上去，随着喷上的粉末增多，电荷积聚也越多，当达到一定厚度时，由于产生静电排斥作用，便不继续吸附，从而使整个工件获得一定厚度的粉末涂层。</w:t>
            </w:r>
          </w:p>
          <w:p w14:paraId="10668690">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9）固化：喷粉后的工件经导轨进入配套的固化烘道内，通过循环热风使工件表面塑粉实现流平及固化。烘干温度控制在180-220℃，烘干时间约为15-30min，烘干后自然冷却。烘道采用热风炉直接加热，使用天然气为燃料，加热烘道内空气。此工序产生固化废气G7、天然气燃烧废气G8。</w:t>
            </w:r>
          </w:p>
          <w:p w14:paraId="3DBAD12A">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（10）装配：烘干后的工件通过人工装配五金件后得到成品，此工序无污染物产生及排放。</w:t>
            </w:r>
          </w:p>
          <w:p w14:paraId="3E42C3E2">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11）打胶、晾干：将50%经过装配后的工件送至打胶房内，通过打胶机对产品边框进行打胶处理，水性胶使用过程中不需要调配，打胶后的产品在打胶房内自然晾干后即得到成品。打胶机不需清洗，定期更换打胶头、打胶管，此工序产生打胶废气G9，含胶废物S3。</w:t>
            </w:r>
          </w:p>
          <w:p w14:paraId="72040B2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2、前处理</w:t>
            </w:r>
            <w:r>
              <w:rPr>
                <w:rFonts w:hint="default" w:ascii="Times New Roman" w:hAnsi="Times New Roman" w:eastAsia="宋体" w:cs="Times New Roman"/>
                <w:b/>
                <w:bCs w:val="0"/>
                <w:color w:val="auto"/>
                <w:sz w:val="24"/>
                <w:highlight w:val="none"/>
                <w:lang w:val="en-US" w:eastAsia="zh-CN"/>
              </w:rPr>
              <w:t>生产工艺</w:t>
            </w:r>
            <w:r>
              <w:rPr>
                <w:rFonts w:hint="eastAsia" w:ascii="Times New Roman" w:hAnsi="Times New Roman" w:eastAsia="宋体" w:cs="Times New Roman"/>
                <w:b/>
                <w:bCs w:val="0"/>
                <w:color w:val="auto"/>
                <w:sz w:val="24"/>
                <w:highlight w:val="none"/>
                <w:lang w:val="en-US" w:eastAsia="zh-CN"/>
              </w:rPr>
              <w:t>如下：</w:t>
            </w:r>
          </w:p>
          <w:p w14:paraId="049F385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drawing>
                <wp:inline distT="0" distB="0" distL="114300" distR="114300">
                  <wp:extent cx="5155565" cy="2574925"/>
                  <wp:effectExtent l="0" t="0" r="0" b="0"/>
                  <wp:docPr id="12" name="ECB019B1-382A-4266-B25C-5B523AA43C14-7" descr="C:/Users/29147/AppData/Local/Temp/wps.dZXUr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7" descr="C:/Users/29147/AppData/Local/Temp/wps.dZXUrXwps"/>
                          <pic:cNvPicPr>
                            <a:picLocks noChangeAspect="1"/>
                          </pic:cNvPicPr>
                        </pic:nvPicPr>
                        <pic:blipFill>
                          <a:blip r:embed="rId19"/>
                          <a:srcRect l="3872" b="7038"/>
                          <a:stretch>
                            <a:fillRect/>
                          </a:stretch>
                        </pic:blipFill>
                        <pic:spPr>
                          <a:xfrm>
                            <a:off x="0" y="0"/>
                            <a:ext cx="5155565" cy="2574925"/>
                          </a:xfrm>
                          <a:prstGeom prst="rect">
                            <a:avLst/>
                          </a:prstGeom>
                        </pic:spPr>
                      </pic:pic>
                    </a:graphicData>
                  </a:graphic>
                </wp:inline>
              </w:drawing>
            </w:r>
          </w:p>
          <w:p w14:paraId="5320B834">
            <w:pPr>
              <w:spacing w:line="360" w:lineRule="auto"/>
              <w:jc w:val="center"/>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注：G——废气；S——固废；N——噪声</w:t>
            </w:r>
          </w:p>
          <w:p w14:paraId="0D619EC2">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val="en-US" w:eastAsia="zh-CN"/>
              </w:rPr>
              <w:t>前处理</w:t>
            </w:r>
            <w:r>
              <w:rPr>
                <w:rFonts w:hint="default" w:ascii="Times New Roman" w:hAnsi="Times New Roman" w:eastAsia="宋体" w:cs="Times New Roman"/>
                <w:b/>
                <w:bCs/>
                <w:color w:val="auto"/>
                <w:sz w:val="24"/>
                <w:highlight w:val="none"/>
                <w:lang w:val="en-US" w:eastAsia="zh-CN"/>
              </w:rPr>
              <w:t>生产工</w:t>
            </w:r>
            <w:r>
              <w:rPr>
                <w:rFonts w:hint="default" w:ascii="Times New Roman" w:hAnsi="Times New Roman" w:eastAsia="宋体" w:cs="Times New Roman"/>
                <w:b/>
                <w:bCs/>
                <w:color w:val="auto"/>
                <w:sz w:val="24"/>
                <w:highlight w:val="none"/>
              </w:rPr>
              <w:t>艺流程及产污环节示意图</w:t>
            </w:r>
          </w:p>
          <w:p w14:paraId="4F19037F">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生产工艺简述：</w:t>
            </w:r>
          </w:p>
          <w:p w14:paraId="5E98A59E">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前处理设备主要由预脱脂室、水洗室、硅烷化室等组成，处理方式均为喷淋清洗，工件经顶部导轨依次进入各工序经喷淋管路进行处理，喷淋液通过上方喷淋管喷出，喷淋液通过重力作用落到下方槽中，通过泵从底部抽后继续喷淋，形成循环，各喷淋室之间均设有滴水室预防串槽，收集水经下部管路回流至贮液槽中。</w:t>
            </w:r>
          </w:p>
          <w:p w14:paraId="0D6BD68B">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（1）上件：人工将工件分批次固定在挂钩上，沿导轨进入全自动前处理线。</w:t>
            </w:r>
          </w:p>
          <w:p w14:paraId="187D291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预脱脂：工件经顶部导轨进入预脱脂室通过喷淋管对工件喷淋脱脂液，以去除金属表面油脂。贮液槽中脱脂剂与自来水的比例约为1:20，脱脂温度为25-40℃，利用烘道余热对脱脂液进行间接加热。贮液槽内设有不锈钢过滤网，对槽液进行过滤，槽液循环使用，定期更换，产生脱脂废水W1。</w:t>
            </w:r>
          </w:p>
          <w:p w14:paraId="3C1D49CB">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3）主脱脂：预脱脂后的工件经顶部导轨进入主脱脂室通过喷淋管对工件进行喷淋。贮液槽中脱脂剂与自来水的比例约为1:10，脱脂温度为25-40℃，贮液槽设有配套的回流加热管，脱脂液经回流加热管流经烘道后回流至贮液槽中，以利用烘道余热对脱脂液进行加热。贮液槽内设有不锈钢过滤网，对槽液进行过滤，槽液循环使用，定期更换，产生脱脂废水W2。</w:t>
            </w:r>
          </w:p>
          <w:p w14:paraId="7CD6465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（4）水洗1：脱脂后的工件经顶部导轨进入水洗室1进行常温水洗，通过喷淋管对工件进行喷淋，喷淋水循环使用，定期外排，产生水洗废水W3。</w:t>
            </w:r>
          </w:p>
          <w:p w14:paraId="056A44A2">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（5）水洗2：工件经顶部导轨进入水洗室2进行常温水洗，通过喷淋管对工件进行喷淋，喷淋水循环使用，定期排放至水洗1中的水洗槽进行重复利用，故水洗室2无废水产生。</w:t>
            </w:r>
          </w:p>
          <w:p w14:paraId="553A7A22">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（6）水洗3：水洗2后的工件经顶部导轨进入水洗室3进行常温水洗，通过喷淋管对工件进行喷淋，喷淋水循环使用，定期排放至水洗2中的水洗槽进行重复利用，故水洗室3无废水产生。</w:t>
            </w:r>
          </w:p>
          <w:p w14:paraId="533F215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7）硅烷化：水洗后的工件经顶部导轨进入硅烷化室通过喷淋管对工件进行喷淋，使工件表面形成一层硅烷膜，以提高后续塑粉附着率。贮液槽中硅烷处理剂与常温自来水的比例约为1:20，槽液循环使用，定期更换，产生硅烷化废水W4。</w:t>
            </w:r>
          </w:p>
          <w:p w14:paraId="457CFE7C">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金属表面硅烷化处理的机理：硅烷是一类含硅基的有机/无机杂化物，其基本分子式为：</w:t>
            </w:r>
            <w:r>
              <w:rPr>
                <w:rFonts w:hint="default" w:ascii="Times New Roman" w:hAnsi="Times New Roman" w:eastAsia="宋体" w:cs="Times New Roman"/>
                <w:b w:val="0"/>
                <w:bCs w:val="0"/>
                <w:color w:val="auto"/>
                <w:sz w:val="24"/>
                <w:highlight w:val="none"/>
                <w:lang w:val="en-US" w:eastAsia="zh-CN"/>
              </w:rPr>
              <w:t>R’(CH</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vertAlign w:val="subscript"/>
                <w:lang w:val="en-US" w:eastAsia="zh-CN"/>
              </w:rPr>
              <w:t>n</w:t>
            </w:r>
            <w:r>
              <w:rPr>
                <w:rFonts w:hint="default" w:ascii="Times New Roman" w:hAnsi="Times New Roman" w:eastAsia="宋体" w:cs="Times New Roman"/>
                <w:b w:val="0"/>
                <w:bCs w:val="0"/>
                <w:color w:val="auto"/>
                <w:sz w:val="24"/>
                <w:highlight w:val="none"/>
                <w:lang w:val="en-US" w:eastAsia="zh-CN"/>
              </w:rPr>
              <w:t>Si(OR)</w:t>
            </w:r>
            <w:r>
              <w:rPr>
                <w:rFonts w:hint="default" w:ascii="Times New Roman" w:hAnsi="Times New Roman" w:eastAsia="宋体" w:cs="Times New Roman"/>
                <w:b w:val="0"/>
                <w:bCs w:val="0"/>
                <w:color w:val="auto"/>
                <w:sz w:val="24"/>
                <w:highlight w:val="none"/>
                <w:vertAlign w:val="subscript"/>
                <w:lang w:val="en-US" w:eastAsia="zh-CN"/>
              </w:rPr>
              <w:t>3</w:t>
            </w:r>
            <w:r>
              <w:rPr>
                <w:rFonts w:hint="eastAsia" w:ascii="Times New Roman" w:hAnsi="Times New Roman" w:eastAsia="宋体" w:cs="Times New Roman"/>
                <w:b w:val="0"/>
                <w:bCs w:val="0"/>
                <w:color w:val="auto"/>
                <w:sz w:val="24"/>
                <w:highlight w:val="none"/>
                <w:lang w:val="en-US" w:eastAsia="zh-CN"/>
              </w:rPr>
              <w:t>。其中OR是可水解的基团，R</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是有机官能团。</w:t>
            </w:r>
          </w:p>
          <w:p w14:paraId="3101FBD0">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硅烷在水溶液中通常以水解的形式存在：</w:t>
            </w:r>
          </w:p>
          <w:p w14:paraId="32DDC3C4">
            <w:pPr>
              <w:numPr>
                <w:ilvl w:val="0"/>
                <w:numId w:val="0"/>
              </w:numPr>
              <w:spacing w:line="360" w:lineRule="auto"/>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 Si (OR)</w:t>
            </w:r>
            <w:r>
              <w:rPr>
                <w:rFonts w:hint="eastAsia" w:ascii="Times New Roman" w:hAnsi="Times New Roman" w:eastAsia="宋体" w:cs="Times New Roman"/>
                <w:b w:val="0"/>
                <w:bCs w:val="0"/>
                <w:color w:val="auto"/>
                <w:sz w:val="24"/>
                <w:highlight w:val="none"/>
                <w:vertAlign w:val="subscript"/>
                <w:lang w:val="en-US" w:eastAsia="zh-CN"/>
              </w:rPr>
              <w:t>3</w:t>
            </w:r>
            <w:r>
              <w:rPr>
                <w:rFonts w:hint="eastAsia" w:ascii="Times New Roman" w:hAnsi="Times New Roman" w:eastAsia="宋体" w:cs="Times New Roman"/>
                <w:b w:val="0"/>
                <w:bCs w:val="0"/>
                <w:color w:val="auto"/>
                <w:sz w:val="24"/>
                <w:highlight w:val="none"/>
                <w:lang w:val="en-US" w:eastAsia="zh-CN"/>
              </w:rPr>
              <w:t>+H</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OSi(OH)</w:t>
            </w:r>
            <w:r>
              <w:rPr>
                <w:rFonts w:hint="eastAsia" w:ascii="Times New Roman" w:hAnsi="Times New Roman" w:eastAsia="宋体" w:cs="Times New Roman"/>
                <w:b w:val="0"/>
                <w:bCs w:val="0"/>
                <w:color w:val="auto"/>
                <w:sz w:val="24"/>
                <w:highlight w:val="none"/>
                <w:vertAlign w:val="subscript"/>
                <w:lang w:val="en-US" w:eastAsia="zh-CN"/>
              </w:rPr>
              <w:t>3</w:t>
            </w:r>
            <w:r>
              <w:rPr>
                <w:rFonts w:hint="eastAsia" w:ascii="Times New Roman" w:hAnsi="Times New Roman" w:eastAsia="宋体" w:cs="Times New Roman"/>
                <w:b w:val="0"/>
                <w:bCs w:val="0"/>
                <w:color w:val="auto"/>
                <w:sz w:val="24"/>
                <w:highlight w:val="none"/>
                <w:lang w:val="en-US" w:eastAsia="zh-CN"/>
              </w:rPr>
              <w:t>+3ROH</w:t>
            </w:r>
          </w:p>
          <w:p w14:paraId="4B71A451">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硅烷水解后通过其SiOH基团与金属表面的MeOH基团（Me表示金属）的缩水反应而快速吸附于金属表面：</w:t>
            </w:r>
          </w:p>
          <w:p w14:paraId="4E1B4806">
            <w:pPr>
              <w:numPr>
                <w:ilvl w:val="0"/>
                <w:numId w:val="0"/>
              </w:numPr>
              <w:spacing w:line="360" w:lineRule="auto"/>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SiOH+MeOH=SiOMe+H</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vertAlign w:val="baseline"/>
                <w:lang w:val="en-US" w:eastAsia="zh-CN"/>
              </w:rPr>
              <w:t>O</w:t>
            </w:r>
          </w:p>
          <w:p w14:paraId="4CF5BB87">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一方面硅烷在金属界面上形成Si-O-Me共价键。一般来说，硅烷与金属之间的结合是非常牢固的；另一方面，剩余的硅分子通过SiOH基团之间的缩聚反应在金属表面形成具有Si-O-Si三维网状结构的硅烷膜，可提高塑粉附着率。</w:t>
            </w:r>
          </w:p>
          <w:p w14:paraId="3CA01720">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（8）水洗4：硅烷化后的工件经顶部导轨进入水洗室4进行常温水洗，水洗槽中的水为自来水，通过喷淋管对工件进行喷淋，喷淋水循环使用，定期外排，产生水洗废水W5。</w:t>
            </w:r>
          </w:p>
          <w:p w14:paraId="0C6BB44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9）烘干：水洗后的工件进入烘道中，通过循环热风对工件表面进行加热。烘干温度控制在130-180℃，烘干时间约为15-25min，烘干后自然冷却。烘道采用热风炉直接加热，使用天然气为燃料，加热烘道内空气。此工序产生天然气燃烧废气G10。</w:t>
            </w:r>
          </w:p>
          <w:p w14:paraId="7F9AEA08">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（10）烘干后工件自然冷却后进入下一道喷粉工序。</w:t>
            </w:r>
          </w:p>
          <w:p w14:paraId="71006500">
            <w:pPr>
              <w:spacing w:line="360" w:lineRule="auto"/>
              <w:ind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、其他产污分析</w:t>
            </w:r>
          </w:p>
          <w:p w14:paraId="581005E5">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（1）原辅料使用</w:t>
            </w:r>
            <w:r>
              <w:rPr>
                <w:rFonts w:hint="eastAsia" w:ascii="Times New Roman" w:hAnsi="Times New Roman" w:eastAsia="宋体" w:cs="Times New Roman"/>
                <w:b w:val="0"/>
                <w:bCs w:val="0"/>
                <w:color w:val="auto"/>
                <w:sz w:val="24"/>
                <w:highlight w:val="none"/>
                <w:lang w:val="en-US" w:eastAsia="zh-CN"/>
              </w:rPr>
              <w:t>及设备维护保养</w:t>
            </w:r>
            <w:r>
              <w:rPr>
                <w:rFonts w:hint="default" w:ascii="Times New Roman" w:hAnsi="Times New Roman" w:eastAsia="宋体" w:cs="Times New Roman"/>
                <w:b w:val="0"/>
                <w:bCs w:val="0"/>
                <w:color w:val="auto"/>
                <w:sz w:val="24"/>
                <w:highlight w:val="none"/>
              </w:rPr>
              <w:t>产污分析</w:t>
            </w:r>
          </w:p>
          <w:p w14:paraId="73417A44">
            <w:p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本项目水性胶、脱脂剂、硅烷处理剂、废水处理药剂等原辅料使用过程中有废包装物S4产生；塑粉为纸桶装，使用后产生废包装纸S5。</w:t>
            </w:r>
          </w:p>
          <w:p w14:paraId="71B5FDE1">
            <w:pPr>
              <w:spacing w:line="360" w:lineRule="auto"/>
              <w:ind w:firstLine="480" w:firstLineChars="200"/>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本项目机械设备由供应商进厂定期添加机油，进行维护保养，机油循环使用，定期补充，无废机油产生，同时生产加工过程中工人佩戴手套进行操作，因此有含油废抹布手套S6产生。</w:t>
            </w:r>
          </w:p>
          <w:p w14:paraId="3E67F84F">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kern w:val="2"/>
                <w:sz w:val="24"/>
                <w:szCs w:val="22"/>
                <w:highlight w:val="none"/>
                <w:lang w:val="en-US" w:eastAsia="zh-CN" w:bidi="ar-SA"/>
              </w:rPr>
              <w:t>（2）</w:t>
            </w:r>
            <w:r>
              <w:rPr>
                <w:rFonts w:hint="eastAsia" w:ascii="Times New Roman" w:hAnsi="Times New Roman" w:eastAsia="宋体" w:cs="Times New Roman"/>
                <w:b w:val="0"/>
                <w:bCs w:val="0"/>
                <w:color w:val="auto"/>
                <w:sz w:val="24"/>
                <w:highlight w:val="none"/>
                <w:lang w:val="en-US" w:eastAsia="zh-CN"/>
              </w:rPr>
              <w:t>废气处理产物分析</w:t>
            </w:r>
          </w:p>
          <w:p w14:paraId="04DBEA83">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①移动式烟尘净化器（切割、焊接烟尘处理设施）</w:t>
            </w:r>
          </w:p>
          <w:p w14:paraId="79916E5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移动式烟尘净化器定期清理，产生废滤芯（附着收集粉尘）S7。</w:t>
            </w:r>
          </w:p>
          <w:p w14:paraId="04E964D0">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②1#、2#、3#旋风除尘器+滤筒除尘器（打磨、喷砂废气、手工喷粉废气、自动喷粉废气处理设施）</w:t>
            </w:r>
          </w:p>
          <w:p w14:paraId="4B1CD355">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滤筒除尘器定期清理，产生废滤筒S8、除尘灰S9。喷粉线的滤筒除尘器、旋风除尘器定期清理产生回收塑粉S10，回收塑粉定期收集回用于喷粉工序。</w:t>
            </w:r>
          </w:p>
          <w:p w14:paraId="5F458F04">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④1#二级活性炭吸附装置（固化废气处理设施）</w:t>
            </w:r>
          </w:p>
          <w:p w14:paraId="7CADD393">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本项目固化废气经集气罩收集通过1#二级活性炭吸附装置处理后，由一根25m高的排气筒FQ-2排放。活性炭吸附装置定期更换活性炭，产生废活性炭S11。</w:t>
            </w:r>
          </w:p>
          <w:p w14:paraId="536B90BD">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⑤2#二级活性炭吸附装置（打胶房废气处理设施）</w:t>
            </w:r>
          </w:p>
          <w:p w14:paraId="1E4EFDBF">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打胶房废气经密闭收集通过2#二级活性炭吸附装置处理后，经一根25m高的排气筒FQ-3排放。活性炭吸附装置定期更换活性炭，产生废活性炭S12。</w:t>
            </w:r>
          </w:p>
          <w:p w14:paraId="1E147A4F">
            <w:pPr>
              <w:numPr>
                <w:ilvl w:val="0"/>
                <w:numId w:val="0"/>
              </w:numPr>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⑥废水处理设施</w:t>
            </w:r>
          </w:p>
          <w:p w14:paraId="628C650A">
            <w:pPr>
              <w:numPr>
                <w:ilvl w:val="0"/>
                <w:numId w:val="0"/>
              </w:numPr>
              <w:spacing w:line="360" w:lineRule="auto"/>
              <w:ind w:firstLine="480" w:firstLineChars="200"/>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本项目全自动前处理线前处理过程产生预脱脂废水、主脱脂废水、硅烷化废水、水洗废水，经污水处理站处理后全部回用于生产。产生污泥S13、污水处理站浓水S14。</w:t>
            </w:r>
          </w:p>
          <w:p w14:paraId="6C364E86">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产污环节分析</w:t>
            </w:r>
          </w:p>
          <w:p w14:paraId="09F561CF">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11</w:t>
            </w:r>
            <w:r>
              <w:rPr>
                <w:rFonts w:hint="default" w:ascii="Times New Roman" w:hAnsi="Times New Roman" w:eastAsia="宋体" w:cs="Times New Roman"/>
                <w:b/>
                <w:color w:val="auto"/>
                <w:sz w:val="24"/>
                <w:highlight w:val="none"/>
              </w:rPr>
              <w:t xml:space="preserve">  污染物产生情况分析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030"/>
              <w:gridCol w:w="1560"/>
              <w:gridCol w:w="1644"/>
              <w:gridCol w:w="2954"/>
            </w:tblGrid>
            <w:tr w14:paraId="4FE27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tcBorders>
                    <w:tl2br w:val="nil"/>
                    <w:tr2bl w:val="nil"/>
                  </w:tcBorders>
                  <w:vAlign w:val="center"/>
                </w:tcPr>
                <w:p w14:paraId="29207CEE">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废物类别</w:t>
                  </w:r>
                </w:p>
              </w:tc>
              <w:tc>
                <w:tcPr>
                  <w:tcW w:w="616" w:type="pct"/>
                  <w:tcBorders>
                    <w:tl2br w:val="nil"/>
                    <w:tr2bl w:val="nil"/>
                  </w:tcBorders>
                  <w:vAlign w:val="center"/>
                </w:tcPr>
                <w:p w14:paraId="3867780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编号</w:t>
                  </w:r>
                </w:p>
              </w:tc>
              <w:tc>
                <w:tcPr>
                  <w:tcW w:w="933" w:type="pct"/>
                  <w:tcBorders>
                    <w:tl2br w:val="nil"/>
                    <w:tr2bl w:val="nil"/>
                  </w:tcBorders>
                  <w:vAlign w:val="center"/>
                </w:tcPr>
                <w:p w14:paraId="791F6D0E">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产生环节</w:t>
                  </w:r>
                </w:p>
              </w:tc>
              <w:tc>
                <w:tcPr>
                  <w:tcW w:w="983" w:type="pct"/>
                  <w:tcBorders>
                    <w:tl2br w:val="nil"/>
                    <w:tr2bl w:val="nil"/>
                  </w:tcBorders>
                  <w:vAlign w:val="center"/>
                </w:tcPr>
                <w:p w14:paraId="1C22588D">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污染物名称</w:t>
                  </w:r>
                </w:p>
              </w:tc>
              <w:tc>
                <w:tcPr>
                  <w:tcW w:w="1767" w:type="pct"/>
                  <w:tcBorders>
                    <w:tl2br w:val="nil"/>
                    <w:tr2bl w:val="nil"/>
                  </w:tcBorders>
                  <w:shd w:val="clear" w:color="auto" w:fill="auto"/>
                  <w:vAlign w:val="center"/>
                </w:tcPr>
                <w:p w14:paraId="79F2A0C2">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处置措施</w:t>
                  </w:r>
                </w:p>
              </w:tc>
            </w:tr>
            <w:tr w14:paraId="31E3C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l2br w:val="nil"/>
                    <w:tr2bl w:val="nil"/>
                  </w:tcBorders>
                  <w:vAlign w:val="center"/>
                </w:tcPr>
                <w:p w14:paraId="006E64C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616" w:type="pct"/>
                  <w:tcBorders>
                    <w:tl2br w:val="nil"/>
                    <w:tr2bl w:val="nil"/>
                  </w:tcBorders>
                  <w:shd w:val="clear" w:color="auto" w:fill="auto"/>
                  <w:vAlign w:val="center"/>
                </w:tcPr>
                <w:p w14:paraId="333D78F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G</w:t>
                  </w:r>
                  <w:r>
                    <w:rPr>
                      <w:rFonts w:hint="eastAsia" w:ascii="Times New Roman" w:hAnsi="Times New Roman" w:eastAsia="宋体" w:cs="Times New Roman"/>
                      <w:color w:val="auto"/>
                      <w:szCs w:val="21"/>
                      <w:highlight w:val="none"/>
                      <w:lang w:val="en-US" w:eastAsia="zh-CN"/>
                    </w:rPr>
                    <w:t>1</w:t>
                  </w:r>
                </w:p>
              </w:tc>
              <w:tc>
                <w:tcPr>
                  <w:tcW w:w="933" w:type="pct"/>
                  <w:tcBorders>
                    <w:tl2br w:val="nil"/>
                    <w:tr2bl w:val="nil"/>
                  </w:tcBorders>
                  <w:shd w:val="clear" w:color="auto" w:fill="auto"/>
                  <w:vAlign w:val="center"/>
                </w:tcPr>
                <w:p w14:paraId="0794CAE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下料</w:t>
                  </w:r>
                </w:p>
              </w:tc>
              <w:tc>
                <w:tcPr>
                  <w:tcW w:w="983" w:type="pct"/>
                  <w:tcBorders>
                    <w:tl2br w:val="nil"/>
                    <w:tr2bl w:val="nil"/>
                  </w:tcBorders>
                  <w:shd w:val="clear" w:color="auto" w:fill="auto"/>
                  <w:vAlign w:val="center"/>
                </w:tcPr>
                <w:p w14:paraId="685ED2F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切割烟尘</w:t>
                  </w:r>
                </w:p>
              </w:tc>
              <w:tc>
                <w:tcPr>
                  <w:tcW w:w="1767" w:type="pct"/>
                  <w:tcBorders>
                    <w:tl2br w:val="nil"/>
                    <w:tr2bl w:val="nil"/>
                  </w:tcBorders>
                  <w:shd w:val="clear" w:color="auto" w:fill="auto"/>
                  <w:vAlign w:val="center"/>
                </w:tcPr>
                <w:p w14:paraId="0A4930F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移动式烟尘净化器处理后车间无组织排放</w:t>
                  </w:r>
                </w:p>
              </w:tc>
            </w:tr>
            <w:tr w14:paraId="73827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1B1E5FEA">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51EC50A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G2</w:t>
                  </w:r>
                </w:p>
              </w:tc>
              <w:tc>
                <w:tcPr>
                  <w:tcW w:w="933" w:type="pct"/>
                  <w:tcBorders>
                    <w:tl2br w:val="nil"/>
                    <w:tr2bl w:val="nil"/>
                  </w:tcBorders>
                  <w:shd w:val="clear" w:color="auto" w:fill="auto"/>
                  <w:vAlign w:val="center"/>
                </w:tcPr>
                <w:p w14:paraId="68B9D40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焊接</w:t>
                  </w:r>
                </w:p>
              </w:tc>
              <w:tc>
                <w:tcPr>
                  <w:tcW w:w="983" w:type="pct"/>
                  <w:tcBorders>
                    <w:tl2br w:val="nil"/>
                    <w:tr2bl w:val="nil"/>
                  </w:tcBorders>
                  <w:shd w:val="clear" w:color="auto" w:fill="auto"/>
                  <w:vAlign w:val="center"/>
                </w:tcPr>
                <w:p w14:paraId="4B06200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焊接烟尘</w:t>
                  </w:r>
                </w:p>
              </w:tc>
              <w:tc>
                <w:tcPr>
                  <w:tcW w:w="1767" w:type="pct"/>
                  <w:tcBorders>
                    <w:tl2br w:val="nil"/>
                    <w:tr2bl w:val="nil"/>
                  </w:tcBorders>
                  <w:shd w:val="clear" w:color="auto" w:fill="auto"/>
                  <w:vAlign w:val="center"/>
                </w:tcPr>
                <w:p w14:paraId="75DD737F">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移动式烟尘净化器处理后车间无组织排放</w:t>
                  </w:r>
                </w:p>
              </w:tc>
            </w:tr>
            <w:tr w14:paraId="3F10C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3FBC5EA">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4B34172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G</w:t>
                  </w:r>
                  <w:r>
                    <w:rPr>
                      <w:rFonts w:hint="eastAsia" w:ascii="Times New Roman" w:hAnsi="Times New Roman" w:eastAsia="宋体" w:cs="Times New Roman"/>
                      <w:color w:val="auto"/>
                      <w:szCs w:val="21"/>
                      <w:highlight w:val="none"/>
                      <w:lang w:val="en-US" w:eastAsia="zh-CN"/>
                    </w:rPr>
                    <w:t>3</w:t>
                  </w:r>
                </w:p>
              </w:tc>
              <w:tc>
                <w:tcPr>
                  <w:tcW w:w="933" w:type="pct"/>
                  <w:tcBorders>
                    <w:tl2br w:val="nil"/>
                    <w:tr2bl w:val="nil"/>
                  </w:tcBorders>
                  <w:shd w:val="clear" w:color="auto" w:fill="auto"/>
                  <w:vAlign w:val="center"/>
                </w:tcPr>
                <w:p w14:paraId="2C5BE0E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打磨</w:t>
                  </w:r>
                </w:p>
              </w:tc>
              <w:tc>
                <w:tcPr>
                  <w:tcW w:w="983" w:type="pct"/>
                  <w:tcBorders>
                    <w:tl2br w:val="nil"/>
                    <w:tr2bl w:val="nil"/>
                  </w:tcBorders>
                  <w:shd w:val="clear" w:color="auto" w:fill="auto"/>
                  <w:vAlign w:val="center"/>
                </w:tcPr>
                <w:p w14:paraId="0DFEA3F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打磨粉尘</w:t>
                  </w:r>
                </w:p>
              </w:tc>
              <w:tc>
                <w:tcPr>
                  <w:tcW w:w="1767" w:type="pct"/>
                  <w:tcBorders>
                    <w:tl2br w:val="nil"/>
                    <w:tr2bl w:val="nil"/>
                  </w:tcBorders>
                  <w:shd w:val="clear" w:color="auto" w:fill="auto"/>
                  <w:vAlign w:val="center"/>
                </w:tcPr>
                <w:p w14:paraId="0E2F733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通过一套1#旋风除尘器+滤筒除尘器处理后通过1根25m高的排气筒FQ-1排放</w:t>
                  </w:r>
                </w:p>
              </w:tc>
            </w:tr>
            <w:tr w14:paraId="32C32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7C75CE1C">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16455E3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G4</w:t>
                  </w:r>
                </w:p>
              </w:tc>
              <w:tc>
                <w:tcPr>
                  <w:tcW w:w="933" w:type="pct"/>
                  <w:tcBorders>
                    <w:tl2br w:val="nil"/>
                    <w:tr2bl w:val="nil"/>
                  </w:tcBorders>
                  <w:shd w:val="clear" w:color="auto" w:fill="auto"/>
                  <w:vAlign w:val="center"/>
                </w:tcPr>
                <w:p w14:paraId="056713F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喷砂</w:t>
                  </w:r>
                </w:p>
              </w:tc>
              <w:tc>
                <w:tcPr>
                  <w:tcW w:w="983" w:type="pct"/>
                  <w:tcBorders>
                    <w:tl2br w:val="nil"/>
                    <w:tr2bl w:val="nil"/>
                  </w:tcBorders>
                  <w:shd w:val="clear" w:color="auto" w:fill="auto"/>
                  <w:vAlign w:val="center"/>
                </w:tcPr>
                <w:p w14:paraId="1410F8E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喷砂粉尘</w:t>
                  </w:r>
                </w:p>
              </w:tc>
              <w:tc>
                <w:tcPr>
                  <w:tcW w:w="1767" w:type="pct"/>
                  <w:tcBorders>
                    <w:tl2br w:val="nil"/>
                    <w:tr2bl w:val="nil"/>
                  </w:tcBorders>
                  <w:shd w:val="clear" w:color="auto" w:fill="auto"/>
                  <w:vAlign w:val="center"/>
                </w:tcPr>
                <w:p w14:paraId="080F6EF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通过一套1#旋风除尘器+滤筒除尘器处理后通过1根25m高的排气筒FQ-1排放</w:t>
                  </w:r>
                </w:p>
              </w:tc>
            </w:tr>
            <w:tr w14:paraId="5D3F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9605178">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7A550D1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G5、G6</w:t>
                  </w:r>
                </w:p>
              </w:tc>
              <w:tc>
                <w:tcPr>
                  <w:tcW w:w="933" w:type="pct"/>
                  <w:tcBorders>
                    <w:tl2br w:val="nil"/>
                    <w:tr2bl w:val="nil"/>
                  </w:tcBorders>
                  <w:shd w:val="clear" w:color="auto" w:fill="auto"/>
                  <w:vAlign w:val="center"/>
                </w:tcPr>
                <w:p w14:paraId="0ED8ED3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喷粉</w:t>
                  </w:r>
                </w:p>
              </w:tc>
              <w:tc>
                <w:tcPr>
                  <w:tcW w:w="983" w:type="pct"/>
                  <w:tcBorders>
                    <w:tl2br w:val="nil"/>
                    <w:tr2bl w:val="nil"/>
                  </w:tcBorders>
                  <w:shd w:val="clear" w:color="auto" w:fill="auto"/>
                  <w:vAlign w:val="center"/>
                </w:tcPr>
                <w:p w14:paraId="3D2E9D7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喷粉废气</w:t>
                  </w:r>
                </w:p>
              </w:tc>
              <w:tc>
                <w:tcPr>
                  <w:tcW w:w="1767" w:type="pct"/>
                  <w:tcBorders>
                    <w:tl2br w:val="nil"/>
                    <w:tr2bl w:val="nil"/>
                  </w:tcBorders>
                  <w:shd w:val="clear" w:color="auto" w:fill="auto"/>
                  <w:vAlign w:val="center"/>
                </w:tcPr>
                <w:p w14:paraId="4E4FFCF8">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手工喷粉废气经下吸风收集后通过2#</w:t>
                  </w:r>
                  <w:r>
                    <w:rPr>
                      <w:rFonts w:hint="eastAsia" w:ascii="Times New Roman" w:hAnsi="Times New Roman" w:eastAsia="宋体" w:cs="Times New Roman"/>
                      <w:color w:val="auto"/>
                      <w:kern w:val="2"/>
                      <w:sz w:val="21"/>
                      <w:szCs w:val="21"/>
                      <w:highlight w:val="none"/>
                      <w:lang w:val="en-US" w:eastAsia="zh-CN" w:bidi="ar-SA"/>
                    </w:rPr>
                    <w:t>旋风除尘器+滤筒除尘器</w:t>
                  </w:r>
                  <w:r>
                    <w:rPr>
                      <w:rFonts w:hint="eastAsia" w:ascii="Times New Roman" w:hAnsi="Times New Roman" w:eastAsia="宋体" w:cs="Times New Roman"/>
                      <w:color w:val="auto"/>
                      <w:szCs w:val="21"/>
                      <w:highlight w:val="none"/>
                      <w:lang w:val="en-US" w:eastAsia="zh-CN"/>
                    </w:rPr>
                    <w:t>处理，自动喷粉废气经下吸风收集后通过3#</w:t>
                  </w:r>
                  <w:r>
                    <w:rPr>
                      <w:rFonts w:hint="eastAsia" w:ascii="Times New Roman" w:hAnsi="Times New Roman" w:eastAsia="宋体" w:cs="Times New Roman"/>
                      <w:color w:val="auto"/>
                      <w:kern w:val="2"/>
                      <w:sz w:val="21"/>
                      <w:szCs w:val="21"/>
                      <w:highlight w:val="none"/>
                      <w:lang w:val="en-US" w:eastAsia="zh-CN" w:bidi="ar-SA"/>
                    </w:rPr>
                    <w:t>旋风除尘器+滤筒除尘器</w:t>
                  </w:r>
                  <w:r>
                    <w:rPr>
                      <w:rFonts w:hint="eastAsia" w:ascii="Times New Roman" w:hAnsi="Times New Roman" w:eastAsia="宋体" w:cs="Times New Roman"/>
                      <w:color w:val="auto"/>
                      <w:szCs w:val="21"/>
                      <w:highlight w:val="none"/>
                      <w:lang w:val="en-US" w:eastAsia="zh-CN"/>
                    </w:rPr>
                    <w:t>处理，最后合并通过一根25m高的排气筒FQ-1排放</w:t>
                  </w:r>
                </w:p>
              </w:tc>
            </w:tr>
            <w:tr w14:paraId="70060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2BD049C">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55E4665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G7</w:t>
                  </w:r>
                </w:p>
              </w:tc>
              <w:tc>
                <w:tcPr>
                  <w:tcW w:w="933" w:type="pct"/>
                  <w:vMerge w:val="restart"/>
                  <w:tcBorders>
                    <w:tl2br w:val="nil"/>
                    <w:tr2bl w:val="nil"/>
                  </w:tcBorders>
                  <w:shd w:val="clear" w:color="auto" w:fill="auto"/>
                  <w:vAlign w:val="center"/>
                </w:tcPr>
                <w:p w14:paraId="7BAE4E4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固化</w:t>
                  </w:r>
                </w:p>
              </w:tc>
              <w:tc>
                <w:tcPr>
                  <w:tcW w:w="983" w:type="pct"/>
                  <w:tcBorders>
                    <w:tl2br w:val="nil"/>
                    <w:tr2bl w:val="nil"/>
                  </w:tcBorders>
                  <w:shd w:val="clear" w:color="auto" w:fill="auto"/>
                  <w:vAlign w:val="center"/>
                </w:tcPr>
                <w:p w14:paraId="0DB346A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固化废气</w:t>
                  </w:r>
                </w:p>
              </w:tc>
              <w:tc>
                <w:tcPr>
                  <w:tcW w:w="1767" w:type="pct"/>
                  <w:tcBorders>
                    <w:tl2br w:val="nil"/>
                    <w:tr2bl w:val="nil"/>
                  </w:tcBorders>
                  <w:shd w:val="clear" w:color="auto" w:fill="auto"/>
                  <w:vAlign w:val="center"/>
                </w:tcPr>
                <w:p w14:paraId="2F2CFD47">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通过1#二级活性炭吸附装置处理后，由一根25m高的排气筒FQ-2排放</w:t>
                  </w:r>
                </w:p>
              </w:tc>
            </w:tr>
            <w:tr w14:paraId="330EF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4109ED2">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298ADDF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G8</w:t>
                  </w:r>
                </w:p>
              </w:tc>
              <w:tc>
                <w:tcPr>
                  <w:tcW w:w="933" w:type="pct"/>
                  <w:vMerge w:val="continue"/>
                  <w:tcBorders>
                    <w:tl2br w:val="nil"/>
                    <w:tr2bl w:val="nil"/>
                  </w:tcBorders>
                  <w:shd w:val="clear" w:color="auto" w:fill="auto"/>
                  <w:vAlign w:val="center"/>
                </w:tcPr>
                <w:p w14:paraId="72B57AEF">
                  <w:pPr>
                    <w:jc w:val="center"/>
                    <w:rPr>
                      <w:rFonts w:hint="eastAsia" w:ascii="Times New Roman" w:hAnsi="Times New Roman" w:eastAsia="宋体" w:cs="Times New Roman"/>
                      <w:color w:val="auto"/>
                      <w:kern w:val="2"/>
                      <w:sz w:val="21"/>
                      <w:szCs w:val="21"/>
                      <w:highlight w:val="none"/>
                      <w:lang w:val="en-US" w:eastAsia="zh-CN" w:bidi="ar-SA"/>
                    </w:rPr>
                  </w:pPr>
                </w:p>
              </w:tc>
              <w:tc>
                <w:tcPr>
                  <w:tcW w:w="983" w:type="pct"/>
                  <w:tcBorders>
                    <w:tl2br w:val="nil"/>
                    <w:tr2bl w:val="nil"/>
                  </w:tcBorders>
                  <w:shd w:val="clear" w:color="auto" w:fill="auto"/>
                  <w:vAlign w:val="center"/>
                </w:tcPr>
                <w:p w14:paraId="0DEAC97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天然气燃烧废气</w:t>
                  </w:r>
                </w:p>
              </w:tc>
              <w:tc>
                <w:tcPr>
                  <w:tcW w:w="1767" w:type="pct"/>
                  <w:tcBorders>
                    <w:tl2br w:val="nil"/>
                    <w:tr2bl w:val="nil"/>
                  </w:tcBorders>
                  <w:shd w:val="clear" w:color="auto" w:fill="auto"/>
                  <w:vAlign w:val="center"/>
                </w:tcPr>
                <w:p w14:paraId="2C30980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采用低氮燃烧，通过1#二级活性炭吸附装置，由一根25m高的排气筒FQ-2排放</w:t>
                  </w:r>
                </w:p>
              </w:tc>
            </w:tr>
            <w:tr w14:paraId="6D6F1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0C8DE874">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7683C98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G9</w:t>
                  </w:r>
                </w:p>
              </w:tc>
              <w:tc>
                <w:tcPr>
                  <w:tcW w:w="933" w:type="pct"/>
                  <w:tcBorders>
                    <w:tl2br w:val="nil"/>
                    <w:tr2bl w:val="nil"/>
                  </w:tcBorders>
                  <w:shd w:val="clear" w:color="auto" w:fill="auto"/>
                  <w:vAlign w:val="center"/>
                </w:tcPr>
                <w:p w14:paraId="6E92DD0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打胶、晾干</w:t>
                  </w:r>
                </w:p>
              </w:tc>
              <w:tc>
                <w:tcPr>
                  <w:tcW w:w="983" w:type="pct"/>
                  <w:tcBorders>
                    <w:tl2br w:val="nil"/>
                    <w:tr2bl w:val="nil"/>
                  </w:tcBorders>
                  <w:shd w:val="clear" w:color="auto" w:fill="auto"/>
                  <w:vAlign w:val="center"/>
                </w:tcPr>
                <w:p w14:paraId="734AF95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打胶废气</w:t>
                  </w:r>
                </w:p>
              </w:tc>
              <w:tc>
                <w:tcPr>
                  <w:tcW w:w="1767" w:type="pct"/>
                  <w:tcBorders>
                    <w:tl2br w:val="nil"/>
                    <w:tr2bl w:val="nil"/>
                  </w:tcBorders>
                  <w:shd w:val="clear" w:color="auto" w:fill="auto"/>
                  <w:vAlign w:val="center"/>
                </w:tcPr>
                <w:p w14:paraId="07274B50">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通过2#二级活性炭吸附装置处理后，经一根25m高的排气筒FQ-3排放</w:t>
                  </w:r>
                </w:p>
              </w:tc>
            </w:tr>
            <w:tr w14:paraId="54E60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15D2BA92">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252DB36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G10</w:t>
                  </w:r>
                </w:p>
              </w:tc>
              <w:tc>
                <w:tcPr>
                  <w:tcW w:w="933" w:type="pct"/>
                  <w:tcBorders>
                    <w:tl2br w:val="nil"/>
                    <w:tr2bl w:val="nil"/>
                  </w:tcBorders>
                  <w:shd w:val="clear" w:color="auto" w:fill="auto"/>
                  <w:vAlign w:val="center"/>
                </w:tcPr>
                <w:p w14:paraId="2543141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烘干</w:t>
                  </w:r>
                </w:p>
              </w:tc>
              <w:tc>
                <w:tcPr>
                  <w:tcW w:w="983" w:type="pct"/>
                  <w:tcBorders>
                    <w:tl2br w:val="nil"/>
                    <w:tr2bl w:val="nil"/>
                  </w:tcBorders>
                  <w:shd w:val="clear" w:color="auto" w:fill="auto"/>
                  <w:vAlign w:val="center"/>
                </w:tcPr>
                <w:p w14:paraId="24BE762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天然气燃烧废气</w:t>
                  </w:r>
                </w:p>
              </w:tc>
              <w:tc>
                <w:tcPr>
                  <w:tcW w:w="1767" w:type="pct"/>
                  <w:tcBorders>
                    <w:tl2br w:val="nil"/>
                    <w:tr2bl w:val="nil"/>
                  </w:tcBorders>
                  <w:shd w:val="clear" w:color="auto" w:fill="auto"/>
                  <w:vAlign w:val="center"/>
                </w:tcPr>
                <w:p w14:paraId="49682D8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采用低氮燃烧，通过1#二级活性炭吸附装置，由一根25m高的排气筒FQ-2排放</w:t>
                  </w:r>
                </w:p>
              </w:tc>
            </w:tr>
            <w:tr w14:paraId="2205D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l2br w:val="nil"/>
                    <w:tr2bl w:val="nil"/>
                  </w:tcBorders>
                  <w:vAlign w:val="center"/>
                </w:tcPr>
                <w:p w14:paraId="1680BF6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616" w:type="pct"/>
                  <w:tcBorders>
                    <w:tl2br w:val="nil"/>
                    <w:tr2bl w:val="nil"/>
                  </w:tcBorders>
                  <w:vAlign w:val="center"/>
                </w:tcPr>
                <w:p w14:paraId="237E8A3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933" w:type="pct"/>
                  <w:tcBorders>
                    <w:tl2br w:val="nil"/>
                    <w:tr2bl w:val="nil"/>
                  </w:tcBorders>
                  <w:vAlign w:val="center"/>
                </w:tcPr>
                <w:p w14:paraId="1424C41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生活污水</w:t>
                  </w:r>
                </w:p>
              </w:tc>
              <w:tc>
                <w:tcPr>
                  <w:tcW w:w="983" w:type="pct"/>
                  <w:tcBorders>
                    <w:tl2br w:val="nil"/>
                    <w:tr2bl w:val="nil"/>
                  </w:tcBorders>
                  <w:vAlign w:val="center"/>
                </w:tcPr>
                <w:p w14:paraId="3BF3960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员工生活</w:t>
                  </w:r>
                </w:p>
              </w:tc>
              <w:tc>
                <w:tcPr>
                  <w:tcW w:w="1767" w:type="pct"/>
                  <w:tcBorders>
                    <w:tl2br w:val="nil"/>
                    <w:tr2bl w:val="nil"/>
                  </w:tcBorders>
                  <w:shd w:val="clear" w:color="auto" w:fill="auto"/>
                  <w:vAlign w:val="center"/>
                </w:tcPr>
                <w:p w14:paraId="3767987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接管至常州市金坛区第二污水处理厂集中处理</w:t>
                  </w:r>
                </w:p>
              </w:tc>
            </w:tr>
            <w:tr w14:paraId="39994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579AF721">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734C487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W1</w:t>
                  </w:r>
                </w:p>
              </w:tc>
              <w:tc>
                <w:tcPr>
                  <w:tcW w:w="933" w:type="pct"/>
                  <w:tcBorders>
                    <w:tl2br w:val="nil"/>
                    <w:tr2bl w:val="nil"/>
                  </w:tcBorders>
                  <w:vAlign w:val="center"/>
                </w:tcPr>
                <w:p w14:paraId="246B84D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预脱脂废水</w:t>
                  </w:r>
                </w:p>
              </w:tc>
              <w:tc>
                <w:tcPr>
                  <w:tcW w:w="983" w:type="pct"/>
                  <w:tcBorders>
                    <w:tl2br w:val="nil"/>
                    <w:tr2bl w:val="nil"/>
                  </w:tcBorders>
                  <w:vAlign w:val="center"/>
                </w:tcPr>
                <w:p w14:paraId="0C323EAE">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预脱脂</w:t>
                  </w:r>
                </w:p>
              </w:tc>
              <w:tc>
                <w:tcPr>
                  <w:tcW w:w="1767" w:type="pct"/>
                  <w:vMerge w:val="restart"/>
                  <w:tcBorders>
                    <w:tl2br w:val="nil"/>
                    <w:tr2bl w:val="nil"/>
                  </w:tcBorders>
                  <w:shd w:val="clear" w:color="auto" w:fill="auto"/>
                  <w:vAlign w:val="center"/>
                </w:tcPr>
                <w:p w14:paraId="67F1A822">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经污水处理站处理后全部回用于生产</w:t>
                  </w:r>
                </w:p>
              </w:tc>
            </w:tr>
            <w:tr w14:paraId="5CEA7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C49ECB5">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7ADD805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W2</w:t>
                  </w:r>
                </w:p>
              </w:tc>
              <w:tc>
                <w:tcPr>
                  <w:tcW w:w="933" w:type="pct"/>
                  <w:tcBorders>
                    <w:tl2br w:val="nil"/>
                    <w:tr2bl w:val="nil"/>
                  </w:tcBorders>
                  <w:shd w:val="clear" w:color="auto" w:fill="auto"/>
                  <w:vAlign w:val="center"/>
                </w:tcPr>
                <w:p w14:paraId="5793B3B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主脱脂废水</w:t>
                  </w:r>
                </w:p>
              </w:tc>
              <w:tc>
                <w:tcPr>
                  <w:tcW w:w="983" w:type="pct"/>
                  <w:tcBorders>
                    <w:tl2br w:val="nil"/>
                    <w:tr2bl w:val="nil"/>
                  </w:tcBorders>
                  <w:shd w:val="clear" w:color="auto" w:fill="auto"/>
                  <w:vAlign w:val="center"/>
                </w:tcPr>
                <w:p w14:paraId="061BDFA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主脱脂</w:t>
                  </w:r>
                </w:p>
              </w:tc>
              <w:tc>
                <w:tcPr>
                  <w:tcW w:w="1767" w:type="pct"/>
                  <w:vMerge w:val="continue"/>
                  <w:tcBorders>
                    <w:tl2br w:val="nil"/>
                    <w:tr2bl w:val="nil"/>
                  </w:tcBorders>
                  <w:shd w:val="clear" w:color="auto" w:fill="auto"/>
                  <w:vAlign w:val="center"/>
                </w:tcPr>
                <w:p w14:paraId="107F5BC3">
                  <w:pPr>
                    <w:jc w:val="center"/>
                    <w:rPr>
                      <w:rFonts w:hint="default" w:ascii="Times New Roman" w:hAnsi="Times New Roman" w:eastAsia="宋体" w:cs="Times New Roman"/>
                      <w:color w:val="auto"/>
                      <w:szCs w:val="21"/>
                      <w:highlight w:val="none"/>
                    </w:rPr>
                  </w:pPr>
                </w:p>
              </w:tc>
            </w:tr>
            <w:tr w14:paraId="1A73D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1D4410CB">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2A5D09C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W3</w:t>
                  </w:r>
                </w:p>
              </w:tc>
              <w:tc>
                <w:tcPr>
                  <w:tcW w:w="933" w:type="pct"/>
                  <w:tcBorders>
                    <w:tl2br w:val="nil"/>
                    <w:tr2bl w:val="nil"/>
                  </w:tcBorders>
                  <w:shd w:val="clear" w:color="auto" w:fill="auto"/>
                  <w:vAlign w:val="center"/>
                </w:tcPr>
                <w:p w14:paraId="03DCBF16">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水洗废水</w:t>
                  </w:r>
                </w:p>
              </w:tc>
              <w:tc>
                <w:tcPr>
                  <w:tcW w:w="983" w:type="pct"/>
                  <w:tcBorders>
                    <w:tl2br w:val="nil"/>
                    <w:tr2bl w:val="nil"/>
                  </w:tcBorders>
                  <w:shd w:val="clear" w:color="auto" w:fill="auto"/>
                  <w:vAlign w:val="center"/>
                </w:tcPr>
                <w:p w14:paraId="7D99705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水洗1</w:t>
                  </w:r>
                </w:p>
              </w:tc>
              <w:tc>
                <w:tcPr>
                  <w:tcW w:w="1767" w:type="pct"/>
                  <w:vMerge w:val="continue"/>
                  <w:tcBorders>
                    <w:tl2br w:val="nil"/>
                    <w:tr2bl w:val="nil"/>
                  </w:tcBorders>
                  <w:shd w:val="clear" w:color="auto" w:fill="auto"/>
                  <w:vAlign w:val="center"/>
                </w:tcPr>
                <w:p w14:paraId="12AFA931">
                  <w:pPr>
                    <w:jc w:val="center"/>
                    <w:rPr>
                      <w:rFonts w:hint="default" w:ascii="Times New Roman" w:hAnsi="Times New Roman" w:eastAsia="宋体" w:cs="Times New Roman"/>
                      <w:color w:val="auto"/>
                      <w:szCs w:val="21"/>
                      <w:highlight w:val="none"/>
                    </w:rPr>
                  </w:pPr>
                </w:p>
              </w:tc>
            </w:tr>
            <w:tr w14:paraId="1FB37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4195D7A">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528F096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W4</w:t>
                  </w:r>
                </w:p>
              </w:tc>
              <w:tc>
                <w:tcPr>
                  <w:tcW w:w="933" w:type="pct"/>
                  <w:tcBorders>
                    <w:tl2br w:val="nil"/>
                    <w:tr2bl w:val="nil"/>
                  </w:tcBorders>
                  <w:shd w:val="clear" w:color="auto" w:fill="auto"/>
                  <w:vAlign w:val="center"/>
                </w:tcPr>
                <w:p w14:paraId="2747363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硅烷化废水</w:t>
                  </w:r>
                </w:p>
              </w:tc>
              <w:tc>
                <w:tcPr>
                  <w:tcW w:w="983" w:type="pct"/>
                  <w:tcBorders>
                    <w:tl2br w:val="nil"/>
                    <w:tr2bl w:val="nil"/>
                  </w:tcBorders>
                  <w:shd w:val="clear" w:color="auto" w:fill="auto"/>
                  <w:vAlign w:val="center"/>
                </w:tcPr>
                <w:p w14:paraId="5D4974F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硅烷化</w:t>
                  </w:r>
                </w:p>
              </w:tc>
              <w:tc>
                <w:tcPr>
                  <w:tcW w:w="1767" w:type="pct"/>
                  <w:vMerge w:val="continue"/>
                  <w:tcBorders>
                    <w:tl2br w:val="nil"/>
                    <w:tr2bl w:val="nil"/>
                  </w:tcBorders>
                  <w:shd w:val="clear" w:color="auto" w:fill="auto"/>
                  <w:vAlign w:val="center"/>
                </w:tcPr>
                <w:p w14:paraId="3BBCDAED">
                  <w:pPr>
                    <w:jc w:val="center"/>
                    <w:rPr>
                      <w:rFonts w:hint="default" w:ascii="Times New Roman" w:hAnsi="Times New Roman" w:eastAsia="宋体" w:cs="Times New Roman"/>
                      <w:color w:val="auto"/>
                      <w:szCs w:val="21"/>
                      <w:highlight w:val="none"/>
                    </w:rPr>
                  </w:pPr>
                </w:p>
              </w:tc>
            </w:tr>
            <w:tr w14:paraId="10DAA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A902B34">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18CFF88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W5</w:t>
                  </w:r>
                </w:p>
              </w:tc>
              <w:tc>
                <w:tcPr>
                  <w:tcW w:w="933" w:type="pct"/>
                  <w:tcBorders>
                    <w:tl2br w:val="nil"/>
                    <w:tr2bl w:val="nil"/>
                  </w:tcBorders>
                  <w:shd w:val="clear" w:color="auto" w:fill="auto"/>
                  <w:vAlign w:val="center"/>
                </w:tcPr>
                <w:p w14:paraId="2A11AD6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水洗废水</w:t>
                  </w:r>
                </w:p>
              </w:tc>
              <w:tc>
                <w:tcPr>
                  <w:tcW w:w="983" w:type="pct"/>
                  <w:tcBorders>
                    <w:tl2br w:val="nil"/>
                    <w:tr2bl w:val="nil"/>
                  </w:tcBorders>
                  <w:shd w:val="clear" w:color="auto" w:fill="auto"/>
                  <w:vAlign w:val="center"/>
                </w:tcPr>
                <w:p w14:paraId="12EAC0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水洗4</w:t>
                  </w:r>
                </w:p>
              </w:tc>
              <w:tc>
                <w:tcPr>
                  <w:tcW w:w="1767" w:type="pct"/>
                  <w:vMerge w:val="continue"/>
                  <w:tcBorders>
                    <w:tl2br w:val="nil"/>
                    <w:tr2bl w:val="nil"/>
                  </w:tcBorders>
                  <w:shd w:val="clear" w:color="auto" w:fill="auto"/>
                  <w:vAlign w:val="center"/>
                </w:tcPr>
                <w:p w14:paraId="109DD519">
                  <w:pPr>
                    <w:jc w:val="center"/>
                    <w:rPr>
                      <w:rFonts w:hint="default" w:ascii="Times New Roman" w:hAnsi="Times New Roman" w:eastAsia="宋体" w:cs="Times New Roman"/>
                      <w:color w:val="auto"/>
                      <w:szCs w:val="21"/>
                      <w:highlight w:val="none"/>
                    </w:rPr>
                  </w:pPr>
                </w:p>
              </w:tc>
            </w:tr>
            <w:tr w14:paraId="44219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l2br w:val="nil"/>
                    <w:tr2bl w:val="nil"/>
                  </w:tcBorders>
                  <w:vAlign w:val="center"/>
                </w:tcPr>
                <w:p w14:paraId="3248DAF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616" w:type="pct"/>
                  <w:tcBorders>
                    <w:tl2br w:val="nil"/>
                    <w:tr2bl w:val="nil"/>
                  </w:tcBorders>
                  <w:vAlign w:val="center"/>
                </w:tcPr>
                <w:p w14:paraId="453A502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S1</w:t>
                  </w:r>
                </w:p>
              </w:tc>
              <w:tc>
                <w:tcPr>
                  <w:tcW w:w="933" w:type="pct"/>
                  <w:tcBorders>
                    <w:tl2br w:val="nil"/>
                    <w:tr2bl w:val="nil"/>
                  </w:tcBorders>
                  <w:vAlign w:val="center"/>
                </w:tcPr>
                <w:p w14:paraId="7016350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下料</w:t>
                  </w:r>
                </w:p>
              </w:tc>
              <w:tc>
                <w:tcPr>
                  <w:tcW w:w="983" w:type="pct"/>
                  <w:tcBorders>
                    <w:tl2br w:val="nil"/>
                    <w:tr2bl w:val="nil"/>
                  </w:tcBorders>
                  <w:vAlign w:val="center"/>
                </w:tcPr>
                <w:p w14:paraId="5832AA54">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边角料</w:t>
                  </w:r>
                </w:p>
              </w:tc>
              <w:tc>
                <w:tcPr>
                  <w:tcW w:w="1767" w:type="pct"/>
                  <w:tcBorders>
                    <w:tl2br w:val="nil"/>
                    <w:tr2bl w:val="nil"/>
                  </w:tcBorders>
                  <w:shd w:val="clear" w:color="auto" w:fill="auto"/>
                  <w:vAlign w:val="center"/>
                </w:tcPr>
                <w:p w14:paraId="6E94A94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23A34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51142C8D">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6ED6400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p>
              </w:tc>
              <w:tc>
                <w:tcPr>
                  <w:tcW w:w="933" w:type="pct"/>
                  <w:tcBorders>
                    <w:tl2br w:val="nil"/>
                    <w:tr2bl w:val="nil"/>
                  </w:tcBorders>
                  <w:vAlign w:val="center"/>
                </w:tcPr>
                <w:p w14:paraId="530847E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造型</w:t>
                  </w:r>
                </w:p>
              </w:tc>
              <w:tc>
                <w:tcPr>
                  <w:tcW w:w="983" w:type="pct"/>
                  <w:tcBorders>
                    <w:tl2br w:val="nil"/>
                    <w:tr2bl w:val="nil"/>
                  </w:tcBorders>
                  <w:vAlign w:val="center"/>
                </w:tcPr>
                <w:p w14:paraId="4461D46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边角料</w:t>
                  </w:r>
                </w:p>
              </w:tc>
              <w:tc>
                <w:tcPr>
                  <w:tcW w:w="1767" w:type="pct"/>
                  <w:tcBorders>
                    <w:tl2br w:val="nil"/>
                    <w:tr2bl w:val="nil"/>
                  </w:tcBorders>
                  <w:shd w:val="clear" w:color="auto" w:fill="auto"/>
                  <w:vAlign w:val="center"/>
                </w:tcPr>
                <w:p w14:paraId="4AE55E3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5BC59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408E5F50">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4562CD2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3</w:t>
                  </w:r>
                </w:p>
              </w:tc>
              <w:tc>
                <w:tcPr>
                  <w:tcW w:w="933" w:type="pct"/>
                  <w:tcBorders>
                    <w:tl2br w:val="nil"/>
                    <w:tr2bl w:val="nil"/>
                  </w:tcBorders>
                  <w:vAlign w:val="center"/>
                </w:tcPr>
                <w:p w14:paraId="2AD291A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打胶</w:t>
                  </w:r>
                </w:p>
              </w:tc>
              <w:tc>
                <w:tcPr>
                  <w:tcW w:w="983" w:type="pct"/>
                  <w:tcBorders>
                    <w:tl2br w:val="nil"/>
                    <w:tr2bl w:val="nil"/>
                  </w:tcBorders>
                  <w:vAlign w:val="center"/>
                </w:tcPr>
                <w:p w14:paraId="6635F22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含胶废物</w:t>
                  </w:r>
                </w:p>
              </w:tc>
              <w:tc>
                <w:tcPr>
                  <w:tcW w:w="1767" w:type="pct"/>
                  <w:tcBorders>
                    <w:tl2br w:val="nil"/>
                    <w:tr2bl w:val="nil"/>
                  </w:tcBorders>
                  <w:shd w:val="clear" w:color="auto" w:fill="auto"/>
                  <w:vAlign w:val="center"/>
                </w:tcPr>
                <w:p w14:paraId="5B556B8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收集后委托有资质单位处置</w:t>
                  </w:r>
                </w:p>
              </w:tc>
            </w:tr>
            <w:tr w14:paraId="2B840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46BEFDB6">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75323B0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4</w:t>
                  </w:r>
                </w:p>
              </w:tc>
              <w:tc>
                <w:tcPr>
                  <w:tcW w:w="933" w:type="pct"/>
                  <w:tcBorders>
                    <w:tl2br w:val="nil"/>
                    <w:tr2bl w:val="nil"/>
                  </w:tcBorders>
                  <w:shd w:val="clear" w:color="auto" w:fill="auto"/>
                  <w:vAlign w:val="center"/>
                </w:tcPr>
                <w:p w14:paraId="77EF630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原料包装</w:t>
                  </w:r>
                </w:p>
              </w:tc>
              <w:tc>
                <w:tcPr>
                  <w:tcW w:w="983" w:type="pct"/>
                  <w:tcBorders>
                    <w:tl2br w:val="nil"/>
                    <w:tr2bl w:val="nil"/>
                  </w:tcBorders>
                  <w:shd w:val="clear" w:color="auto" w:fill="auto"/>
                  <w:vAlign w:val="center"/>
                </w:tcPr>
                <w:p w14:paraId="051019E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废包装物</w:t>
                  </w:r>
                </w:p>
              </w:tc>
              <w:tc>
                <w:tcPr>
                  <w:tcW w:w="1767" w:type="pct"/>
                  <w:tcBorders>
                    <w:tl2br w:val="nil"/>
                    <w:tr2bl w:val="nil"/>
                  </w:tcBorders>
                  <w:shd w:val="clear" w:color="auto" w:fill="auto"/>
                  <w:vAlign w:val="center"/>
                </w:tcPr>
                <w:p w14:paraId="494EFD1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收集后委托有资质单位处置</w:t>
                  </w:r>
                </w:p>
              </w:tc>
            </w:tr>
            <w:tr w14:paraId="40B3B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0CCD95B7">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60C4CEE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S5</w:t>
                  </w:r>
                </w:p>
              </w:tc>
              <w:tc>
                <w:tcPr>
                  <w:tcW w:w="933" w:type="pct"/>
                  <w:tcBorders>
                    <w:tl2br w:val="nil"/>
                    <w:tr2bl w:val="nil"/>
                  </w:tcBorders>
                  <w:shd w:val="clear" w:color="auto" w:fill="auto"/>
                  <w:vAlign w:val="center"/>
                </w:tcPr>
                <w:p w14:paraId="33118E1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原料包装</w:t>
                  </w:r>
                </w:p>
              </w:tc>
              <w:tc>
                <w:tcPr>
                  <w:tcW w:w="983" w:type="pct"/>
                  <w:tcBorders>
                    <w:tl2br w:val="nil"/>
                    <w:tr2bl w:val="nil"/>
                  </w:tcBorders>
                  <w:shd w:val="clear" w:color="auto" w:fill="auto"/>
                  <w:vAlign w:val="center"/>
                </w:tcPr>
                <w:p w14:paraId="5138BDE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废包装纸</w:t>
                  </w:r>
                </w:p>
              </w:tc>
              <w:tc>
                <w:tcPr>
                  <w:tcW w:w="1767" w:type="pct"/>
                  <w:tcBorders>
                    <w:tl2br w:val="nil"/>
                    <w:tr2bl w:val="nil"/>
                  </w:tcBorders>
                  <w:shd w:val="clear" w:color="auto" w:fill="auto"/>
                  <w:vAlign w:val="center"/>
                </w:tcPr>
                <w:p w14:paraId="0548240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3334D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6C0955DB">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2889B8A5">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6</w:t>
                  </w:r>
                </w:p>
              </w:tc>
              <w:tc>
                <w:tcPr>
                  <w:tcW w:w="933" w:type="pct"/>
                  <w:tcBorders>
                    <w:tl2br w:val="nil"/>
                    <w:tr2bl w:val="nil"/>
                  </w:tcBorders>
                  <w:shd w:val="clear" w:color="auto" w:fill="auto"/>
                  <w:vAlign w:val="center"/>
                </w:tcPr>
                <w:p w14:paraId="3276DF0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设备保养</w:t>
                  </w:r>
                </w:p>
              </w:tc>
              <w:tc>
                <w:tcPr>
                  <w:tcW w:w="983" w:type="pct"/>
                  <w:tcBorders>
                    <w:tl2br w:val="nil"/>
                    <w:tr2bl w:val="nil"/>
                  </w:tcBorders>
                  <w:shd w:val="clear" w:color="auto" w:fill="auto"/>
                  <w:vAlign w:val="center"/>
                </w:tcPr>
                <w:p w14:paraId="6296DFA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含油废抹布手套</w:t>
                  </w:r>
                </w:p>
              </w:tc>
              <w:tc>
                <w:tcPr>
                  <w:tcW w:w="1767" w:type="pct"/>
                  <w:tcBorders>
                    <w:tl2br w:val="nil"/>
                    <w:tr2bl w:val="nil"/>
                  </w:tcBorders>
                  <w:shd w:val="clear" w:color="auto" w:fill="auto"/>
                  <w:vAlign w:val="center"/>
                </w:tcPr>
                <w:p w14:paraId="710860E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收集后委托有资质单位处置</w:t>
                  </w:r>
                </w:p>
              </w:tc>
            </w:tr>
            <w:tr w14:paraId="4A15A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7A732743">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543522C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S7</w:t>
                  </w:r>
                </w:p>
              </w:tc>
              <w:tc>
                <w:tcPr>
                  <w:tcW w:w="933" w:type="pct"/>
                  <w:tcBorders>
                    <w:tl2br w:val="nil"/>
                    <w:tr2bl w:val="nil"/>
                  </w:tcBorders>
                  <w:shd w:val="clear" w:color="auto" w:fill="auto"/>
                  <w:vAlign w:val="center"/>
                </w:tcPr>
                <w:p w14:paraId="42815C6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废气处理</w:t>
                  </w:r>
                </w:p>
              </w:tc>
              <w:tc>
                <w:tcPr>
                  <w:tcW w:w="983" w:type="pct"/>
                  <w:tcBorders>
                    <w:tl2br w:val="nil"/>
                    <w:tr2bl w:val="nil"/>
                  </w:tcBorders>
                  <w:shd w:val="clear" w:color="auto" w:fill="auto"/>
                  <w:vAlign w:val="center"/>
                </w:tcPr>
                <w:p w14:paraId="2C1B98B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废滤芯</w:t>
                  </w:r>
                </w:p>
              </w:tc>
              <w:tc>
                <w:tcPr>
                  <w:tcW w:w="1767" w:type="pct"/>
                  <w:tcBorders>
                    <w:tl2br w:val="nil"/>
                    <w:tr2bl w:val="nil"/>
                  </w:tcBorders>
                  <w:shd w:val="clear" w:color="auto" w:fill="auto"/>
                  <w:vAlign w:val="center"/>
                </w:tcPr>
                <w:p w14:paraId="4A4976C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760FE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6FB5CB9D">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3DEF3AA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S8</w:t>
                  </w:r>
                </w:p>
              </w:tc>
              <w:tc>
                <w:tcPr>
                  <w:tcW w:w="933" w:type="pct"/>
                  <w:tcBorders>
                    <w:tl2br w:val="nil"/>
                    <w:tr2bl w:val="nil"/>
                  </w:tcBorders>
                  <w:shd w:val="clear" w:color="auto" w:fill="auto"/>
                  <w:vAlign w:val="center"/>
                </w:tcPr>
                <w:p w14:paraId="02263B9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废气处理</w:t>
                  </w:r>
                </w:p>
              </w:tc>
              <w:tc>
                <w:tcPr>
                  <w:tcW w:w="983" w:type="pct"/>
                  <w:tcBorders>
                    <w:tl2br w:val="nil"/>
                    <w:tr2bl w:val="nil"/>
                  </w:tcBorders>
                  <w:shd w:val="clear" w:color="auto" w:fill="auto"/>
                  <w:vAlign w:val="center"/>
                </w:tcPr>
                <w:p w14:paraId="057C255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废滤筒</w:t>
                  </w:r>
                </w:p>
              </w:tc>
              <w:tc>
                <w:tcPr>
                  <w:tcW w:w="1767" w:type="pct"/>
                  <w:tcBorders>
                    <w:tl2br w:val="nil"/>
                    <w:tr2bl w:val="nil"/>
                  </w:tcBorders>
                  <w:shd w:val="clear" w:color="auto" w:fill="auto"/>
                  <w:vAlign w:val="center"/>
                </w:tcPr>
                <w:p w14:paraId="7795B1C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04EEB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4A3F6166">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3C48D8F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S9</w:t>
                  </w:r>
                </w:p>
              </w:tc>
              <w:tc>
                <w:tcPr>
                  <w:tcW w:w="933" w:type="pct"/>
                  <w:tcBorders>
                    <w:tl2br w:val="nil"/>
                    <w:tr2bl w:val="nil"/>
                  </w:tcBorders>
                  <w:shd w:val="clear" w:color="auto" w:fill="auto"/>
                  <w:vAlign w:val="center"/>
                </w:tcPr>
                <w:p w14:paraId="7BDDF76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废气处理</w:t>
                  </w:r>
                </w:p>
              </w:tc>
              <w:tc>
                <w:tcPr>
                  <w:tcW w:w="983" w:type="pct"/>
                  <w:tcBorders>
                    <w:tl2br w:val="nil"/>
                    <w:tr2bl w:val="nil"/>
                  </w:tcBorders>
                  <w:shd w:val="clear" w:color="auto" w:fill="auto"/>
                  <w:vAlign w:val="center"/>
                </w:tcPr>
                <w:p w14:paraId="6E12A1C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除尘灰</w:t>
                  </w:r>
                </w:p>
              </w:tc>
              <w:tc>
                <w:tcPr>
                  <w:tcW w:w="1767" w:type="pct"/>
                  <w:tcBorders>
                    <w:tl2br w:val="nil"/>
                    <w:tr2bl w:val="nil"/>
                  </w:tcBorders>
                  <w:shd w:val="clear" w:color="auto" w:fill="auto"/>
                  <w:vAlign w:val="center"/>
                </w:tcPr>
                <w:p w14:paraId="191486E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w:t>
                  </w:r>
                  <w:r>
                    <w:rPr>
                      <w:rFonts w:hint="eastAsia" w:ascii="Times New Roman" w:hAnsi="Times New Roman" w:eastAsia="宋体" w:cs="Times New Roman"/>
                      <w:color w:val="auto"/>
                      <w:szCs w:val="21"/>
                      <w:highlight w:val="none"/>
                      <w:lang w:val="en-US" w:eastAsia="zh-CN"/>
                    </w:rPr>
                    <w:t>外售</w:t>
                  </w:r>
                </w:p>
              </w:tc>
            </w:tr>
            <w:tr w14:paraId="6A53E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B8BD1A2">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7DFA52F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S10</w:t>
                  </w:r>
                </w:p>
              </w:tc>
              <w:tc>
                <w:tcPr>
                  <w:tcW w:w="933" w:type="pct"/>
                  <w:tcBorders>
                    <w:tl2br w:val="nil"/>
                    <w:tr2bl w:val="nil"/>
                  </w:tcBorders>
                  <w:shd w:val="clear" w:color="auto" w:fill="auto"/>
                  <w:vAlign w:val="center"/>
                </w:tcPr>
                <w:p w14:paraId="3778BA6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废气处理</w:t>
                  </w:r>
                </w:p>
              </w:tc>
              <w:tc>
                <w:tcPr>
                  <w:tcW w:w="983" w:type="pct"/>
                  <w:tcBorders>
                    <w:tl2br w:val="nil"/>
                    <w:tr2bl w:val="nil"/>
                  </w:tcBorders>
                  <w:shd w:val="clear" w:color="auto" w:fill="auto"/>
                  <w:vAlign w:val="center"/>
                </w:tcPr>
                <w:p w14:paraId="704C342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回收塑粉</w:t>
                  </w:r>
                </w:p>
              </w:tc>
              <w:tc>
                <w:tcPr>
                  <w:tcW w:w="1767" w:type="pct"/>
                  <w:tcBorders>
                    <w:tl2br w:val="nil"/>
                    <w:tr2bl w:val="nil"/>
                  </w:tcBorders>
                  <w:shd w:val="clear" w:color="auto" w:fill="auto"/>
                  <w:vAlign w:val="center"/>
                </w:tcPr>
                <w:p w14:paraId="4F9B601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收集后回用于喷粉工序</w:t>
                  </w:r>
                </w:p>
              </w:tc>
            </w:tr>
            <w:tr w14:paraId="7CB6A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C40665F">
                  <w:pPr>
                    <w:jc w:val="center"/>
                    <w:rPr>
                      <w:rFonts w:hint="default" w:ascii="Times New Roman" w:hAnsi="Times New Roman" w:eastAsia="宋体" w:cs="Times New Roman"/>
                      <w:color w:val="auto"/>
                      <w:szCs w:val="21"/>
                      <w:highlight w:val="none"/>
                    </w:rPr>
                  </w:pPr>
                </w:p>
              </w:tc>
              <w:tc>
                <w:tcPr>
                  <w:tcW w:w="616" w:type="pct"/>
                  <w:tcBorders>
                    <w:tl2br w:val="nil"/>
                    <w:tr2bl w:val="nil"/>
                  </w:tcBorders>
                  <w:vAlign w:val="center"/>
                </w:tcPr>
                <w:p w14:paraId="0E198A3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S11、S12</w:t>
                  </w:r>
                </w:p>
              </w:tc>
              <w:tc>
                <w:tcPr>
                  <w:tcW w:w="933" w:type="pct"/>
                  <w:tcBorders>
                    <w:tl2br w:val="nil"/>
                    <w:tr2bl w:val="nil"/>
                  </w:tcBorders>
                  <w:shd w:val="clear" w:color="auto" w:fill="auto"/>
                  <w:vAlign w:val="center"/>
                </w:tcPr>
                <w:p w14:paraId="134955D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废气处理</w:t>
                  </w:r>
                </w:p>
              </w:tc>
              <w:tc>
                <w:tcPr>
                  <w:tcW w:w="983" w:type="pct"/>
                  <w:tcBorders>
                    <w:tl2br w:val="nil"/>
                    <w:tr2bl w:val="nil"/>
                  </w:tcBorders>
                  <w:shd w:val="clear" w:color="auto" w:fill="auto"/>
                  <w:vAlign w:val="center"/>
                </w:tcPr>
                <w:p w14:paraId="4D4AC30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废活性炭</w:t>
                  </w:r>
                </w:p>
              </w:tc>
              <w:tc>
                <w:tcPr>
                  <w:tcW w:w="1767" w:type="pct"/>
                  <w:tcBorders>
                    <w:tl2br w:val="nil"/>
                    <w:tr2bl w:val="nil"/>
                  </w:tcBorders>
                  <w:shd w:val="clear" w:color="auto" w:fill="auto"/>
                  <w:vAlign w:val="center"/>
                </w:tcPr>
                <w:p w14:paraId="72B5B15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收集后委托有资质单位处置</w:t>
                  </w:r>
                </w:p>
              </w:tc>
            </w:tr>
            <w:tr w14:paraId="3C356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46B815F">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35A7EF9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S13</w:t>
                  </w:r>
                </w:p>
              </w:tc>
              <w:tc>
                <w:tcPr>
                  <w:tcW w:w="933" w:type="pct"/>
                  <w:tcBorders>
                    <w:tl2br w:val="nil"/>
                    <w:tr2bl w:val="nil"/>
                  </w:tcBorders>
                  <w:shd w:val="clear" w:color="auto" w:fill="auto"/>
                  <w:vAlign w:val="center"/>
                </w:tcPr>
                <w:p w14:paraId="7448784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废水处理</w:t>
                  </w:r>
                </w:p>
              </w:tc>
              <w:tc>
                <w:tcPr>
                  <w:tcW w:w="983" w:type="pct"/>
                  <w:tcBorders>
                    <w:tl2br w:val="nil"/>
                    <w:tr2bl w:val="nil"/>
                  </w:tcBorders>
                  <w:shd w:val="clear" w:color="auto" w:fill="auto"/>
                  <w:vAlign w:val="center"/>
                </w:tcPr>
                <w:p w14:paraId="4B6AF3A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污泥</w:t>
                  </w:r>
                </w:p>
              </w:tc>
              <w:tc>
                <w:tcPr>
                  <w:tcW w:w="1767" w:type="pct"/>
                  <w:tcBorders>
                    <w:tl2br w:val="nil"/>
                    <w:tr2bl w:val="nil"/>
                  </w:tcBorders>
                  <w:shd w:val="clear" w:color="auto" w:fill="auto"/>
                  <w:vAlign w:val="center"/>
                </w:tcPr>
                <w:p w14:paraId="6BD00A1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收集后委托有资质单位处置</w:t>
                  </w:r>
                </w:p>
              </w:tc>
            </w:tr>
            <w:tr w14:paraId="054E5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CA6C636">
                  <w:pPr>
                    <w:jc w:val="center"/>
                    <w:rPr>
                      <w:rFonts w:hint="default" w:ascii="Times New Roman" w:hAnsi="Times New Roman" w:eastAsia="宋体" w:cs="Times New Roman"/>
                      <w:color w:val="auto"/>
                      <w:szCs w:val="21"/>
                      <w:highlight w:val="none"/>
                    </w:rPr>
                  </w:pPr>
                </w:p>
              </w:tc>
              <w:tc>
                <w:tcPr>
                  <w:tcW w:w="616" w:type="pct"/>
                  <w:tcBorders>
                    <w:tl2br w:val="nil"/>
                    <w:tr2bl w:val="nil"/>
                  </w:tcBorders>
                  <w:shd w:val="clear" w:color="auto" w:fill="auto"/>
                  <w:vAlign w:val="center"/>
                </w:tcPr>
                <w:p w14:paraId="1D476D9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S14</w:t>
                  </w:r>
                </w:p>
              </w:tc>
              <w:tc>
                <w:tcPr>
                  <w:tcW w:w="933" w:type="pct"/>
                  <w:tcBorders>
                    <w:tl2br w:val="nil"/>
                    <w:tr2bl w:val="nil"/>
                  </w:tcBorders>
                  <w:shd w:val="clear" w:color="auto" w:fill="auto"/>
                  <w:vAlign w:val="center"/>
                </w:tcPr>
                <w:p w14:paraId="4BB29C7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废水处理</w:t>
                  </w:r>
                </w:p>
              </w:tc>
              <w:tc>
                <w:tcPr>
                  <w:tcW w:w="983" w:type="pct"/>
                  <w:tcBorders>
                    <w:tl2br w:val="nil"/>
                    <w:tr2bl w:val="nil"/>
                  </w:tcBorders>
                  <w:shd w:val="clear" w:color="auto" w:fill="auto"/>
                  <w:vAlign w:val="center"/>
                </w:tcPr>
                <w:p w14:paraId="24442B9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污水处理站浓水</w:t>
                  </w:r>
                </w:p>
              </w:tc>
              <w:tc>
                <w:tcPr>
                  <w:tcW w:w="1767" w:type="pct"/>
                  <w:tcBorders>
                    <w:tl2br w:val="nil"/>
                    <w:tr2bl w:val="nil"/>
                  </w:tcBorders>
                  <w:shd w:val="clear" w:color="auto" w:fill="auto"/>
                  <w:vAlign w:val="center"/>
                </w:tcPr>
                <w:p w14:paraId="327C8CA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收集后委托有资质单位处置</w:t>
                  </w:r>
                </w:p>
              </w:tc>
            </w:tr>
          </w:tbl>
          <w:p w14:paraId="2D7CCFA8">
            <w:pPr>
              <w:spacing w:line="360" w:lineRule="auto"/>
              <w:rPr>
                <w:rFonts w:hint="default" w:ascii="Times New Roman" w:hAnsi="Times New Roman" w:eastAsia="宋体" w:cs="Times New Roman"/>
                <w:color w:val="auto"/>
                <w:kern w:val="2"/>
                <w:sz w:val="24"/>
                <w:szCs w:val="22"/>
                <w:highlight w:val="none"/>
                <w:lang w:val="en-US" w:eastAsia="zh-CN" w:bidi="ar-SA"/>
              </w:rPr>
            </w:pPr>
          </w:p>
        </w:tc>
      </w:tr>
      <w:tr w14:paraId="39B0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14:paraId="518E8F8F">
            <w:pPr>
              <w:jc w:val="center"/>
              <w:rPr>
                <w:rFonts w:hint="default" w:ascii="Times New Roman" w:hAnsi="Times New Roman" w:eastAsia="宋体" w:cs="Times New Roman"/>
                <w:b/>
                <w:color w:val="auto"/>
                <w:kern w:val="2"/>
                <w:sz w:val="24"/>
                <w:szCs w:val="22"/>
                <w:highlight w:val="none"/>
                <w:lang w:val="en-US" w:eastAsia="zh-CN" w:bidi="ar-SA"/>
              </w:rPr>
            </w:pPr>
            <w:r>
              <w:rPr>
                <w:rFonts w:hint="default" w:ascii="Times New Roman" w:hAnsi="Times New Roman" w:eastAsia="宋体" w:cs="Times New Roman"/>
                <w:b/>
                <w:color w:val="auto"/>
                <w:sz w:val="24"/>
                <w:highlight w:val="none"/>
              </w:rPr>
              <w:t>与项目有关的原有环境污染问题</w:t>
            </w:r>
          </w:p>
        </w:tc>
        <w:tc>
          <w:tcPr>
            <w:tcW w:w="4622" w:type="pct"/>
            <w:vAlign w:val="top"/>
          </w:tcPr>
          <w:p w14:paraId="3329E952">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一、本项目有关的原有污染情况及主要环境问题</w:t>
            </w:r>
          </w:p>
          <w:p w14:paraId="4714426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常州威斯曼科技有限公司</w:t>
            </w:r>
            <w:r>
              <w:rPr>
                <w:rFonts w:hint="eastAsia" w:ascii="Times New Roman" w:hAnsi="Times New Roman" w:eastAsia="宋体" w:cs="Times New Roman"/>
                <w:color w:val="auto"/>
                <w:sz w:val="24"/>
                <w:highlight w:val="none"/>
                <w:lang w:val="en-US" w:eastAsia="zh-CN"/>
              </w:rPr>
              <w:t>租赁</w:t>
            </w:r>
            <w:r>
              <w:rPr>
                <w:rFonts w:hint="default" w:ascii="Times New Roman" w:hAnsi="Times New Roman" w:eastAsia="宋体" w:cs="Times New Roman"/>
                <w:color w:val="auto"/>
                <w:sz w:val="24"/>
                <w:highlight w:val="none"/>
                <w:lang w:val="en-US" w:eastAsia="zh-CN"/>
              </w:rPr>
              <w:t>位于</w:t>
            </w:r>
            <w:r>
              <w:rPr>
                <w:rFonts w:hint="eastAsia" w:ascii="Times New Roman" w:hAnsi="Times New Roman" w:eastAsia="宋体" w:cs="Times New Roman"/>
                <w:color w:val="auto"/>
                <w:sz w:val="24"/>
                <w:highlight w:val="none"/>
                <w:lang w:eastAsia="zh-CN"/>
              </w:rPr>
              <w:t>常州市金坛区晨风路1136号（金坛控股中南高科创新园）14幢</w:t>
            </w:r>
            <w:r>
              <w:rPr>
                <w:rFonts w:hint="default" w:ascii="Times New Roman" w:hAnsi="Times New Roman" w:eastAsia="宋体" w:cs="Times New Roman"/>
                <w:color w:val="auto"/>
                <w:sz w:val="24"/>
                <w:highlight w:val="none"/>
                <w:lang w:val="en-US" w:eastAsia="zh-CN"/>
              </w:rPr>
              <w:t>现有空置厂房</w:t>
            </w:r>
            <w:r>
              <w:rPr>
                <w:rFonts w:hint="eastAsia" w:ascii="Times New Roman" w:hAnsi="Times New Roman" w:eastAsia="宋体" w:cs="Times New Roman"/>
                <w:color w:val="auto"/>
                <w:sz w:val="24"/>
                <w:highlight w:val="none"/>
                <w:lang w:val="en-US" w:eastAsia="zh-CN"/>
              </w:rPr>
              <w:t>1-3层进行生产</w:t>
            </w:r>
            <w:r>
              <w:rPr>
                <w:rFonts w:hint="default" w:ascii="Times New Roman" w:hAnsi="Times New Roman" w:eastAsia="宋体" w:cs="Times New Roman"/>
                <w:color w:val="auto"/>
                <w:sz w:val="24"/>
                <w:highlight w:val="none"/>
              </w:rPr>
              <w:t>，因此不存在原有污染源和遗留环境问题。</w:t>
            </w:r>
            <w:r>
              <w:rPr>
                <w:rFonts w:hint="default" w:ascii="Times New Roman" w:hAnsi="Times New Roman" w:eastAsia="宋体" w:cs="Times New Roman"/>
                <w:color w:val="auto"/>
                <w:sz w:val="24"/>
                <w:highlight w:val="none"/>
                <w:lang w:val="en-US" w:eastAsia="zh-CN"/>
              </w:rPr>
              <w:t>厂内无其他生产企业。</w:t>
            </w:r>
          </w:p>
          <w:p w14:paraId="79E9497D">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二、本项目与</w:t>
            </w:r>
            <w:r>
              <w:rPr>
                <w:rFonts w:hint="eastAsia" w:ascii="Times New Roman" w:hAnsi="Times New Roman" w:eastAsia="宋体" w:cs="Times New Roman"/>
                <w:b/>
                <w:color w:val="auto"/>
                <w:sz w:val="24"/>
                <w:highlight w:val="none"/>
                <w:lang w:val="en-US" w:eastAsia="zh-CN"/>
              </w:rPr>
              <w:t>金坛控股中南高科创新园</w:t>
            </w:r>
            <w:r>
              <w:rPr>
                <w:rFonts w:hint="default" w:ascii="Times New Roman" w:hAnsi="Times New Roman" w:eastAsia="宋体" w:cs="Times New Roman"/>
                <w:b/>
                <w:color w:val="auto"/>
                <w:sz w:val="24"/>
                <w:highlight w:val="none"/>
              </w:rPr>
              <w:t>依托关系：</w:t>
            </w:r>
          </w:p>
          <w:p w14:paraId="324B822F">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本项目</w:t>
            </w:r>
            <w:r>
              <w:rPr>
                <w:rFonts w:hint="eastAsia" w:ascii="Times New Roman" w:hAnsi="Times New Roman" w:eastAsia="宋体" w:cs="Times New Roman"/>
                <w:b w:val="0"/>
                <w:bCs/>
                <w:color w:val="auto"/>
                <w:sz w:val="24"/>
                <w:highlight w:val="none"/>
                <w:lang w:val="en-US" w:eastAsia="zh-CN"/>
              </w:rPr>
              <w:t>购买位于</w:t>
            </w:r>
            <w:r>
              <w:rPr>
                <w:rFonts w:hint="eastAsia" w:ascii="Times New Roman" w:hAnsi="Times New Roman" w:eastAsia="宋体" w:cs="Times New Roman"/>
                <w:b w:val="0"/>
                <w:bCs/>
                <w:color w:val="auto"/>
                <w:sz w:val="24"/>
                <w:highlight w:val="none"/>
                <w:lang w:eastAsia="zh-CN"/>
              </w:rPr>
              <w:t>常州市金坛区晨风路1136号（金坛控股中南高科创新园）14幢</w:t>
            </w:r>
            <w:r>
              <w:rPr>
                <w:rFonts w:hint="default" w:ascii="Times New Roman" w:hAnsi="Times New Roman" w:eastAsia="宋体" w:cs="Times New Roman"/>
                <w:b w:val="0"/>
                <w:bCs/>
                <w:color w:val="auto"/>
                <w:sz w:val="24"/>
                <w:highlight w:val="none"/>
                <w:lang w:val="en-US" w:eastAsia="zh-CN"/>
              </w:rPr>
              <w:t>现有空置厂房</w:t>
            </w:r>
            <w:r>
              <w:rPr>
                <w:rFonts w:hint="eastAsia" w:ascii="Times New Roman" w:hAnsi="Times New Roman" w:eastAsia="宋体" w:cs="Times New Roman"/>
                <w:color w:val="auto"/>
                <w:sz w:val="24"/>
                <w:highlight w:val="none"/>
                <w:lang w:val="en-US" w:eastAsia="zh-CN"/>
              </w:rPr>
              <w:t>1-3层</w:t>
            </w:r>
            <w:r>
              <w:rPr>
                <w:rFonts w:hint="default" w:ascii="Times New Roman" w:hAnsi="Times New Roman" w:eastAsia="宋体" w:cs="Times New Roman"/>
                <w:b w:val="0"/>
                <w:bCs/>
                <w:color w:val="auto"/>
                <w:sz w:val="24"/>
                <w:highlight w:val="none"/>
              </w:rPr>
              <w:t>进行生产</w:t>
            </w:r>
            <w:r>
              <w:rPr>
                <w:rFonts w:hint="eastAsia" w:ascii="Times New Roman" w:hAnsi="Times New Roman" w:eastAsia="宋体" w:cs="Times New Roman"/>
                <w:b/>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厂房所在园</w:t>
            </w:r>
            <w:r>
              <w:rPr>
                <w:rFonts w:hint="default" w:ascii="Times New Roman" w:hAnsi="Times New Roman" w:eastAsia="宋体" w:cs="Times New Roman"/>
                <w:b w:val="0"/>
                <w:bCs/>
                <w:color w:val="auto"/>
                <w:sz w:val="24"/>
                <w:highlight w:val="none"/>
              </w:rPr>
              <w:t>区已按照“雨污分流”的原则进行建设。经与建设单位核实，本项目与其依托关系如下：</w:t>
            </w:r>
          </w:p>
          <w:p w14:paraId="568FE1CE">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1、本项目废水依托</w:t>
            </w:r>
            <w:r>
              <w:rPr>
                <w:rFonts w:hint="eastAsia" w:ascii="Times New Roman" w:hAnsi="Times New Roman" w:eastAsia="宋体" w:cs="Times New Roman"/>
                <w:b w:val="0"/>
                <w:bCs/>
                <w:color w:val="auto"/>
                <w:sz w:val="24"/>
                <w:highlight w:val="none"/>
                <w:lang w:val="en-US" w:eastAsia="zh-CN"/>
              </w:rPr>
              <w:t>园</w:t>
            </w:r>
            <w:r>
              <w:rPr>
                <w:rFonts w:hint="default" w:ascii="Times New Roman" w:hAnsi="Times New Roman" w:eastAsia="宋体" w:cs="Times New Roman"/>
                <w:b w:val="0"/>
                <w:bCs/>
                <w:color w:val="auto"/>
                <w:sz w:val="24"/>
                <w:highlight w:val="none"/>
              </w:rPr>
              <w:t>区内现有污水管网和排污口接入区域污水管网，</w:t>
            </w:r>
            <w:r>
              <w:rPr>
                <w:rFonts w:hint="eastAsia" w:ascii="Times New Roman" w:hAnsi="Times New Roman" w:eastAsia="宋体" w:cs="Times New Roman"/>
                <w:b w:val="0"/>
                <w:bCs/>
                <w:color w:val="auto"/>
                <w:sz w:val="24"/>
                <w:highlight w:val="none"/>
                <w:lang w:eastAsia="zh-CN"/>
              </w:rPr>
              <w:t>进入</w:t>
            </w:r>
            <w:r>
              <w:rPr>
                <w:rFonts w:hint="default" w:ascii="Times New Roman" w:hAnsi="Times New Roman" w:eastAsia="宋体" w:cs="Times New Roman"/>
                <w:b w:val="0"/>
                <w:bCs/>
                <w:color w:val="auto"/>
                <w:sz w:val="24"/>
                <w:highlight w:val="none"/>
              </w:rPr>
              <w:t>常州金坛区第二污水处理有限公司处理。</w:t>
            </w:r>
          </w:p>
          <w:p w14:paraId="3169F643">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2、</w:t>
            </w:r>
            <w:r>
              <w:rPr>
                <w:rFonts w:hint="eastAsia" w:ascii="Times New Roman" w:hAnsi="Times New Roman" w:eastAsia="宋体" w:cs="Times New Roman"/>
                <w:b w:val="0"/>
                <w:bCs/>
                <w:color w:val="auto"/>
                <w:sz w:val="24"/>
                <w:highlight w:val="none"/>
                <w:lang w:eastAsia="zh-CN"/>
              </w:rPr>
              <w:t>常州威斯曼科技有限公司</w:t>
            </w:r>
            <w:r>
              <w:rPr>
                <w:rFonts w:hint="default" w:ascii="Times New Roman" w:hAnsi="Times New Roman" w:eastAsia="宋体" w:cs="Times New Roman"/>
                <w:b w:val="0"/>
                <w:bCs/>
                <w:color w:val="auto"/>
                <w:sz w:val="24"/>
                <w:highlight w:val="none"/>
              </w:rPr>
              <w:t>应确保本项目仅排放员工的生活污水，严禁向排污口倾倒其他废水、废液等。</w:t>
            </w:r>
          </w:p>
          <w:p w14:paraId="08DD98C9">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3、</w:t>
            </w:r>
            <w:r>
              <w:rPr>
                <w:rFonts w:hint="eastAsia" w:ascii="Times New Roman" w:hAnsi="Times New Roman" w:eastAsia="宋体" w:cs="Times New Roman"/>
                <w:b w:val="0"/>
                <w:bCs/>
                <w:color w:val="auto"/>
                <w:sz w:val="24"/>
                <w:highlight w:val="none"/>
                <w:lang w:eastAsia="zh-CN"/>
              </w:rPr>
              <w:t>常州威斯曼科技有限公司</w:t>
            </w:r>
            <w:r>
              <w:rPr>
                <w:rFonts w:hint="default" w:ascii="Times New Roman" w:hAnsi="Times New Roman" w:eastAsia="宋体" w:cs="Times New Roman"/>
                <w:b w:val="0"/>
                <w:bCs/>
                <w:color w:val="auto"/>
                <w:sz w:val="24"/>
                <w:highlight w:val="none"/>
              </w:rPr>
              <w:t>在接入厂区的接管口前单独设置采样井及环境保护提示牌。</w:t>
            </w:r>
          </w:p>
          <w:p w14:paraId="046A2B33">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rPr>
              <w:t>、本项目供水管网、供电管网、雨水管网及雨水排口</w:t>
            </w: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70m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vertAlign w:val="baseline"/>
                <w:lang w:val="en-US" w:eastAsia="zh-CN"/>
              </w:rPr>
              <w:t>事故</w:t>
            </w:r>
            <w:r>
              <w:rPr>
                <w:rFonts w:hint="eastAsia" w:ascii="Times New Roman" w:hAnsi="Times New Roman" w:eastAsia="宋体" w:cs="Times New Roman"/>
                <w:b w:val="0"/>
                <w:bCs/>
                <w:color w:val="auto"/>
                <w:sz w:val="24"/>
                <w:highlight w:val="none"/>
                <w:lang w:val="en-US" w:eastAsia="zh-CN"/>
              </w:rPr>
              <w:t>应急池</w:t>
            </w:r>
            <w:r>
              <w:rPr>
                <w:rFonts w:hint="default" w:ascii="Times New Roman" w:hAnsi="Times New Roman" w:eastAsia="宋体" w:cs="Times New Roman"/>
                <w:b w:val="0"/>
                <w:bCs/>
                <w:color w:val="auto"/>
                <w:sz w:val="24"/>
                <w:highlight w:val="none"/>
              </w:rPr>
              <w:t>等基础设施均依托</w:t>
            </w:r>
            <w:r>
              <w:rPr>
                <w:rFonts w:hint="eastAsia" w:ascii="Times New Roman" w:hAnsi="Times New Roman" w:eastAsia="宋体" w:cs="Times New Roman"/>
                <w:b w:val="0"/>
                <w:bCs/>
                <w:color w:val="auto"/>
                <w:sz w:val="24"/>
                <w:highlight w:val="none"/>
                <w:lang w:val="en-US" w:eastAsia="zh-CN"/>
              </w:rPr>
              <w:t>厂房所在的</w:t>
            </w:r>
            <w:r>
              <w:rPr>
                <w:rFonts w:hint="eastAsia" w:ascii="Times New Roman" w:hAnsi="Times New Roman" w:eastAsia="宋体" w:cs="Times New Roman"/>
                <w:color w:val="auto"/>
                <w:sz w:val="24"/>
                <w:highlight w:val="none"/>
                <w:lang w:eastAsia="zh-CN"/>
              </w:rPr>
              <w:t>金坛控股中南高科创新园</w:t>
            </w: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 xml:space="preserve"> </w:t>
            </w:r>
          </w:p>
          <w:p w14:paraId="013BB571">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三</w:t>
            </w:r>
            <w:r>
              <w:rPr>
                <w:rFonts w:hint="default" w:ascii="Times New Roman" w:hAnsi="Times New Roman" w:eastAsia="宋体" w:cs="Times New Roman"/>
                <w:b/>
                <w:color w:val="auto"/>
                <w:sz w:val="24"/>
                <w:highlight w:val="none"/>
              </w:rPr>
              <w:t>、责任主体</w:t>
            </w:r>
          </w:p>
          <w:p w14:paraId="5986E274">
            <w:pPr>
              <w:spacing w:line="360" w:lineRule="auto"/>
              <w:ind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b w:val="0"/>
                <w:bCs/>
                <w:color w:val="auto"/>
                <w:sz w:val="24"/>
                <w:highlight w:val="none"/>
                <w:lang w:eastAsia="zh-CN"/>
              </w:rPr>
              <w:t>金坛控股中南高科创新园</w:t>
            </w:r>
            <w:r>
              <w:rPr>
                <w:rFonts w:hint="default" w:ascii="Times New Roman" w:hAnsi="Times New Roman" w:eastAsia="宋体" w:cs="Times New Roman"/>
                <w:b w:val="0"/>
                <w:bCs/>
                <w:color w:val="auto"/>
                <w:sz w:val="24"/>
                <w:highlight w:val="none"/>
              </w:rPr>
              <w:t>应加强管理，确保厂区内废水总排污口各因子可达常州金坛区第二污水处理有限公司接管标准要求。若厂区接管口的采样井出现超标排放，由</w:t>
            </w:r>
            <w:r>
              <w:rPr>
                <w:rFonts w:hint="eastAsia" w:ascii="Times New Roman" w:hAnsi="Times New Roman" w:eastAsia="宋体" w:cs="Times New Roman"/>
                <w:b w:val="0"/>
                <w:bCs/>
                <w:color w:val="auto"/>
                <w:sz w:val="24"/>
                <w:highlight w:val="none"/>
                <w:lang w:eastAsia="zh-CN"/>
              </w:rPr>
              <w:t>金坛控股中南高科创新园</w:t>
            </w:r>
            <w:r>
              <w:rPr>
                <w:rFonts w:hint="default" w:ascii="Times New Roman" w:hAnsi="Times New Roman" w:eastAsia="宋体" w:cs="Times New Roman"/>
                <w:b w:val="0"/>
                <w:bCs/>
                <w:color w:val="auto"/>
                <w:sz w:val="24"/>
                <w:highlight w:val="none"/>
              </w:rPr>
              <w:t>承担相关责任。若</w:t>
            </w:r>
            <w:r>
              <w:rPr>
                <w:rFonts w:hint="eastAsia" w:ascii="Times New Roman" w:hAnsi="Times New Roman" w:eastAsia="宋体" w:cs="Times New Roman"/>
                <w:b w:val="0"/>
                <w:bCs/>
                <w:color w:val="auto"/>
                <w:sz w:val="24"/>
                <w:highlight w:val="none"/>
                <w:lang w:eastAsia="zh-CN"/>
              </w:rPr>
              <w:t>常州威斯曼科技有限公司</w:t>
            </w:r>
            <w:r>
              <w:rPr>
                <w:rFonts w:hint="default" w:ascii="Times New Roman" w:hAnsi="Times New Roman" w:eastAsia="宋体" w:cs="Times New Roman"/>
                <w:b w:val="0"/>
                <w:bCs/>
                <w:color w:val="auto"/>
                <w:sz w:val="24"/>
                <w:highlight w:val="none"/>
              </w:rPr>
              <w:t>设置的单独接管口的采样井出现超标排放，废气排放口出现超标排放，固废未按要求收集及处理</w:t>
            </w:r>
            <w:r>
              <w:rPr>
                <w:rFonts w:hint="default" w:ascii="Times New Roman" w:hAnsi="Times New Roman" w:eastAsia="宋体" w:cs="Times New Roman"/>
                <w:b w:val="0"/>
                <w:bCs/>
                <w:color w:val="auto"/>
                <w:sz w:val="24"/>
                <w:highlight w:val="none"/>
                <w:lang w:val="en-US" w:eastAsia="zh-CN"/>
              </w:rPr>
              <w:t>等</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由</w:t>
            </w:r>
            <w:r>
              <w:rPr>
                <w:rFonts w:hint="eastAsia" w:ascii="Times New Roman" w:hAnsi="Times New Roman" w:eastAsia="宋体" w:cs="Times New Roman"/>
                <w:b w:val="0"/>
                <w:bCs/>
                <w:color w:val="auto"/>
                <w:sz w:val="24"/>
                <w:highlight w:val="none"/>
                <w:lang w:eastAsia="zh-CN"/>
              </w:rPr>
              <w:t>常州威斯曼科技有限公司</w:t>
            </w:r>
            <w:r>
              <w:rPr>
                <w:rFonts w:hint="default" w:ascii="Times New Roman" w:hAnsi="Times New Roman" w:eastAsia="宋体" w:cs="Times New Roman"/>
                <w:b w:val="0"/>
                <w:bCs/>
                <w:color w:val="auto"/>
                <w:sz w:val="24"/>
                <w:highlight w:val="none"/>
              </w:rPr>
              <w:t>承担相关责任。厂界噪声出现超标排放</w:t>
            </w:r>
            <w:r>
              <w:rPr>
                <w:rFonts w:hint="default" w:ascii="Times New Roman" w:hAnsi="Times New Roman" w:eastAsia="宋体" w:cs="Times New Roman"/>
                <w:b w:val="0"/>
                <w:bCs/>
                <w:color w:val="auto"/>
                <w:sz w:val="24"/>
                <w:highlight w:val="none"/>
                <w:lang w:val="en-US" w:eastAsia="zh-CN"/>
              </w:rPr>
              <w:t>时，相关监管部门关停厂区其他厂并进行厂界噪声监测，若检测数据超标，由</w:t>
            </w:r>
            <w:r>
              <w:rPr>
                <w:rFonts w:hint="eastAsia" w:ascii="Times New Roman" w:hAnsi="Times New Roman" w:eastAsia="宋体" w:cs="Times New Roman"/>
                <w:b w:val="0"/>
                <w:bCs/>
                <w:color w:val="auto"/>
                <w:sz w:val="24"/>
                <w:highlight w:val="none"/>
                <w:lang w:eastAsia="zh-CN"/>
              </w:rPr>
              <w:t>常州威斯曼科技有限公司</w:t>
            </w:r>
            <w:r>
              <w:rPr>
                <w:rFonts w:hint="default" w:ascii="Times New Roman" w:hAnsi="Times New Roman" w:eastAsia="宋体" w:cs="Times New Roman"/>
                <w:b w:val="0"/>
                <w:bCs/>
                <w:color w:val="auto"/>
                <w:sz w:val="24"/>
                <w:highlight w:val="none"/>
              </w:rPr>
              <w:t>承担相关责任</w:t>
            </w:r>
            <w:r>
              <w:rPr>
                <w:rFonts w:hint="default" w:ascii="Times New Roman" w:hAnsi="Times New Roman" w:eastAsia="宋体" w:cs="Times New Roman"/>
                <w:b w:val="0"/>
                <w:bCs/>
                <w:color w:val="auto"/>
                <w:sz w:val="24"/>
                <w:highlight w:val="none"/>
                <w:lang w:eastAsia="zh-CN"/>
              </w:rPr>
              <w:t>。</w:t>
            </w:r>
          </w:p>
        </w:tc>
      </w:tr>
    </w:tbl>
    <w:p w14:paraId="407DADFB">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1B57E16D">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三、区域环境现状、环境保护目标及评价标准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8510"/>
      </w:tblGrid>
      <w:tr w14:paraId="284A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3421319B">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区域环境质量现状</w:t>
            </w:r>
          </w:p>
        </w:tc>
        <w:tc>
          <w:tcPr>
            <w:tcW w:w="4581" w:type="pct"/>
          </w:tcPr>
          <w:p w14:paraId="67926F79">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1、大气环境</w:t>
            </w:r>
          </w:p>
          <w:p w14:paraId="617D000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（1）大气基准污染物环境质量现状</w:t>
            </w:r>
          </w:p>
          <w:p w14:paraId="01677DD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17B3324">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本次评价选取202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年作为评价基准年，根据《202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eastAsia" w:ascii="Times New Roman" w:hAnsi="Times New Roman" w:eastAsia="宋体" w:cs="Times New Roman"/>
                <w:caps w:val="0"/>
                <w:smallCaps w:val="0"/>
                <w:color w:val="auto"/>
                <w:spacing w:val="0"/>
                <w:sz w:val="24"/>
                <w:szCs w:val="24"/>
                <w:highlight w:val="none"/>
                <w:lang w:val="en-US" w:eastAsia="zh-CN"/>
              </w:rPr>
              <w:t>1</w:t>
            </w:r>
            <w:r>
              <w:rPr>
                <w:rFonts w:hint="default" w:ascii="Times New Roman" w:hAnsi="Times New Roman" w:eastAsia="宋体" w:cs="Times New Roman"/>
                <w:caps w:val="0"/>
                <w:smallCaps w:val="0"/>
                <w:color w:val="auto"/>
                <w:spacing w:val="0"/>
                <w:sz w:val="24"/>
                <w:szCs w:val="24"/>
                <w:highlight w:val="none"/>
              </w:rPr>
              <w:t>。</w:t>
            </w:r>
          </w:p>
          <w:p w14:paraId="75213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表</w:t>
            </w:r>
            <w:r>
              <w:rPr>
                <w:rFonts w:hint="default" w:ascii="Times New Roman" w:hAnsi="Times New Roman" w:eastAsia="宋体" w:cs="Times New Roman"/>
                <w:b/>
                <w:bCs/>
                <w:caps w:val="0"/>
                <w:smallCaps w:val="0"/>
                <w:color w:val="auto"/>
                <w:spacing w:val="0"/>
                <w:sz w:val="24"/>
                <w:szCs w:val="24"/>
                <w:highlight w:val="none"/>
                <w:lang w:val="en-US" w:eastAsia="zh-CN"/>
              </w:rPr>
              <w:t>3-</w:t>
            </w:r>
            <w:r>
              <w:rPr>
                <w:rFonts w:hint="eastAsia" w:ascii="Times New Roman" w:hAnsi="Times New Roman" w:eastAsia="宋体" w:cs="Times New Roman"/>
                <w:b/>
                <w:bCs/>
                <w:caps w:val="0"/>
                <w:smallCaps w:val="0"/>
                <w:color w:val="auto"/>
                <w:spacing w:val="0"/>
                <w:sz w:val="24"/>
                <w:szCs w:val="24"/>
                <w:highlight w:val="none"/>
                <w:lang w:val="en-US" w:eastAsia="zh-CN"/>
              </w:rPr>
              <w:t>1</w:t>
            </w:r>
            <w:r>
              <w:rPr>
                <w:rFonts w:hint="default" w:ascii="Times New Roman" w:hAnsi="Times New Roman" w:eastAsia="宋体" w:cs="Times New Roman"/>
                <w:b/>
                <w:bCs/>
                <w:caps w:val="0"/>
                <w:smallCaps w:val="0"/>
                <w:color w:val="auto"/>
                <w:spacing w:val="0"/>
                <w:sz w:val="24"/>
                <w:szCs w:val="24"/>
                <w:highlight w:val="none"/>
                <w:lang w:val="en-US" w:eastAsia="zh-CN"/>
              </w:rPr>
              <w:t xml:space="preserve"> </w:t>
            </w:r>
            <w:r>
              <w:rPr>
                <w:rFonts w:hint="default" w:ascii="Times New Roman" w:hAnsi="Times New Roman" w:eastAsia="宋体" w:cs="Times New Roman"/>
                <w:b/>
                <w:bCs/>
                <w:caps w:val="0"/>
                <w:smallCaps w:val="0"/>
                <w:color w:val="auto"/>
                <w:spacing w:val="0"/>
                <w:sz w:val="24"/>
                <w:szCs w:val="24"/>
                <w:highlight w:val="none"/>
              </w:rPr>
              <w:t>大气基本污染物环境质量现状</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6"/>
              <w:gridCol w:w="721"/>
              <w:gridCol w:w="2139"/>
              <w:gridCol w:w="1038"/>
              <w:gridCol w:w="960"/>
              <w:gridCol w:w="1099"/>
              <w:gridCol w:w="985"/>
              <w:gridCol w:w="848"/>
            </w:tblGrid>
            <w:tr w14:paraId="57FB2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noWrap w:val="0"/>
                  <w:vAlign w:val="center"/>
                </w:tcPr>
                <w:p w14:paraId="735C407D">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区域</w:t>
                  </w:r>
                </w:p>
              </w:tc>
              <w:tc>
                <w:tcPr>
                  <w:tcW w:w="435" w:type="pct"/>
                  <w:noWrap w:val="0"/>
                  <w:vAlign w:val="center"/>
                </w:tcPr>
                <w:p w14:paraId="28D9BA95">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污染物</w:t>
                  </w:r>
                </w:p>
              </w:tc>
              <w:tc>
                <w:tcPr>
                  <w:tcW w:w="1290" w:type="pct"/>
                  <w:noWrap w:val="0"/>
                  <w:vAlign w:val="center"/>
                </w:tcPr>
                <w:p w14:paraId="754528E1">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年评价指标</w:t>
                  </w:r>
                </w:p>
              </w:tc>
              <w:tc>
                <w:tcPr>
                  <w:tcW w:w="626" w:type="pct"/>
                  <w:noWrap w:val="0"/>
                  <w:vAlign w:val="center"/>
                </w:tcPr>
                <w:p w14:paraId="2FFA6DB9">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现状浓度</w:t>
                  </w:r>
                </w:p>
                <w:p w14:paraId="6B5E532B">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（μg/m</w:t>
                  </w:r>
                  <w:r>
                    <w:rPr>
                      <w:rFonts w:hint="default" w:ascii="Times New Roman" w:hAnsi="Times New Roman" w:eastAsia="宋体" w:cs="Times New Roman"/>
                      <w:b/>
                      <w:bCs/>
                      <w:caps w:val="0"/>
                      <w:smallCaps w:val="0"/>
                      <w:color w:val="auto"/>
                      <w:spacing w:val="0"/>
                      <w:highlight w:val="none"/>
                      <w:vertAlign w:val="superscript"/>
                    </w:rPr>
                    <w:t>3</w:t>
                  </w:r>
                  <w:r>
                    <w:rPr>
                      <w:rFonts w:hint="default" w:ascii="Times New Roman" w:hAnsi="Times New Roman" w:eastAsia="宋体" w:cs="Times New Roman"/>
                      <w:b/>
                      <w:bCs/>
                      <w:caps w:val="0"/>
                      <w:smallCaps w:val="0"/>
                      <w:color w:val="auto"/>
                      <w:spacing w:val="0"/>
                      <w:highlight w:val="none"/>
                    </w:rPr>
                    <w:t>）</w:t>
                  </w:r>
                </w:p>
              </w:tc>
              <w:tc>
                <w:tcPr>
                  <w:tcW w:w="579" w:type="pct"/>
                  <w:noWrap w:val="0"/>
                  <w:vAlign w:val="center"/>
                </w:tcPr>
                <w:p w14:paraId="08813064">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标准值</w:t>
                  </w:r>
                </w:p>
                <w:p w14:paraId="33AFF8E4">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（μg/m</w:t>
                  </w:r>
                  <w:r>
                    <w:rPr>
                      <w:rFonts w:hint="default" w:ascii="Times New Roman" w:hAnsi="Times New Roman" w:eastAsia="宋体" w:cs="Times New Roman"/>
                      <w:b/>
                      <w:bCs/>
                      <w:caps w:val="0"/>
                      <w:smallCaps w:val="0"/>
                      <w:color w:val="auto"/>
                      <w:spacing w:val="0"/>
                      <w:highlight w:val="none"/>
                      <w:vertAlign w:val="superscript"/>
                    </w:rPr>
                    <w:t>3</w:t>
                  </w:r>
                  <w:r>
                    <w:rPr>
                      <w:rFonts w:hint="default" w:ascii="Times New Roman" w:hAnsi="Times New Roman" w:eastAsia="宋体" w:cs="Times New Roman"/>
                      <w:b/>
                      <w:bCs/>
                      <w:caps w:val="0"/>
                      <w:smallCaps w:val="0"/>
                      <w:color w:val="auto"/>
                      <w:spacing w:val="0"/>
                      <w:highlight w:val="none"/>
                    </w:rPr>
                    <w:t>）</w:t>
                  </w:r>
                </w:p>
              </w:tc>
              <w:tc>
                <w:tcPr>
                  <w:tcW w:w="663" w:type="pct"/>
                  <w:noWrap w:val="0"/>
                  <w:vAlign w:val="center"/>
                </w:tcPr>
                <w:p w14:paraId="03C22529">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占标率（%）</w:t>
                  </w:r>
                </w:p>
              </w:tc>
              <w:tc>
                <w:tcPr>
                  <w:tcW w:w="594" w:type="pct"/>
                  <w:noWrap w:val="0"/>
                  <w:vAlign w:val="center"/>
                </w:tcPr>
                <w:p w14:paraId="121503F5">
                  <w:pPr>
                    <w:spacing w:line="240" w:lineRule="auto"/>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达标情况</w:t>
                  </w:r>
                </w:p>
              </w:tc>
              <w:tc>
                <w:tcPr>
                  <w:tcW w:w="511" w:type="pct"/>
                  <w:noWrap w:val="0"/>
                  <w:vAlign w:val="center"/>
                </w:tcPr>
                <w:p w14:paraId="3861C744">
                  <w:pPr>
                    <w:spacing w:line="240" w:lineRule="auto"/>
                    <w:jc w:val="center"/>
                    <w:rPr>
                      <w:rFonts w:hint="default" w:ascii="Times New Roman" w:hAnsi="Times New Roman" w:eastAsia="宋体" w:cs="Times New Roman"/>
                      <w:b/>
                      <w:bCs/>
                      <w:caps w:val="0"/>
                      <w:smallCaps w:val="0"/>
                      <w:color w:val="auto"/>
                      <w:spacing w:val="0"/>
                      <w:highlight w:val="none"/>
                      <w:lang w:val="en-US" w:eastAsia="zh-CN"/>
                    </w:rPr>
                  </w:pPr>
                  <w:r>
                    <w:rPr>
                      <w:rFonts w:hint="default" w:ascii="Times New Roman" w:hAnsi="Times New Roman" w:eastAsia="宋体" w:cs="Times New Roman"/>
                      <w:b/>
                      <w:bCs/>
                      <w:caps w:val="0"/>
                      <w:smallCaps w:val="0"/>
                      <w:color w:val="auto"/>
                      <w:spacing w:val="0"/>
                      <w:highlight w:val="none"/>
                      <w:lang w:val="en-US" w:eastAsia="zh-CN"/>
                    </w:rPr>
                    <w:t>超标率（%）</w:t>
                  </w:r>
                </w:p>
              </w:tc>
            </w:tr>
            <w:tr w14:paraId="71FEB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restart"/>
                  <w:noWrap w:val="0"/>
                  <w:vAlign w:val="center"/>
                </w:tcPr>
                <w:p w14:paraId="496CF7B9">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常州全市</w:t>
                  </w:r>
                </w:p>
              </w:tc>
              <w:tc>
                <w:tcPr>
                  <w:tcW w:w="435" w:type="pct"/>
                  <w:vMerge w:val="restart"/>
                  <w:noWrap w:val="0"/>
                  <w:vAlign w:val="center"/>
                </w:tcPr>
                <w:p w14:paraId="368B2695">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SO</w:t>
                  </w:r>
                  <w:r>
                    <w:rPr>
                      <w:rFonts w:hint="default" w:ascii="Times New Roman" w:hAnsi="Times New Roman" w:eastAsia="宋体" w:cs="Times New Roman"/>
                      <w:caps w:val="0"/>
                      <w:smallCaps w:val="0"/>
                      <w:color w:val="auto"/>
                      <w:spacing w:val="0"/>
                      <w:highlight w:val="none"/>
                      <w:vertAlign w:val="subscript"/>
                    </w:rPr>
                    <w:t>2</w:t>
                  </w:r>
                </w:p>
              </w:tc>
              <w:tc>
                <w:tcPr>
                  <w:tcW w:w="1290" w:type="pct"/>
                  <w:noWrap w:val="0"/>
                  <w:vAlign w:val="center"/>
                </w:tcPr>
                <w:p w14:paraId="12C8461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年平均质量浓度</w:t>
                  </w:r>
                </w:p>
              </w:tc>
              <w:tc>
                <w:tcPr>
                  <w:tcW w:w="626" w:type="pct"/>
                  <w:noWrap w:val="0"/>
                  <w:vAlign w:val="center"/>
                </w:tcPr>
                <w:p w14:paraId="6A2A00B7">
                  <w:pPr>
                    <w:spacing w:line="240" w:lineRule="auto"/>
                    <w:jc w:val="center"/>
                    <w:rPr>
                      <w:rFonts w:hint="default" w:ascii="Times New Roman" w:hAnsi="Times New Roman" w:eastAsia="宋体" w:cs="Times New Roman"/>
                      <w:caps w:val="0"/>
                      <w:smallCaps w:val="0"/>
                      <w:color w:val="auto"/>
                      <w:spacing w:val="0"/>
                      <w:highlight w:val="none"/>
                      <w:lang w:eastAsia="zh-CN"/>
                    </w:rPr>
                  </w:pPr>
                  <w:r>
                    <w:rPr>
                      <w:rFonts w:hint="default" w:ascii="Times New Roman" w:hAnsi="Times New Roman" w:eastAsia="宋体" w:cs="Times New Roman"/>
                      <w:caps w:val="0"/>
                      <w:smallCaps w:val="0"/>
                      <w:color w:val="auto"/>
                      <w:spacing w:val="0"/>
                      <w:kern w:val="0"/>
                      <w:szCs w:val="21"/>
                      <w:highlight w:val="none"/>
                      <w:lang w:val="en-US" w:eastAsia="zh-CN"/>
                    </w:rPr>
                    <w:t>8</w:t>
                  </w:r>
                </w:p>
              </w:tc>
              <w:tc>
                <w:tcPr>
                  <w:tcW w:w="579" w:type="pct"/>
                  <w:noWrap w:val="0"/>
                  <w:vAlign w:val="center"/>
                </w:tcPr>
                <w:p w14:paraId="0FCBD66D">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60</w:t>
                  </w:r>
                </w:p>
              </w:tc>
              <w:tc>
                <w:tcPr>
                  <w:tcW w:w="663" w:type="pct"/>
                  <w:noWrap w:val="0"/>
                  <w:vAlign w:val="center"/>
                </w:tcPr>
                <w:p w14:paraId="48C0910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13.33</w:t>
                  </w:r>
                </w:p>
              </w:tc>
              <w:tc>
                <w:tcPr>
                  <w:tcW w:w="594" w:type="pct"/>
                  <w:vMerge w:val="restart"/>
                  <w:noWrap w:val="0"/>
                  <w:vAlign w:val="center"/>
                </w:tcPr>
                <w:p w14:paraId="6146629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11" w:type="pct"/>
                  <w:vMerge w:val="restart"/>
                  <w:noWrap w:val="0"/>
                  <w:vAlign w:val="center"/>
                </w:tcPr>
                <w:p w14:paraId="61B9D868">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10F34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center"/>
                </w:tcPr>
                <w:p w14:paraId="104EE735">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399BBFD5">
                  <w:pPr>
                    <w:spacing w:line="240" w:lineRule="auto"/>
                    <w:jc w:val="center"/>
                    <w:rPr>
                      <w:rFonts w:hint="default" w:ascii="Times New Roman" w:hAnsi="Times New Roman" w:eastAsia="宋体" w:cs="Times New Roman"/>
                      <w:caps w:val="0"/>
                      <w:smallCaps w:val="0"/>
                      <w:color w:val="auto"/>
                      <w:spacing w:val="0"/>
                      <w:highlight w:val="none"/>
                    </w:rPr>
                  </w:pPr>
                </w:p>
              </w:tc>
              <w:tc>
                <w:tcPr>
                  <w:tcW w:w="1290" w:type="pct"/>
                  <w:noWrap w:val="0"/>
                  <w:vAlign w:val="center"/>
                </w:tcPr>
                <w:p w14:paraId="404E7F4D">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36847A12">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4~17</w:t>
                  </w:r>
                </w:p>
              </w:tc>
              <w:tc>
                <w:tcPr>
                  <w:tcW w:w="579" w:type="pct"/>
                  <w:noWrap w:val="0"/>
                  <w:vAlign w:val="center"/>
                </w:tcPr>
                <w:p w14:paraId="79F1A258">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4C98D09">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2.67~11.33</w:t>
                  </w:r>
                </w:p>
              </w:tc>
              <w:tc>
                <w:tcPr>
                  <w:tcW w:w="594" w:type="pct"/>
                  <w:vMerge w:val="continue"/>
                  <w:noWrap w:val="0"/>
                  <w:vAlign w:val="center"/>
                </w:tcPr>
                <w:p w14:paraId="21176EE7">
                  <w:pPr>
                    <w:spacing w:line="240" w:lineRule="auto"/>
                    <w:jc w:val="center"/>
                    <w:rPr>
                      <w:rFonts w:hint="default" w:ascii="Times New Roman" w:hAnsi="Times New Roman" w:eastAsia="宋体" w:cs="Times New Roman"/>
                      <w:caps w:val="0"/>
                      <w:smallCaps w:val="0"/>
                      <w:color w:val="auto"/>
                      <w:spacing w:val="0"/>
                      <w:highlight w:val="none"/>
                      <w:lang w:val="en-US" w:eastAsia="zh-CN"/>
                    </w:rPr>
                  </w:pPr>
                </w:p>
              </w:tc>
              <w:tc>
                <w:tcPr>
                  <w:tcW w:w="511" w:type="pct"/>
                  <w:vMerge w:val="continue"/>
                  <w:noWrap w:val="0"/>
                  <w:vAlign w:val="center"/>
                </w:tcPr>
                <w:p w14:paraId="2128424E">
                  <w:pPr>
                    <w:spacing w:line="240" w:lineRule="auto"/>
                    <w:jc w:val="center"/>
                    <w:rPr>
                      <w:rFonts w:hint="default" w:ascii="Times New Roman" w:hAnsi="Times New Roman" w:eastAsia="宋体" w:cs="Times New Roman"/>
                      <w:caps w:val="0"/>
                      <w:smallCaps w:val="0"/>
                      <w:color w:val="auto"/>
                      <w:spacing w:val="0"/>
                      <w:highlight w:val="none"/>
                      <w:lang w:val="en-US" w:eastAsia="zh-CN"/>
                    </w:rPr>
                  </w:pPr>
                </w:p>
              </w:tc>
            </w:tr>
            <w:tr w14:paraId="2A5CA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515EA175">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7BF87B61">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NO</w:t>
                  </w:r>
                  <w:r>
                    <w:rPr>
                      <w:rFonts w:hint="default" w:ascii="Times New Roman" w:hAnsi="Times New Roman" w:eastAsia="宋体" w:cs="Times New Roman"/>
                      <w:caps w:val="0"/>
                      <w:smallCaps w:val="0"/>
                      <w:color w:val="auto"/>
                      <w:spacing w:val="0"/>
                      <w:highlight w:val="none"/>
                      <w:vertAlign w:val="subscript"/>
                    </w:rPr>
                    <w:t>2</w:t>
                  </w:r>
                </w:p>
              </w:tc>
              <w:tc>
                <w:tcPr>
                  <w:tcW w:w="1290" w:type="pct"/>
                  <w:noWrap w:val="0"/>
                  <w:vAlign w:val="center"/>
                </w:tcPr>
                <w:p w14:paraId="5984C4CD">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13A3C4BC">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30</w:t>
                  </w:r>
                </w:p>
              </w:tc>
              <w:tc>
                <w:tcPr>
                  <w:tcW w:w="579" w:type="pct"/>
                  <w:noWrap w:val="0"/>
                  <w:vAlign w:val="center"/>
                </w:tcPr>
                <w:p w14:paraId="0BCC4B0D">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w:t>
                  </w:r>
                </w:p>
              </w:tc>
              <w:tc>
                <w:tcPr>
                  <w:tcW w:w="663" w:type="pct"/>
                  <w:noWrap w:val="0"/>
                  <w:vAlign w:val="center"/>
                </w:tcPr>
                <w:p w14:paraId="2A845E4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75</w:t>
                  </w:r>
                </w:p>
              </w:tc>
              <w:tc>
                <w:tcPr>
                  <w:tcW w:w="594" w:type="pct"/>
                  <w:noWrap w:val="0"/>
                  <w:vAlign w:val="center"/>
                </w:tcPr>
                <w:p w14:paraId="2C175488">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11" w:type="pct"/>
                  <w:noWrap w:val="0"/>
                  <w:vAlign w:val="center"/>
                </w:tcPr>
                <w:p w14:paraId="5E2825D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52247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1516BCBC">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2D2896EF">
                  <w:pPr>
                    <w:spacing w:line="240" w:lineRule="auto"/>
                    <w:jc w:val="center"/>
                    <w:rPr>
                      <w:rFonts w:hint="default" w:ascii="Times New Roman" w:hAnsi="Times New Roman" w:eastAsia="宋体" w:cs="Times New Roman"/>
                      <w:caps w:val="0"/>
                      <w:smallCaps w:val="0"/>
                      <w:color w:val="auto"/>
                      <w:spacing w:val="0"/>
                      <w:highlight w:val="none"/>
                    </w:rPr>
                  </w:pPr>
                </w:p>
              </w:tc>
              <w:tc>
                <w:tcPr>
                  <w:tcW w:w="1290" w:type="pct"/>
                  <w:noWrap w:val="0"/>
                  <w:vAlign w:val="center"/>
                </w:tcPr>
                <w:p w14:paraId="0438D43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D54B3E5">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6~106</w:t>
                  </w:r>
                </w:p>
              </w:tc>
              <w:tc>
                <w:tcPr>
                  <w:tcW w:w="579" w:type="pct"/>
                  <w:noWrap w:val="0"/>
                  <w:vAlign w:val="center"/>
                </w:tcPr>
                <w:p w14:paraId="0E522E13">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80</w:t>
                  </w:r>
                </w:p>
              </w:tc>
              <w:tc>
                <w:tcPr>
                  <w:tcW w:w="663" w:type="pct"/>
                  <w:noWrap w:val="0"/>
                  <w:vAlign w:val="center"/>
                </w:tcPr>
                <w:p w14:paraId="178428A5">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7.5~132.5</w:t>
                  </w:r>
                </w:p>
              </w:tc>
              <w:tc>
                <w:tcPr>
                  <w:tcW w:w="594" w:type="pct"/>
                  <w:noWrap w:val="0"/>
                  <w:vAlign w:val="center"/>
                </w:tcPr>
                <w:p w14:paraId="5BEEE9F8">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①</w:t>
                  </w:r>
                </w:p>
              </w:tc>
              <w:tc>
                <w:tcPr>
                  <w:tcW w:w="511" w:type="pct"/>
                  <w:noWrap w:val="0"/>
                  <w:vAlign w:val="center"/>
                </w:tcPr>
                <w:p w14:paraId="5922697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1.9</w:t>
                  </w:r>
                </w:p>
              </w:tc>
            </w:tr>
            <w:tr w14:paraId="416E5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430D5E7A">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2F4A47D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10</w:t>
                  </w:r>
                </w:p>
              </w:tc>
              <w:tc>
                <w:tcPr>
                  <w:tcW w:w="1290" w:type="pct"/>
                  <w:noWrap w:val="0"/>
                  <w:vAlign w:val="center"/>
                </w:tcPr>
                <w:p w14:paraId="73CB54E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0E03B3A0">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57</w:t>
                  </w:r>
                </w:p>
              </w:tc>
              <w:tc>
                <w:tcPr>
                  <w:tcW w:w="579" w:type="pct"/>
                  <w:noWrap w:val="0"/>
                  <w:vAlign w:val="center"/>
                </w:tcPr>
                <w:p w14:paraId="36E3621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70</w:t>
                  </w:r>
                </w:p>
              </w:tc>
              <w:tc>
                <w:tcPr>
                  <w:tcW w:w="663" w:type="pct"/>
                  <w:noWrap w:val="0"/>
                  <w:vAlign w:val="center"/>
                </w:tcPr>
                <w:p w14:paraId="285F456B">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81.43</w:t>
                  </w:r>
                </w:p>
              </w:tc>
              <w:tc>
                <w:tcPr>
                  <w:tcW w:w="594" w:type="pct"/>
                  <w:noWrap w:val="0"/>
                  <w:vAlign w:val="center"/>
                </w:tcPr>
                <w:p w14:paraId="16D3BAB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11" w:type="pct"/>
                  <w:noWrap w:val="0"/>
                  <w:vAlign w:val="center"/>
                </w:tcPr>
                <w:p w14:paraId="750381B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25DC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3873D8DF">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7E374454">
                  <w:pPr>
                    <w:spacing w:line="240" w:lineRule="auto"/>
                    <w:jc w:val="center"/>
                    <w:rPr>
                      <w:rFonts w:hint="default" w:ascii="Times New Roman" w:hAnsi="Times New Roman" w:eastAsia="宋体" w:cs="Times New Roman"/>
                      <w:caps w:val="0"/>
                      <w:smallCaps w:val="0"/>
                      <w:color w:val="auto"/>
                      <w:spacing w:val="0"/>
                      <w:highlight w:val="none"/>
                    </w:rPr>
                  </w:pPr>
                </w:p>
              </w:tc>
              <w:tc>
                <w:tcPr>
                  <w:tcW w:w="1290" w:type="pct"/>
                  <w:noWrap w:val="0"/>
                  <w:vAlign w:val="center"/>
                </w:tcPr>
                <w:p w14:paraId="74E8623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09B37C5F">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12~188</w:t>
                  </w:r>
                </w:p>
              </w:tc>
              <w:tc>
                <w:tcPr>
                  <w:tcW w:w="579" w:type="pct"/>
                  <w:noWrap w:val="0"/>
                  <w:vAlign w:val="center"/>
                </w:tcPr>
                <w:p w14:paraId="5858CF6B">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39CE31CE">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8~125.33</w:t>
                  </w:r>
                </w:p>
              </w:tc>
              <w:tc>
                <w:tcPr>
                  <w:tcW w:w="594" w:type="pct"/>
                  <w:noWrap w:val="0"/>
                  <w:vAlign w:val="center"/>
                </w:tcPr>
                <w:p w14:paraId="6E9A6AC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②</w:t>
                  </w:r>
                </w:p>
              </w:tc>
              <w:tc>
                <w:tcPr>
                  <w:tcW w:w="511" w:type="pct"/>
                  <w:noWrap w:val="0"/>
                  <w:vAlign w:val="center"/>
                </w:tcPr>
                <w:p w14:paraId="5F58B93C">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1.2</w:t>
                  </w:r>
                </w:p>
              </w:tc>
            </w:tr>
            <w:tr w14:paraId="3BE34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3221FF7E">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3B99C89A">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2.5</w:t>
                  </w:r>
                </w:p>
              </w:tc>
              <w:tc>
                <w:tcPr>
                  <w:tcW w:w="1290" w:type="pct"/>
                  <w:noWrap w:val="0"/>
                  <w:vAlign w:val="center"/>
                </w:tcPr>
                <w:p w14:paraId="1BFF04C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50CF0714">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34</w:t>
                  </w:r>
                </w:p>
              </w:tc>
              <w:tc>
                <w:tcPr>
                  <w:tcW w:w="579" w:type="pct"/>
                  <w:noWrap w:val="0"/>
                  <w:vAlign w:val="center"/>
                </w:tcPr>
                <w:p w14:paraId="2218881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35</w:t>
                  </w:r>
                </w:p>
              </w:tc>
              <w:tc>
                <w:tcPr>
                  <w:tcW w:w="663" w:type="pct"/>
                  <w:noWrap w:val="0"/>
                  <w:vAlign w:val="center"/>
                </w:tcPr>
                <w:p w14:paraId="001C908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97.14</w:t>
                  </w:r>
                </w:p>
              </w:tc>
              <w:tc>
                <w:tcPr>
                  <w:tcW w:w="594" w:type="pct"/>
                  <w:noWrap w:val="0"/>
                  <w:vAlign w:val="center"/>
                </w:tcPr>
                <w:p w14:paraId="4B9D3D08">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11" w:type="pct"/>
                  <w:noWrap w:val="0"/>
                  <w:vAlign w:val="center"/>
                </w:tcPr>
                <w:p w14:paraId="62B57AB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32B49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7668422D">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0EAA445A">
                  <w:pPr>
                    <w:spacing w:line="240" w:lineRule="auto"/>
                    <w:jc w:val="center"/>
                    <w:rPr>
                      <w:rFonts w:hint="default" w:ascii="Times New Roman" w:hAnsi="Times New Roman" w:eastAsia="宋体" w:cs="Times New Roman"/>
                      <w:caps w:val="0"/>
                      <w:smallCaps w:val="0"/>
                      <w:color w:val="auto"/>
                      <w:spacing w:val="0"/>
                      <w:highlight w:val="none"/>
                    </w:rPr>
                  </w:pPr>
                </w:p>
              </w:tc>
              <w:tc>
                <w:tcPr>
                  <w:tcW w:w="1290" w:type="pct"/>
                  <w:noWrap w:val="0"/>
                  <w:vAlign w:val="center"/>
                </w:tcPr>
                <w:p w14:paraId="354F869A">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23BEC853">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6~151</w:t>
                  </w:r>
                </w:p>
              </w:tc>
              <w:tc>
                <w:tcPr>
                  <w:tcW w:w="579" w:type="pct"/>
                  <w:noWrap w:val="0"/>
                  <w:vAlign w:val="center"/>
                </w:tcPr>
                <w:p w14:paraId="2E301ECC">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75</w:t>
                  </w:r>
                </w:p>
              </w:tc>
              <w:tc>
                <w:tcPr>
                  <w:tcW w:w="663" w:type="pct"/>
                  <w:noWrap w:val="0"/>
                  <w:vAlign w:val="center"/>
                </w:tcPr>
                <w:p w14:paraId="388C1798">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8~201.33</w:t>
                  </w:r>
                </w:p>
              </w:tc>
              <w:tc>
                <w:tcPr>
                  <w:tcW w:w="594" w:type="pct"/>
                  <w:noWrap w:val="0"/>
                  <w:vAlign w:val="center"/>
                </w:tcPr>
                <w:p w14:paraId="3BDC2BAD">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超标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③</w:t>
                  </w:r>
                </w:p>
              </w:tc>
              <w:tc>
                <w:tcPr>
                  <w:tcW w:w="511" w:type="pct"/>
                  <w:noWrap w:val="0"/>
                  <w:vAlign w:val="center"/>
                </w:tcPr>
                <w:p w14:paraId="5360DB3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6.4</w:t>
                  </w:r>
                </w:p>
              </w:tc>
            </w:tr>
            <w:tr w14:paraId="33278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99" w:type="pct"/>
                  <w:vMerge w:val="continue"/>
                  <w:noWrap w:val="0"/>
                  <w:vAlign w:val="top"/>
                </w:tcPr>
                <w:p w14:paraId="70748F0A">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4C755BD1">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CO</w:t>
                  </w:r>
                </w:p>
              </w:tc>
              <w:tc>
                <w:tcPr>
                  <w:tcW w:w="1290" w:type="pct"/>
                  <w:noWrap w:val="0"/>
                  <w:tcMar>
                    <w:top w:w="0" w:type="dxa"/>
                    <w:left w:w="0" w:type="dxa"/>
                    <w:bottom w:w="0" w:type="dxa"/>
                    <w:right w:w="0" w:type="dxa"/>
                  </w:tcMar>
                  <w:vAlign w:val="center"/>
                </w:tcPr>
                <w:p w14:paraId="3F981BA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日平均第95百分位数</w:t>
                  </w:r>
                </w:p>
              </w:tc>
              <w:tc>
                <w:tcPr>
                  <w:tcW w:w="626" w:type="pct"/>
                  <w:noWrap w:val="0"/>
                  <w:vAlign w:val="center"/>
                </w:tcPr>
                <w:p w14:paraId="40F3C512">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w:t>
                  </w:r>
                  <w:r>
                    <w:rPr>
                      <w:rFonts w:hint="default" w:ascii="Times New Roman" w:hAnsi="Times New Roman" w:eastAsia="宋体" w:cs="Times New Roman"/>
                      <w:caps w:val="0"/>
                      <w:smallCaps w:val="0"/>
                      <w:color w:val="auto"/>
                      <w:spacing w:val="0"/>
                      <w:kern w:val="0"/>
                      <w:szCs w:val="21"/>
                      <w:highlight w:val="none"/>
                      <w:lang w:val="en-US" w:eastAsia="zh-CN"/>
                    </w:rPr>
                    <w:t>100</w:t>
                  </w:r>
                </w:p>
              </w:tc>
              <w:tc>
                <w:tcPr>
                  <w:tcW w:w="579" w:type="pct"/>
                  <w:vMerge w:val="restart"/>
                  <w:noWrap w:val="0"/>
                  <w:vAlign w:val="center"/>
                </w:tcPr>
                <w:p w14:paraId="714376E1">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4000</w:t>
                  </w:r>
                </w:p>
              </w:tc>
              <w:tc>
                <w:tcPr>
                  <w:tcW w:w="663" w:type="pct"/>
                  <w:noWrap w:val="0"/>
                  <w:vAlign w:val="center"/>
                </w:tcPr>
                <w:p w14:paraId="5A5064AB">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2</w:t>
                  </w:r>
                  <w:r>
                    <w:rPr>
                      <w:rFonts w:hint="default" w:ascii="Times New Roman" w:hAnsi="Times New Roman" w:eastAsia="宋体" w:cs="Times New Roman"/>
                      <w:caps w:val="0"/>
                      <w:smallCaps w:val="0"/>
                      <w:color w:val="auto"/>
                      <w:spacing w:val="0"/>
                      <w:highlight w:val="none"/>
                      <w:lang w:val="en-US" w:eastAsia="zh-CN"/>
                    </w:rPr>
                    <w:t>7.</w:t>
                  </w:r>
                  <w:r>
                    <w:rPr>
                      <w:rFonts w:hint="default" w:ascii="Times New Roman" w:hAnsi="Times New Roman" w:eastAsia="宋体" w:cs="Times New Roman"/>
                      <w:caps w:val="0"/>
                      <w:smallCaps w:val="0"/>
                      <w:color w:val="auto"/>
                      <w:spacing w:val="0"/>
                      <w:highlight w:val="none"/>
                    </w:rPr>
                    <w:t>5</w:t>
                  </w:r>
                </w:p>
              </w:tc>
              <w:tc>
                <w:tcPr>
                  <w:tcW w:w="594" w:type="pct"/>
                  <w:vMerge w:val="restart"/>
                  <w:noWrap w:val="0"/>
                  <w:vAlign w:val="center"/>
                </w:tcPr>
                <w:p w14:paraId="1BF18101">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11" w:type="pct"/>
                  <w:vMerge w:val="restart"/>
                  <w:noWrap w:val="0"/>
                  <w:vAlign w:val="center"/>
                </w:tcPr>
                <w:p w14:paraId="7F44B052">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01673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99" w:type="pct"/>
                  <w:vMerge w:val="continue"/>
                  <w:noWrap w:val="0"/>
                  <w:vAlign w:val="top"/>
                </w:tcPr>
                <w:p w14:paraId="39D5297F">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758BF9CE">
                  <w:pPr>
                    <w:spacing w:line="240" w:lineRule="auto"/>
                    <w:jc w:val="center"/>
                    <w:rPr>
                      <w:rFonts w:hint="default" w:ascii="Times New Roman" w:hAnsi="Times New Roman" w:eastAsia="宋体" w:cs="Times New Roman"/>
                      <w:caps w:val="0"/>
                      <w:smallCaps w:val="0"/>
                      <w:color w:val="auto"/>
                      <w:spacing w:val="0"/>
                      <w:highlight w:val="none"/>
                    </w:rPr>
                  </w:pPr>
                </w:p>
              </w:tc>
              <w:tc>
                <w:tcPr>
                  <w:tcW w:w="1290" w:type="pct"/>
                  <w:noWrap w:val="0"/>
                  <w:tcMar>
                    <w:top w:w="0" w:type="dxa"/>
                    <w:left w:w="0" w:type="dxa"/>
                    <w:bottom w:w="0" w:type="dxa"/>
                    <w:right w:w="0" w:type="dxa"/>
                  </w:tcMar>
                  <w:vAlign w:val="center"/>
                </w:tcPr>
                <w:p w14:paraId="3BA9E13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日均值浓度</w:t>
                  </w:r>
                </w:p>
              </w:tc>
              <w:tc>
                <w:tcPr>
                  <w:tcW w:w="626" w:type="pct"/>
                  <w:noWrap w:val="0"/>
                  <w:vAlign w:val="center"/>
                </w:tcPr>
                <w:p w14:paraId="424CA07F">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400~1500</w:t>
                  </w:r>
                </w:p>
              </w:tc>
              <w:tc>
                <w:tcPr>
                  <w:tcW w:w="579" w:type="pct"/>
                  <w:vMerge w:val="continue"/>
                  <w:noWrap w:val="0"/>
                  <w:vAlign w:val="center"/>
                </w:tcPr>
                <w:p w14:paraId="0122586E">
                  <w:pPr>
                    <w:spacing w:line="240" w:lineRule="auto"/>
                    <w:jc w:val="center"/>
                    <w:rPr>
                      <w:rFonts w:hint="default" w:ascii="Times New Roman" w:hAnsi="Times New Roman" w:eastAsia="宋体" w:cs="Times New Roman"/>
                      <w:caps w:val="0"/>
                      <w:smallCaps w:val="0"/>
                      <w:color w:val="auto"/>
                      <w:spacing w:val="0"/>
                      <w:highlight w:val="none"/>
                    </w:rPr>
                  </w:pPr>
                </w:p>
              </w:tc>
              <w:tc>
                <w:tcPr>
                  <w:tcW w:w="663" w:type="pct"/>
                  <w:noWrap w:val="0"/>
                  <w:vAlign w:val="center"/>
                </w:tcPr>
                <w:p w14:paraId="42ED6131">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10~37.5</w:t>
                  </w:r>
                </w:p>
              </w:tc>
              <w:tc>
                <w:tcPr>
                  <w:tcW w:w="594" w:type="pct"/>
                  <w:vMerge w:val="continue"/>
                  <w:noWrap w:val="0"/>
                  <w:vAlign w:val="center"/>
                </w:tcPr>
                <w:p w14:paraId="2F054415">
                  <w:pPr>
                    <w:spacing w:line="240" w:lineRule="auto"/>
                    <w:jc w:val="center"/>
                    <w:rPr>
                      <w:rFonts w:hint="default" w:ascii="Times New Roman" w:hAnsi="Times New Roman" w:eastAsia="宋体" w:cs="Times New Roman"/>
                      <w:caps w:val="0"/>
                      <w:smallCaps w:val="0"/>
                      <w:color w:val="auto"/>
                      <w:spacing w:val="0"/>
                      <w:highlight w:val="none"/>
                    </w:rPr>
                  </w:pPr>
                </w:p>
              </w:tc>
              <w:tc>
                <w:tcPr>
                  <w:tcW w:w="511" w:type="pct"/>
                  <w:vMerge w:val="continue"/>
                  <w:noWrap w:val="0"/>
                  <w:vAlign w:val="center"/>
                </w:tcPr>
                <w:p w14:paraId="4D50011E">
                  <w:pPr>
                    <w:spacing w:line="240" w:lineRule="auto"/>
                    <w:jc w:val="center"/>
                    <w:rPr>
                      <w:rFonts w:hint="default" w:ascii="Times New Roman" w:hAnsi="Times New Roman" w:eastAsia="宋体" w:cs="Times New Roman"/>
                      <w:caps w:val="0"/>
                      <w:smallCaps w:val="0"/>
                      <w:color w:val="auto"/>
                      <w:spacing w:val="0"/>
                      <w:highlight w:val="none"/>
                    </w:rPr>
                  </w:pPr>
                </w:p>
              </w:tc>
            </w:tr>
            <w:tr w14:paraId="16F67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val="0"/>
                  <w:vAlign w:val="top"/>
                </w:tcPr>
                <w:p w14:paraId="714B5AF9">
                  <w:pPr>
                    <w:spacing w:line="240" w:lineRule="auto"/>
                    <w:jc w:val="center"/>
                    <w:rPr>
                      <w:rFonts w:hint="default" w:ascii="Times New Roman" w:hAnsi="Times New Roman" w:eastAsia="宋体" w:cs="Times New Roman"/>
                      <w:caps w:val="0"/>
                      <w:smallCaps w:val="0"/>
                      <w:color w:val="auto"/>
                      <w:spacing w:val="0"/>
                      <w:highlight w:val="none"/>
                    </w:rPr>
                  </w:pPr>
                </w:p>
              </w:tc>
              <w:tc>
                <w:tcPr>
                  <w:tcW w:w="435" w:type="pct"/>
                  <w:noWrap w:val="0"/>
                  <w:vAlign w:val="center"/>
                </w:tcPr>
                <w:p w14:paraId="694BEC48">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O</w:t>
                  </w:r>
                  <w:r>
                    <w:rPr>
                      <w:rFonts w:hint="default" w:ascii="Times New Roman" w:hAnsi="Times New Roman" w:eastAsia="宋体" w:cs="Times New Roman"/>
                      <w:caps w:val="0"/>
                      <w:smallCaps w:val="0"/>
                      <w:color w:val="auto"/>
                      <w:spacing w:val="0"/>
                      <w:highlight w:val="none"/>
                      <w:vertAlign w:val="subscript"/>
                    </w:rPr>
                    <w:t>3</w:t>
                  </w:r>
                </w:p>
              </w:tc>
              <w:tc>
                <w:tcPr>
                  <w:tcW w:w="1290" w:type="pct"/>
                  <w:noWrap w:val="0"/>
                  <w:tcMar>
                    <w:top w:w="0" w:type="dxa"/>
                    <w:left w:w="0" w:type="dxa"/>
                    <w:bottom w:w="0" w:type="dxa"/>
                    <w:right w:w="0" w:type="dxa"/>
                  </w:tcMar>
                  <w:vAlign w:val="center"/>
                </w:tcPr>
                <w:p w14:paraId="2ADABE8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日最大8h滑动平均值第90百分位数</w:t>
                  </w:r>
                </w:p>
              </w:tc>
              <w:tc>
                <w:tcPr>
                  <w:tcW w:w="626" w:type="pct"/>
                  <w:noWrap w:val="0"/>
                  <w:vAlign w:val="center"/>
                </w:tcPr>
                <w:p w14:paraId="69223704">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17</w:t>
                  </w:r>
                  <w:r>
                    <w:rPr>
                      <w:rFonts w:hint="default" w:ascii="Times New Roman" w:hAnsi="Times New Roman" w:eastAsia="宋体" w:cs="Times New Roman"/>
                      <w:caps w:val="0"/>
                      <w:smallCaps w:val="0"/>
                      <w:color w:val="auto"/>
                      <w:spacing w:val="0"/>
                      <w:kern w:val="0"/>
                      <w:szCs w:val="21"/>
                      <w:highlight w:val="none"/>
                      <w:lang w:val="en-US" w:eastAsia="zh-CN"/>
                    </w:rPr>
                    <w:t>4</w:t>
                  </w:r>
                </w:p>
              </w:tc>
              <w:tc>
                <w:tcPr>
                  <w:tcW w:w="579" w:type="pct"/>
                  <w:noWrap w:val="0"/>
                  <w:vAlign w:val="center"/>
                </w:tcPr>
                <w:p w14:paraId="40B8644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160</w:t>
                  </w:r>
                </w:p>
              </w:tc>
              <w:tc>
                <w:tcPr>
                  <w:tcW w:w="663" w:type="pct"/>
                  <w:noWrap w:val="0"/>
                  <w:vAlign w:val="center"/>
                </w:tcPr>
                <w:p w14:paraId="17FE85B5">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10</w:t>
                  </w:r>
                  <w:r>
                    <w:rPr>
                      <w:rFonts w:hint="default" w:ascii="Times New Roman" w:hAnsi="Times New Roman" w:eastAsia="宋体" w:cs="Times New Roman"/>
                      <w:caps w:val="0"/>
                      <w:smallCaps w:val="0"/>
                      <w:color w:val="auto"/>
                      <w:spacing w:val="0"/>
                      <w:kern w:val="0"/>
                      <w:szCs w:val="21"/>
                      <w:highlight w:val="none"/>
                      <w:lang w:val="en-US" w:eastAsia="zh-CN"/>
                    </w:rPr>
                    <w:t>8.75</w:t>
                  </w:r>
                </w:p>
              </w:tc>
              <w:tc>
                <w:tcPr>
                  <w:tcW w:w="594" w:type="pct"/>
                  <w:noWrap w:val="0"/>
                  <w:vAlign w:val="center"/>
                </w:tcPr>
                <w:p w14:paraId="3D7B1065">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超标</w:t>
                  </w:r>
                </w:p>
              </w:tc>
              <w:tc>
                <w:tcPr>
                  <w:tcW w:w="511" w:type="pct"/>
                  <w:noWrap w:val="0"/>
                  <w:vAlign w:val="center"/>
                </w:tcPr>
                <w:p w14:paraId="767DAAAD">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14.5</w:t>
                  </w:r>
                </w:p>
              </w:tc>
            </w:tr>
          </w:tbl>
          <w:p w14:paraId="5F5E9265">
            <w:pPr>
              <w:spacing w:line="240" w:lineRule="auto"/>
              <w:ind w:firstLine="422" w:firstLineChars="200"/>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b/>
                <w:bCs/>
                <w:caps w:val="0"/>
                <w:smallCaps w:val="0"/>
                <w:color w:val="auto"/>
                <w:spacing w:val="0"/>
                <w:sz w:val="21"/>
                <w:szCs w:val="21"/>
                <w:highlight w:val="none"/>
                <w:lang w:val="en-US" w:eastAsia="zh-CN"/>
              </w:rPr>
              <w:t>注：</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highlight w:val="none"/>
                <w:lang w:val="en-US" w:eastAsia="zh-CN"/>
              </w:rPr>
              <w:t>NO</w:t>
            </w:r>
            <w:r>
              <w:rPr>
                <w:rFonts w:hint="default" w:ascii="Times New Roman" w:hAnsi="Times New Roman" w:eastAsia="宋体" w:cs="Times New Roman"/>
                <w:b w:val="0"/>
                <w:bCs w:val="0"/>
                <w:caps w:val="0"/>
                <w:smallCaps w:val="0"/>
                <w:color w:val="auto"/>
                <w:spacing w:val="0"/>
                <w:sz w:val="21"/>
                <w:szCs w:val="21"/>
                <w:highlight w:val="none"/>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10</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2.5</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日平均第95百分位数超标。</w:t>
            </w:r>
          </w:p>
          <w:p w14:paraId="02A6DC2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highlight w:val="none"/>
              </w:rPr>
              <w:t>因此判定为不达标区。</w:t>
            </w:r>
          </w:p>
          <w:p w14:paraId="4880A89C">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3）区域削减</w:t>
            </w:r>
          </w:p>
          <w:p w14:paraId="561941F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区域削减措施具体如下：</w:t>
            </w:r>
          </w:p>
          <w:p w14:paraId="6052800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根据《常州市深入打好污染防治攻坚战专项行动方案》：</w:t>
            </w:r>
          </w:p>
          <w:p w14:paraId="0D0037B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（一）着力打好重污染天气消除攻坚战</w:t>
            </w:r>
          </w:p>
          <w:p w14:paraId="6EF4293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1、加大重点行业污染治理力度，强化多污染物协同控制，推进PM2.5和臭氧浓度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双控双减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，严格落实重污染天气应急管控措施，做好国家重大活动空气质量保障，基本消除重污染天气。严格落实点位长制，重点区域落实精细化管控措施。</w:t>
            </w:r>
          </w:p>
          <w:p w14:paraId="3C558E7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2、推动重点行业企业和工业炉窑、垃圾焚烧重点设施超低排放改造（深度治理），严格控制物料（含废渣）运输、装卸、储存、转移和工艺过程无组织排放。</w:t>
            </w:r>
          </w:p>
          <w:p w14:paraId="5F042DA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3、强化建筑工地、道路、堆场、矿山等扬尘管控。推进智慧工地</w:t>
            </w:r>
            <w:r>
              <w:rPr>
                <w:rFonts w:hint="default" w:ascii="Times New Roman" w:hAnsi="Times New Roman" w:eastAsia="宋体" w:cs="Times New Roman"/>
                <w:color w:val="auto"/>
                <w:sz w:val="24"/>
                <w:highlight w:val="none"/>
                <w:lang w:eastAsia="zh-CN"/>
              </w:rPr>
              <w:t>建设</w:t>
            </w:r>
            <w:r>
              <w:rPr>
                <w:rFonts w:hint="default" w:ascii="Times New Roman" w:hAnsi="Times New Roman" w:eastAsia="宋体" w:cs="Times New Roman"/>
                <w:color w:val="auto"/>
                <w:sz w:val="24"/>
                <w:highlight w:val="none"/>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6A8E1D4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到2025年，全市重度及以上污染天气比率控制在0.2%以内。</w:t>
            </w:r>
          </w:p>
          <w:p w14:paraId="5E5839B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（二）着力打好臭氧污染防治攻坚战</w:t>
            </w:r>
          </w:p>
          <w:p w14:paraId="7409E99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7D7D187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2、提高企业挥发性有机物治理水平。开展有机储罐分类深度治理及回头看工作。优化企业集群布局，积极推动企业集群入工业园区或小微企业园。按照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标杆建设一批、改造提升一批、优化整合一批、淘汰退出一批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的要求，对涉气产业集群开展排查及分类治理。</w:t>
            </w:r>
          </w:p>
          <w:p w14:paraId="574BDA2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6390B1E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4、推进餐饮油烟污染治理和执法监管。推动治理设施第三方运维管理及运行状态监控。开展餐饮油烟专项整治或</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回头看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，打造餐饮油烟治理示范项目。</w:t>
            </w:r>
          </w:p>
          <w:p w14:paraId="6E7DFDB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到2025年，挥发性有机物、氮氧化物削减量完成省定下达目标，臭氧浓度增长趋势得到有效遏制。</w:t>
            </w:r>
          </w:p>
          <w:p w14:paraId="0317074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（三）着力打好交通运输污染治理攻坚战</w:t>
            </w:r>
          </w:p>
          <w:p w14:paraId="6A6A952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1、加大货物运输结构调整力度，煤炭、矿石等大宗货物中长距离运输推广使用铁路、水路或管道方式，短距离运输优先采用封闭式皮带廊道或新能源车辆。到2025年，货运铁路和水运分担率之和达到35%。</w:t>
            </w:r>
          </w:p>
          <w:p w14:paraId="508948C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2、实施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绿色车轮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27A8808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56453AB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4279140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加强非道路移动机械污染防治。实施非道路移动柴油机械第四阶段排放标准，对新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700101A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目标：到2025年，全市生态环境质量持续改善，主要污染物排放总量持续下降，PM2.5浓度达到30微克/立方米左右，优良天数比率达到81.4%，生态质量指数达到50以上。</w:t>
            </w:r>
          </w:p>
          <w:p w14:paraId="295DBC6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（3）其他污染物环境质量现状评价</w:t>
            </w:r>
          </w:p>
          <w:p w14:paraId="2D2053C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本项目特征因子非甲烷总烃环境质量现状监测数据引用</w:t>
            </w:r>
            <w:r>
              <w:rPr>
                <w:rFonts w:hint="default" w:ascii="Times New Roman" w:hAnsi="Times New Roman" w:eastAsia="宋体" w:cs="Times New Roman"/>
                <w:color w:val="auto"/>
                <w:sz w:val="24"/>
                <w:szCs w:val="24"/>
                <w:highlight w:val="none"/>
              </w:rPr>
              <w:t>特斯特（江苏）检测科技有限公司</w:t>
            </w:r>
            <w:r>
              <w:rPr>
                <w:rFonts w:hint="eastAsia" w:ascii="Times New Roman" w:hAnsi="Times New Roman" w:eastAsia="宋体" w:cs="Times New Roman"/>
                <w:color w:val="auto"/>
                <w:sz w:val="24"/>
                <w:szCs w:val="24"/>
                <w:highlight w:val="none"/>
                <w:lang w:val="en-US" w:eastAsia="zh-CN"/>
              </w:rPr>
              <w:t>TST202411058检测报告</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highlight w:val="none"/>
                <w:lang w:val="en-US" w:eastAsia="zh-CN"/>
              </w:rPr>
              <w:t>对常州市金坛区金东环保工程有限公司东侧点位O2</w:t>
            </w:r>
            <w:r>
              <w:rPr>
                <w:rFonts w:hint="default" w:ascii="Times New Roman" w:hAnsi="Times New Roman" w:eastAsia="宋体" w:cs="Times New Roman"/>
                <w:color w:val="auto"/>
                <w:sz w:val="24"/>
                <w:highlight w:val="none"/>
              </w:rPr>
              <w:t>历史监测数据。</w:t>
            </w:r>
          </w:p>
          <w:p w14:paraId="7F3E0CE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引用数据有效性：①引用20</w:t>
            </w:r>
            <w:r>
              <w:rPr>
                <w:rFonts w:hint="eastAsia"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日非甲烷总烃连续</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天历史监测数据，引用时间不超过3年，引用时间有效；②项目所在区域内污染源未发生重大变化，可引用3年内大气的检测数据；③引用点位在项目相关评价范围内，则大气引用点位有效。</w:t>
            </w:r>
          </w:p>
          <w:p w14:paraId="4B94665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本项目环境空气质量现状具体引用位置见表3-2，大气环境现状引用结果见表3-3。</w:t>
            </w:r>
          </w:p>
          <w:p w14:paraId="1C6E6CEE">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表3-2  大气环境质量引用点位一览表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30" w:type="dxa"/>
                <w:bottom w:w="0" w:type="dxa"/>
                <w:right w:w="30" w:type="dxa"/>
              </w:tblCellMar>
            </w:tblPr>
            <w:tblGrid>
              <w:gridCol w:w="565"/>
              <w:gridCol w:w="1803"/>
              <w:gridCol w:w="1047"/>
              <w:gridCol w:w="1349"/>
              <w:gridCol w:w="1347"/>
              <w:gridCol w:w="2183"/>
            </w:tblGrid>
            <w:tr w14:paraId="744085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17" w:hRule="atLeast"/>
                <w:jc w:val="center"/>
              </w:trPr>
              <w:tc>
                <w:tcPr>
                  <w:tcW w:w="341" w:type="pct"/>
                  <w:vMerge w:val="restart"/>
                  <w:tcBorders>
                    <w:tl2br w:val="nil"/>
                    <w:tr2bl w:val="nil"/>
                  </w:tcBorders>
                  <w:vAlign w:val="center"/>
                </w:tcPr>
                <w:p w14:paraId="2E9EF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w:t>
                  </w:r>
                </w:p>
                <w:p w14:paraId="01EB96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087" w:type="pct"/>
                  <w:vMerge w:val="restart"/>
                  <w:tcBorders>
                    <w:tl2br w:val="nil"/>
                    <w:tr2bl w:val="nil"/>
                  </w:tcBorders>
                  <w:vAlign w:val="center"/>
                </w:tcPr>
                <w:p w14:paraId="48C1F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测点名称</w:t>
                  </w:r>
                </w:p>
              </w:tc>
              <w:tc>
                <w:tcPr>
                  <w:tcW w:w="1444" w:type="pct"/>
                  <w:gridSpan w:val="2"/>
                  <w:tcBorders>
                    <w:tl2br w:val="nil"/>
                    <w:tr2bl w:val="nil"/>
                  </w:tcBorders>
                  <w:vAlign w:val="center"/>
                </w:tcPr>
                <w:p w14:paraId="03261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测点位置</w:t>
                  </w:r>
                </w:p>
              </w:tc>
              <w:tc>
                <w:tcPr>
                  <w:tcW w:w="812" w:type="pct"/>
                  <w:vMerge w:val="restart"/>
                  <w:tcBorders>
                    <w:tl2br w:val="nil"/>
                    <w:tr2bl w:val="nil"/>
                  </w:tcBorders>
                  <w:vAlign w:val="center"/>
                </w:tcPr>
                <w:p w14:paraId="561E6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引用项目</w:t>
                  </w:r>
                </w:p>
              </w:tc>
              <w:tc>
                <w:tcPr>
                  <w:tcW w:w="1316" w:type="pct"/>
                  <w:vMerge w:val="restart"/>
                  <w:tcBorders>
                    <w:tl2br w:val="nil"/>
                    <w:tr2bl w:val="nil"/>
                  </w:tcBorders>
                  <w:vAlign w:val="center"/>
                </w:tcPr>
                <w:p w14:paraId="67124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引用频次</w:t>
                  </w:r>
                </w:p>
              </w:tc>
            </w:tr>
            <w:tr w14:paraId="104EA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415" w:hRule="atLeast"/>
                <w:jc w:val="center"/>
              </w:trPr>
              <w:tc>
                <w:tcPr>
                  <w:tcW w:w="341" w:type="pct"/>
                  <w:vMerge w:val="continue"/>
                  <w:tcBorders>
                    <w:tl2br w:val="nil"/>
                    <w:tr2bl w:val="nil"/>
                  </w:tcBorders>
                  <w:vAlign w:val="center"/>
                </w:tcPr>
                <w:p w14:paraId="7ACF4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087" w:type="pct"/>
                  <w:vMerge w:val="continue"/>
                  <w:tcBorders>
                    <w:tl2br w:val="nil"/>
                    <w:tr2bl w:val="nil"/>
                  </w:tcBorders>
                  <w:vAlign w:val="center"/>
                </w:tcPr>
                <w:p w14:paraId="31CE7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31" w:type="pct"/>
                  <w:tcBorders>
                    <w:tl2br w:val="nil"/>
                    <w:tr2bl w:val="nil"/>
                  </w:tcBorders>
                  <w:vAlign w:val="center"/>
                </w:tcPr>
                <w:p w14:paraId="0422C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813" w:type="pct"/>
                  <w:tcBorders>
                    <w:tl2br w:val="nil"/>
                    <w:tr2bl w:val="nil"/>
                  </w:tcBorders>
                  <w:vAlign w:val="center"/>
                </w:tcPr>
                <w:p w14:paraId="5E8FCE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距离（m）</w:t>
                  </w:r>
                </w:p>
              </w:tc>
              <w:tc>
                <w:tcPr>
                  <w:tcW w:w="812" w:type="pct"/>
                  <w:vMerge w:val="continue"/>
                  <w:tcBorders>
                    <w:tl2br w:val="nil"/>
                    <w:tr2bl w:val="nil"/>
                  </w:tcBorders>
                  <w:vAlign w:val="center"/>
                </w:tcPr>
                <w:p w14:paraId="770CE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16" w:type="pct"/>
                  <w:vMerge w:val="continue"/>
                  <w:tcBorders>
                    <w:tl2br w:val="nil"/>
                    <w:tr2bl w:val="nil"/>
                  </w:tcBorders>
                  <w:vAlign w:val="center"/>
                </w:tcPr>
                <w:p w14:paraId="0FC51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CD66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97" w:hRule="atLeast"/>
                <w:jc w:val="center"/>
              </w:trPr>
              <w:tc>
                <w:tcPr>
                  <w:tcW w:w="341" w:type="pct"/>
                  <w:tcBorders>
                    <w:tl2br w:val="nil"/>
                    <w:tr2bl w:val="nil"/>
                  </w:tcBorders>
                  <w:vAlign w:val="center"/>
                </w:tcPr>
                <w:p w14:paraId="54C5E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O2</w:t>
                  </w:r>
                </w:p>
              </w:tc>
              <w:tc>
                <w:tcPr>
                  <w:tcW w:w="1087" w:type="pct"/>
                  <w:tcBorders>
                    <w:tl2br w:val="nil"/>
                    <w:tr2bl w:val="nil"/>
                  </w:tcBorders>
                  <w:vAlign w:val="center"/>
                </w:tcPr>
                <w:p w14:paraId="3FA397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常州市金坛区金东环保工程有限公司东侧</w:t>
                  </w:r>
                </w:p>
              </w:tc>
              <w:tc>
                <w:tcPr>
                  <w:tcW w:w="631" w:type="pct"/>
                  <w:tcBorders>
                    <w:tl2br w:val="nil"/>
                    <w:tr2bl w:val="nil"/>
                  </w:tcBorders>
                  <w:vAlign w:val="center"/>
                </w:tcPr>
                <w:p w14:paraId="37C6C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W</w:t>
                  </w:r>
                </w:p>
              </w:tc>
              <w:tc>
                <w:tcPr>
                  <w:tcW w:w="813" w:type="pct"/>
                  <w:tcBorders>
                    <w:tl2br w:val="nil"/>
                    <w:tr2bl w:val="nil"/>
                  </w:tcBorders>
                  <w:vAlign w:val="center"/>
                </w:tcPr>
                <w:p w14:paraId="0603A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p>
              </w:tc>
              <w:tc>
                <w:tcPr>
                  <w:tcW w:w="812" w:type="pct"/>
                  <w:tcBorders>
                    <w:tl2br w:val="nil"/>
                    <w:tr2bl w:val="nil"/>
                  </w:tcBorders>
                  <w:vAlign w:val="center"/>
                </w:tcPr>
                <w:p w14:paraId="48C45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316" w:type="pct"/>
                  <w:tcBorders>
                    <w:tl2br w:val="nil"/>
                    <w:tr2bl w:val="nil"/>
                  </w:tcBorders>
                  <w:vAlign w:val="center"/>
                </w:tcPr>
                <w:p w14:paraId="00388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连续引用</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天</w:t>
                  </w:r>
                </w:p>
              </w:tc>
            </w:tr>
          </w:tbl>
          <w:p w14:paraId="486B08EE">
            <w:p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表3-3  大气环境现状引用结果（mg/m</w:t>
            </w:r>
            <w:r>
              <w:rPr>
                <w:rFonts w:hint="default" w:ascii="Times New Roman" w:hAnsi="Times New Roman" w:eastAsia="宋体" w:cs="Times New Roman"/>
                <w:b/>
                <w:bCs/>
                <w:color w:val="auto"/>
                <w:sz w:val="24"/>
                <w:highlight w:val="none"/>
                <w:vertAlign w:val="superscript"/>
              </w:rPr>
              <w:t>3</w:t>
            </w:r>
            <w:r>
              <w:rPr>
                <w:rFonts w:hint="default" w:ascii="Times New Roman" w:hAnsi="Times New Roman" w:eastAsia="宋体" w:cs="Times New Roman"/>
                <w:b/>
                <w:bCs/>
                <w:color w:val="auto"/>
                <w:sz w:val="24"/>
                <w:highlight w:val="none"/>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38"/>
              <w:gridCol w:w="1062"/>
              <w:gridCol w:w="1232"/>
              <w:gridCol w:w="1232"/>
              <w:gridCol w:w="1185"/>
              <w:gridCol w:w="747"/>
              <w:gridCol w:w="838"/>
            </w:tblGrid>
            <w:tr w14:paraId="0692F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vAlign w:val="center"/>
                </w:tcPr>
                <w:p w14:paraId="65507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点位编号</w:t>
                  </w:r>
                </w:p>
              </w:tc>
              <w:tc>
                <w:tcPr>
                  <w:tcW w:w="746" w:type="pct"/>
                  <w:tcBorders>
                    <w:tl2br w:val="nil"/>
                    <w:tr2bl w:val="nil"/>
                  </w:tcBorders>
                  <w:vAlign w:val="center"/>
                </w:tcPr>
                <w:p w14:paraId="1C665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40" w:type="pct"/>
                  <w:tcBorders>
                    <w:tl2br w:val="nil"/>
                    <w:tr2bl w:val="nil"/>
                  </w:tcBorders>
                  <w:vAlign w:val="center"/>
                </w:tcPr>
                <w:p w14:paraId="70A94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评价指标</w:t>
                  </w:r>
                </w:p>
              </w:tc>
              <w:tc>
                <w:tcPr>
                  <w:tcW w:w="742" w:type="pct"/>
                  <w:tcBorders>
                    <w:tl2br w:val="nil"/>
                    <w:tr2bl w:val="nil"/>
                  </w:tcBorders>
                  <w:vAlign w:val="center"/>
                </w:tcPr>
                <w:p w14:paraId="34874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w:t>
                  </w:r>
                  <w:r>
                    <w:rPr>
                      <w:rFonts w:hint="eastAsia"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42" w:type="pct"/>
                  <w:tcBorders>
                    <w:tl2br w:val="nil"/>
                    <w:tr2bl w:val="nil"/>
                  </w:tcBorders>
                  <w:vAlign w:val="center"/>
                </w:tcPr>
                <w:p w14:paraId="428C5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w:t>
                  </w:r>
                  <w:r>
                    <w:rPr>
                      <w:rFonts w:hint="eastAsia"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14" w:type="pct"/>
                  <w:tcBorders>
                    <w:tl2br w:val="nil"/>
                    <w:tr2bl w:val="nil"/>
                  </w:tcBorders>
                  <w:vAlign w:val="center"/>
                </w:tcPr>
                <w:p w14:paraId="79680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最大浓度占标率/%</w:t>
                  </w:r>
                </w:p>
              </w:tc>
              <w:tc>
                <w:tcPr>
                  <w:tcW w:w="450" w:type="pct"/>
                  <w:tcBorders>
                    <w:tl2br w:val="nil"/>
                    <w:tr2bl w:val="nil"/>
                  </w:tcBorders>
                  <w:vAlign w:val="center"/>
                </w:tcPr>
                <w:p w14:paraId="4EBA9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超标率/%</w:t>
                  </w:r>
                </w:p>
              </w:tc>
              <w:tc>
                <w:tcPr>
                  <w:tcW w:w="505" w:type="pct"/>
                  <w:tcBorders>
                    <w:tl2br w:val="nil"/>
                    <w:tr2bl w:val="nil"/>
                  </w:tcBorders>
                  <w:vAlign w:val="center"/>
                </w:tcPr>
                <w:p w14:paraId="3FC9F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639A2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58" w:type="pct"/>
                  <w:tcBorders>
                    <w:tl2br w:val="nil"/>
                    <w:tr2bl w:val="nil"/>
                  </w:tcBorders>
                  <w:vAlign w:val="center"/>
                </w:tcPr>
                <w:p w14:paraId="28351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O2</w:t>
                  </w:r>
                </w:p>
              </w:tc>
              <w:tc>
                <w:tcPr>
                  <w:tcW w:w="746" w:type="pct"/>
                  <w:tcBorders>
                    <w:tl2br w:val="nil"/>
                    <w:tr2bl w:val="nil"/>
                  </w:tcBorders>
                  <w:vAlign w:val="center"/>
                </w:tcPr>
                <w:p w14:paraId="35DAF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640" w:type="pct"/>
                  <w:tcBorders>
                    <w:tl2br w:val="nil"/>
                    <w:tr2bl w:val="nil"/>
                  </w:tcBorders>
                  <w:vAlign w:val="center"/>
                </w:tcPr>
                <w:p w14:paraId="35765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一次值</w:t>
                  </w:r>
                </w:p>
              </w:tc>
              <w:tc>
                <w:tcPr>
                  <w:tcW w:w="742" w:type="pct"/>
                  <w:tcBorders>
                    <w:tl2br w:val="nil"/>
                    <w:tr2bl w:val="nil"/>
                  </w:tcBorders>
                  <w:vAlign w:val="center"/>
                </w:tcPr>
                <w:p w14:paraId="1E97A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2" w:type="pct"/>
                  <w:tcBorders>
                    <w:tl2br w:val="nil"/>
                    <w:tr2bl w:val="nil"/>
                  </w:tcBorders>
                  <w:vAlign w:val="center"/>
                </w:tcPr>
                <w:p w14:paraId="017D19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0.11-0.63</w:t>
                  </w:r>
                </w:p>
              </w:tc>
              <w:tc>
                <w:tcPr>
                  <w:tcW w:w="714" w:type="pct"/>
                  <w:tcBorders>
                    <w:tl2br w:val="nil"/>
                    <w:tr2bl w:val="nil"/>
                  </w:tcBorders>
                  <w:vAlign w:val="center"/>
                </w:tcPr>
                <w:p w14:paraId="6047B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31.5</w:t>
                  </w:r>
                </w:p>
              </w:tc>
              <w:tc>
                <w:tcPr>
                  <w:tcW w:w="450" w:type="pct"/>
                  <w:tcBorders>
                    <w:tl2br w:val="nil"/>
                    <w:tr2bl w:val="nil"/>
                  </w:tcBorders>
                  <w:vAlign w:val="center"/>
                </w:tcPr>
                <w:p w14:paraId="50CB4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05" w:type="pct"/>
                  <w:tcBorders>
                    <w:tl2br w:val="nil"/>
                    <w:tr2bl w:val="nil"/>
                  </w:tcBorders>
                  <w:vAlign w:val="center"/>
                </w:tcPr>
                <w:p w14:paraId="5FB51A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1CB79ED1">
            <w:pPr>
              <w:spacing w:line="360" w:lineRule="auto"/>
              <w:ind w:firstLine="480" w:firstLineChars="200"/>
              <w:rPr>
                <w:rFonts w:hint="default" w:ascii="Times New Roman" w:hAnsi="Times New Roman" w:cs="Times New Roman"/>
                <w:snapToGrid w:val="0"/>
                <w:color w:val="auto"/>
                <w:szCs w:val="20"/>
                <w:highlight w:val="none"/>
              </w:rPr>
            </w:pPr>
            <w:r>
              <w:rPr>
                <w:rFonts w:hint="default" w:ascii="Times New Roman" w:hAnsi="Times New Roman" w:eastAsia="宋体" w:cs="Times New Roman"/>
                <w:color w:val="auto"/>
                <w:sz w:val="24"/>
                <w:highlight w:val="none"/>
              </w:rPr>
              <w:t>由上表可知，项目所在地附近周围环境空气中非甲烷总烃满足《大气污染物综合排放标准详解》标准。</w:t>
            </w:r>
          </w:p>
          <w:p w14:paraId="027805BB">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2、地表水环境</w:t>
            </w:r>
          </w:p>
          <w:p w14:paraId="184F592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（1）区域水环境状况</w:t>
            </w:r>
          </w:p>
          <w:p w14:paraId="130E6EE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年常州市生态环境质量状况公报》中相关内容，202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年常州市纳入“十四五”国家地表水环境质量考核的20个断面，年均水质达到或好于《地表水环境质量标准》（GB 3838—2002）Ⅲ类标准的断面比例为85%（年度考核目标80%），无劣Ⅴ类断面。纳入江苏省“十四五”水环境质量目标考核的51个断面，年均水质达到或好于Ⅲ类的比例为94.1%（年度考核目标92.2%），无劣Ⅴ类断面。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701B4AE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08B4DF3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持续打好长江保护修复攻坚战，到2025年长江干流水质稳定达到Ⅱ类；持续打好太湖流域综合整治攻坚战，坚决守住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确保饮用水安全，确保不发生大面积湖泛</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污水处理提质增效达标区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；着力打好海洋生态环境综合治理攻坚战，推进重点河口海湾综合治理，深入开展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美丽海湾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建设；强化陆域水域污染协同治理，到2025年，全面完成骨干河道和重点湖泊排污口排查整治。</w:t>
            </w:r>
          </w:p>
          <w:p w14:paraId="5EEAC6D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（2）地表水环境质量现状引用</w:t>
            </w:r>
          </w:p>
          <w:p w14:paraId="33504D6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为了解</w:t>
            </w:r>
            <w:r>
              <w:rPr>
                <w:rFonts w:hint="default" w:ascii="Times New Roman" w:hAnsi="Times New Roman" w:eastAsia="宋体" w:cs="Times New Roman"/>
                <w:color w:val="auto"/>
                <w:sz w:val="24"/>
                <w:highlight w:val="none"/>
                <w:lang w:eastAsia="zh-CN"/>
              </w:rPr>
              <w:t>金坛第二污水处理厂</w:t>
            </w:r>
            <w:r>
              <w:rPr>
                <w:rFonts w:hint="default" w:ascii="Times New Roman" w:hAnsi="Times New Roman" w:eastAsia="宋体" w:cs="Times New Roman"/>
                <w:color w:val="auto"/>
                <w:sz w:val="24"/>
                <w:highlight w:val="none"/>
              </w:rPr>
              <w:t>排口上</w:t>
            </w:r>
            <w:r>
              <w:rPr>
                <w:rFonts w:hint="default" w:ascii="Times New Roman" w:hAnsi="Times New Roman" w:eastAsia="宋体" w:cs="Times New Roman"/>
                <w:color w:val="auto"/>
                <w:sz w:val="24"/>
                <w:highlight w:val="none"/>
                <w:lang w:val="en-US" w:eastAsia="zh-CN"/>
              </w:rPr>
              <w:t>下游</w:t>
            </w:r>
            <w:r>
              <w:rPr>
                <w:rFonts w:hint="default" w:ascii="Times New Roman" w:hAnsi="Times New Roman" w:eastAsia="宋体" w:cs="Times New Roman"/>
                <w:color w:val="auto"/>
                <w:sz w:val="24"/>
                <w:highlight w:val="none"/>
              </w:rPr>
              <w:t>水质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尧塘河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现状，本次评价引用 特斯特（江苏）检测科技有限公司TST202</w:t>
            </w:r>
            <w:r>
              <w:rPr>
                <w:rFonts w:hint="eastAsia" w:ascii="Times New Roman" w:hAnsi="Times New Roman" w:eastAsia="宋体" w:cs="Times New Roman"/>
                <w:color w:val="auto"/>
                <w:sz w:val="24"/>
                <w:highlight w:val="none"/>
                <w:lang w:val="en-US" w:eastAsia="zh-CN"/>
              </w:rPr>
              <w:t>501015</w:t>
            </w:r>
            <w:r>
              <w:rPr>
                <w:rFonts w:hint="default" w:ascii="Times New Roman" w:hAnsi="Times New Roman" w:eastAsia="宋体" w:cs="Times New Roman"/>
                <w:color w:val="auto"/>
                <w:sz w:val="24"/>
                <w:highlight w:val="none"/>
              </w:rPr>
              <w:t>检测报告中对地表水历史检测数据，分别位于金坛第二污水处理厂排口上游500m、下游2000m处，引用因子为pH、COD、NH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-N、TP等。</w:t>
            </w:r>
          </w:p>
          <w:p w14:paraId="1A0DA90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引用数据有效性分析：①本项目地表水质量现状引用202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06</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日监测数据，引用时间不超过3年，且项目所在区域内污染源未发生重大变化，地表水引用时间有效；②引用点位在项目相关评价范围内，则地表水引用点位有效。</w:t>
            </w:r>
          </w:p>
          <w:p w14:paraId="791B86F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监测数据统计结果见下表：</w:t>
            </w:r>
          </w:p>
          <w:p w14:paraId="377311D4">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地表水断面现状监测数据  单位：mg/L</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10"/>
              <w:gridCol w:w="1603"/>
              <w:gridCol w:w="1235"/>
              <w:gridCol w:w="1329"/>
              <w:gridCol w:w="1486"/>
              <w:gridCol w:w="1331"/>
            </w:tblGrid>
            <w:tr w14:paraId="43F4E6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7" w:hRule="atLeast"/>
                <w:jc w:val="center"/>
              </w:trPr>
              <w:tc>
                <w:tcPr>
                  <w:tcW w:w="789" w:type="pct"/>
                  <w:tcMar>
                    <w:left w:w="20" w:type="dxa"/>
                    <w:right w:w="20" w:type="dxa"/>
                  </w:tcMar>
                  <w:vAlign w:val="center"/>
                </w:tcPr>
                <w:p w14:paraId="19352BAF">
                  <w:pPr>
                    <w:snapToGrid w:val="0"/>
                    <w:spacing w:line="30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断面</w:t>
                  </w:r>
                </w:p>
              </w:tc>
              <w:tc>
                <w:tcPr>
                  <w:tcW w:w="966" w:type="pct"/>
                  <w:tcMar>
                    <w:left w:w="108" w:type="dxa"/>
                    <w:right w:w="108" w:type="dxa"/>
                  </w:tcMar>
                  <w:vAlign w:val="center"/>
                </w:tcPr>
                <w:p w14:paraId="528501A5">
                  <w:pPr>
                    <w:snapToGrid w:val="0"/>
                    <w:spacing w:line="30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项目</w:t>
                  </w:r>
                </w:p>
              </w:tc>
              <w:tc>
                <w:tcPr>
                  <w:tcW w:w="744" w:type="pct"/>
                  <w:tcMar>
                    <w:left w:w="20" w:type="dxa"/>
                    <w:right w:w="20" w:type="dxa"/>
                  </w:tcMar>
                  <w:vAlign w:val="center"/>
                </w:tcPr>
                <w:p w14:paraId="5B32815A">
                  <w:pPr>
                    <w:snapToGrid w:val="0"/>
                    <w:spacing w:line="30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pH</w:t>
                  </w:r>
                </w:p>
              </w:tc>
              <w:tc>
                <w:tcPr>
                  <w:tcW w:w="801" w:type="pct"/>
                  <w:tcMar>
                    <w:left w:w="20" w:type="dxa"/>
                    <w:right w:w="20" w:type="dxa"/>
                  </w:tcMar>
                  <w:vAlign w:val="center"/>
                </w:tcPr>
                <w:p w14:paraId="208B409D">
                  <w:pPr>
                    <w:snapToGrid w:val="0"/>
                    <w:spacing w:line="30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COD</w:t>
                  </w:r>
                </w:p>
              </w:tc>
              <w:tc>
                <w:tcPr>
                  <w:tcW w:w="895" w:type="pct"/>
                  <w:tcMar>
                    <w:left w:w="20" w:type="dxa"/>
                    <w:right w:w="20" w:type="dxa"/>
                  </w:tcMar>
                  <w:vAlign w:val="center"/>
                </w:tcPr>
                <w:p w14:paraId="745B2E1C">
                  <w:pPr>
                    <w:snapToGrid w:val="0"/>
                    <w:spacing w:line="300" w:lineRule="exact"/>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0"/>
                      <w:szCs w:val="21"/>
                      <w:highlight w:val="none"/>
                      <w:lang w:bidi="ar"/>
                    </w:rPr>
                    <w:t>NH</w:t>
                  </w:r>
                  <w:r>
                    <w:rPr>
                      <w:rFonts w:hint="default" w:ascii="Times New Roman" w:hAnsi="Times New Roman" w:eastAsia="宋体" w:cs="Times New Roman"/>
                      <w:b/>
                      <w:color w:val="auto"/>
                      <w:kern w:val="0"/>
                      <w:szCs w:val="21"/>
                      <w:highlight w:val="none"/>
                      <w:vertAlign w:val="subscript"/>
                      <w:lang w:bidi="ar"/>
                    </w:rPr>
                    <w:t>3</w:t>
                  </w:r>
                  <w:r>
                    <w:rPr>
                      <w:rFonts w:hint="default" w:ascii="Times New Roman" w:hAnsi="Times New Roman" w:eastAsia="宋体" w:cs="Times New Roman"/>
                      <w:b/>
                      <w:color w:val="auto"/>
                      <w:kern w:val="0"/>
                      <w:szCs w:val="21"/>
                      <w:highlight w:val="none"/>
                      <w:lang w:bidi="ar"/>
                    </w:rPr>
                    <w:t>-N</w:t>
                  </w:r>
                </w:p>
              </w:tc>
              <w:tc>
                <w:tcPr>
                  <w:tcW w:w="802" w:type="pct"/>
                  <w:tcMar>
                    <w:left w:w="20" w:type="dxa"/>
                    <w:right w:w="20" w:type="dxa"/>
                  </w:tcMar>
                  <w:vAlign w:val="center"/>
                </w:tcPr>
                <w:p w14:paraId="043B37A0">
                  <w:pPr>
                    <w:snapToGrid w:val="0"/>
                    <w:spacing w:line="300" w:lineRule="exact"/>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0"/>
                      <w:szCs w:val="21"/>
                      <w:highlight w:val="none"/>
                      <w:lang w:bidi="ar"/>
                    </w:rPr>
                    <w:t>TP</w:t>
                  </w:r>
                </w:p>
              </w:tc>
            </w:tr>
            <w:tr w14:paraId="68E545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restart"/>
                  <w:tcMar>
                    <w:left w:w="20" w:type="dxa"/>
                    <w:right w:w="20" w:type="dxa"/>
                  </w:tcMar>
                  <w:vAlign w:val="center"/>
                </w:tcPr>
                <w:p w14:paraId="050E559C">
                  <w:pPr>
                    <w:keepNext w:val="0"/>
                    <w:keepLines w:val="0"/>
                    <w:suppressLineNumbers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金坛第二污水处理厂排口上游500m</w:t>
                  </w:r>
                </w:p>
              </w:tc>
              <w:tc>
                <w:tcPr>
                  <w:tcW w:w="966" w:type="pct"/>
                  <w:tcMar>
                    <w:left w:w="108" w:type="dxa"/>
                    <w:right w:w="108" w:type="dxa"/>
                  </w:tcMar>
                  <w:vAlign w:val="center"/>
                </w:tcPr>
                <w:p w14:paraId="72DE939B">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浓度范围</w:t>
                  </w:r>
                </w:p>
              </w:tc>
              <w:tc>
                <w:tcPr>
                  <w:tcW w:w="744" w:type="pct"/>
                  <w:shd w:val="clear" w:color="auto" w:fill="auto"/>
                  <w:tcMar>
                    <w:left w:w="20" w:type="dxa"/>
                    <w:right w:w="20" w:type="dxa"/>
                  </w:tcMar>
                  <w:vAlign w:val="center"/>
                </w:tcPr>
                <w:p w14:paraId="525DA496">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8.1</w:t>
                  </w:r>
                </w:p>
              </w:tc>
              <w:tc>
                <w:tcPr>
                  <w:tcW w:w="801" w:type="pct"/>
                  <w:shd w:val="clear" w:color="auto" w:fill="auto"/>
                  <w:tcMar>
                    <w:left w:w="20" w:type="dxa"/>
                    <w:right w:w="20" w:type="dxa"/>
                  </w:tcMar>
                  <w:vAlign w:val="center"/>
                </w:tcPr>
                <w:p w14:paraId="15CC8B70">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9</w:t>
                  </w:r>
                </w:p>
              </w:tc>
              <w:tc>
                <w:tcPr>
                  <w:tcW w:w="895" w:type="pct"/>
                  <w:shd w:val="clear" w:color="auto" w:fill="auto"/>
                  <w:tcMar>
                    <w:left w:w="20" w:type="dxa"/>
                    <w:right w:w="20" w:type="dxa"/>
                  </w:tcMar>
                  <w:vAlign w:val="center"/>
                </w:tcPr>
                <w:p w14:paraId="03F29476">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149</w:t>
                  </w: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350</w:t>
                  </w:r>
                </w:p>
              </w:tc>
              <w:tc>
                <w:tcPr>
                  <w:tcW w:w="802" w:type="pct"/>
                  <w:shd w:val="clear" w:color="auto" w:fill="auto"/>
                  <w:tcMar>
                    <w:left w:w="20" w:type="dxa"/>
                    <w:right w:w="20" w:type="dxa"/>
                  </w:tcMar>
                  <w:vAlign w:val="center"/>
                </w:tcPr>
                <w:p w14:paraId="51493359">
                  <w:pPr>
                    <w:jc w:val="center"/>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08</w:t>
                  </w: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09</w:t>
                  </w:r>
                </w:p>
              </w:tc>
            </w:tr>
            <w:tr w14:paraId="4C0F60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5F9FBF24">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54436FFD">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标准限值</w:t>
                  </w:r>
                </w:p>
              </w:tc>
              <w:tc>
                <w:tcPr>
                  <w:tcW w:w="744" w:type="pct"/>
                  <w:shd w:val="clear" w:color="auto" w:fill="auto"/>
                  <w:tcMar>
                    <w:left w:w="20" w:type="dxa"/>
                    <w:right w:w="20" w:type="dxa"/>
                  </w:tcMar>
                  <w:vAlign w:val="center"/>
                </w:tcPr>
                <w:p w14:paraId="2B967C22">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6~9</w:t>
                  </w:r>
                </w:p>
              </w:tc>
              <w:tc>
                <w:tcPr>
                  <w:tcW w:w="801" w:type="pct"/>
                  <w:shd w:val="clear" w:color="auto" w:fill="auto"/>
                  <w:tcMar>
                    <w:left w:w="20" w:type="dxa"/>
                    <w:right w:w="20" w:type="dxa"/>
                  </w:tcMar>
                  <w:vAlign w:val="center"/>
                </w:tcPr>
                <w:p w14:paraId="6800B752">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20</w:t>
                  </w:r>
                </w:p>
              </w:tc>
              <w:tc>
                <w:tcPr>
                  <w:tcW w:w="895" w:type="pct"/>
                  <w:shd w:val="clear" w:color="auto" w:fill="auto"/>
                  <w:tcMar>
                    <w:left w:w="20" w:type="dxa"/>
                    <w:right w:w="20" w:type="dxa"/>
                  </w:tcMar>
                  <w:vAlign w:val="center"/>
                </w:tcPr>
                <w:p w14:paraId="2D277599">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1.0</w:t>
                  </w:r>
                </w:p>
              </w:tc>
              <w:tc>
                <w:tcPr>
                  <w:tcW w:w="802" w:type="pct"/>
                  <w:shd w:val="clear" w:color="auto" w:fill="auto"/>
                  <w:tcMar>
                    <w:left w:w="20" w:type="dxa"/>
                    <w:right w:w="20" w:type="dxa"/>
                  </w:tcMar>
                  <w:vAlign w:val="center"/>
                </w:tcPr>
                <w:p w14:paraId="13BC0E90">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0.2</w:t>
                  </w:r>
                </w:p>
              </w:tc>
            </w:tr>
            <w:tr w14:paraId="6A8A66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2B3BB433">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1DC61293">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超标率（%）</w:t>
                  </w:r>
                </w:p>
              </w:tc>
              <w:tc>
                <w:tcPr>
                  <w:tcW w:w="744" w:type="pct"/>
                  <w:shd w:val="clear" w:color="auto" w:fill="auto"/>
                  <w:tcMar>
                    <w:left w:w="20" w:type="dxa"/>
                    <w:right w:w="20" w:type="dxa"/>
                  </w:tcMar>
                  <w:vAlign w:val="center"/>
                </w:tcPr>
                <w:p w14:paraId="2663304D">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1" w:type="pct"/>
                  <w:shd w:val="clear" w:color="auto" w:fill="auto"/>
                  <w:tcMar>
                    <w:left w:w="20" w:type="dxa"/>
                    <w:right w:w="20" w:type="dxa"/>
                  </w:tcMar>
                  <w:vAlign w:val="center"/>
                </w:tcPr>
                <w:p w14:paraId="6B04C440">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3E0366AA">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298F4949">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407E06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35CA4ED7">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690EAB75">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最大超标倍数</w:t>
                  </w:r>
                </w:p>
              </w:tc>
              <w:tc>
                <w:tcPr>
                  <w:tcW w:w="744" w:type="pct"/>
                  <w:shd w:val="clear" w:color="auto" w:fill="auto"/>
                  <w:tcMar>
                    <w:left w:w="20" w:type="dxa"/>
                    <w:right w:w="20" w:type="dxa"/>
                  </w:tcMar>
                  <w:vAlign w:val="center"/>
                </w:tcPr>
                <w:p w14:paraId="6139A918">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1" w:type="pct"/>
                  <w:shd w:val="clear" w:color="auto" w:fill="auto"/>
                  <w:tcMar>
                    <w:left w:w="20" w:type="dxa"/>
                    <w:right w:w="20" w:type="dxa"/>
                  </w:tcMar>
                  <w:vAlign w:val="center"/>
                </w:tcPr>
                <w:p w14:paraId="6F52A61B">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0DC919DE">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264E6D71">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427176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restart"/>
                  <w:tcMar>
                    <w:left w:w="20" w:type="dxa"/>
                    <w:right w:w="20" w:type="dxa"/>
                  </w:tcMar>
                  <w:vAlign w:val="center"/>
                </w:tcPr>
                <w:p w14:paraId="291BF96B">
                  <w:pPr>
                    <w:keepNext w:val="0"/>
                    <w:keepLines w:val="0"/>
                    <w:suppressLineNumbers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金坛第二污水处理厂排口</w:t>
                  </w:r>
                  <w:r>
                    <w:rPr>
                      <w:rFonts w:hint="eastAsia" w:ascii="Times New Roman" w:hAnsi="Times New Roman" w:eastAsia="宋体" w:cs="Times New Roman"/>
                      <w:color w:val="auto"/>
                      <w:kern w:val="0"/>
                      <w:szCs w:val="21"/>
                      <w:highlight w:val="none"/>
                      <w:lang w:val="en-US" w:eastAsia="zh-CN" w:bidi="ar"/>
                    </w:rPr>
                    <w:t>下</w:t>
                  </w:r>
                  <w:r>
                    <w:rPr>
                      <w:rFonts w:hint="default" w:ascii="Times New Roman" w:hAnsi="Times New Roman" w:eastAsia="宋体" w:cs="Times New Roman"/>
                      <w:color w:val="auto"/>
                      <w:kern w:val="0"/>
                      <w:szCs w:val="21"/>
                      <w:highlight w:val="none"/>
                      <w:lang w:bidi="ar"/>
                    </w:rPr>
                    <w:t>游</w:t>
                  </w:r>
                  <w:r>
                    <w:rPr>
                      <w:rFonts w:hint="eastAsia" w:ascii="Times New Roman" w:hAnsi="Times New Roman" w:eastAsia="宋体" w:cs="Times New Roman"/>
                      <w:color w:val="auto"/>
                      <w:kern w:val="0"/>
                      <w:szCs w:val="21"/>
                      <w:highlight w:val="none"/>
                      <w:lang w:val="en-US" w:eastAsia="zh-CN" w:bidi="ar"/>
                    </w:rPr>
                    <w:t>200</w:t>
                  </w:r>
                  <w:r>
                    <w:rPr>
                      <w:rFonts w:hint="default" w:ascii="Times New Roman" w:hAnsi="Times New Roman" w:eastAsia="宋体" w:cs="Times New Roman"/>
                      <w:color w:val="auto"/>
                      <w:kern w:val="0"/>
                      <w:szCs w:val="21"/>
                      <w:highlight w:val="none"/>
                      <w:lang w:bidi="ar"/>
                    </w:rPr>
                    <w:t>0m</w:t>
                  </w:r>
                </w:p>
              </w:tc>
              <w:tc>
                <w:tcPr>
                  <w:tcW w:w="966" w:type="pct"/>
                  <w:tcMar>
                    <w:left w:w="108" w:type="dxa"/>
                    <w:right w:w="108" w:type="dxa"/>
                  </w:tcMar>
                  <w:vAlign w:val="center"/>
                </w:tcPr>
                <w:p w14:paraId="59E1DD15">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浓度范围</w:t>
                  </w:r>
                </w:p>
              </w:tc>
              <w:tc>
                <w:tcPr>
                  <w:tcW w:w="744" w:type="pct"/>
                  <w:shd w:val="clear" w:color="auto" w:fill="auto"/>
                  <w:tcMar>
                    <w:left w:w="20" w:type="dxa"/>
                    <w:right w:w="20" w:type="dxa"/>
                  </w:tcMar>
                  <w:vAlign w:val="center"/>
                </w:tcPr>
                <w:p w14:paraId="07022986">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8.0</w:t>
                  </w:r>
                </w:p>
              </w:tc>
              <w:tc>
                <w:tcPr>
                  <w:tcW w:w="801" w:type="pct"/>
                  <w:shd w:val="clear" w:color="auto" w:fill="auto"/>
                  <w:tcMar>
                    <w:left w:w="20" w:type="dxa"/>
                    <w:right w:w="20" w:type="dxa"/>
                  </w:tcMar>
                  <w:vAlign w:val="center"/>
                </w:tcPr>
                <w:p w14:paraId="3C9E2709">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17</w:t>
                  </w:r>
                </w:p>
              </w:tc>
              <w:tc>
                <w:tcPr>
                  <w:tcW w:w="895" w:type="pct"/>
                  <w:shd w:val="clear" w:color="auto" w:fill="auto"/>
                  <w:tcMar>
                    <w:left w:w="20" w:type="dxa"/>
                    <w:right w:w="20" w:type="dxa"/>
                  </w:tcMar>
                  <w:vAlign w:val="center"/>
                </w:tcPr>
                <w:p w14:paraId="3CBF114B">
                  <w:pPr>
                    <w:adjustRightInd w:val="0"/>
                    <w:snapToGrid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251</w:t>
                  </w: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331</w:t>
                  </w:r>
                </w:p>
              </w:tc>
              <w:tc>
                <w:tcPr>
                  <w:tcW w:w="802" w:type="pct"/>
                  <w:shd w:val="clear" w:color="auto" w:fill="auto"/>
                  <w:tcMar>
                    <w:left w:w="20" w:type="dxa"/>
                    <w:right w:w="20" w:type="dxa"/>
                  </w:tcMar>
                  <w:vAlign w:val="center"/>
                </w:tcPr>
                <w:p w14:paraId="089DB542">
                  <w:pPr>
                    <w:jc w:val="center"/>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08</w:t>
                  </w: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09</w:t>
                  </w:r>
                </w:p>
              </w:tc>
            </w:tr>
            <w:tr w14:paraId="39DFEC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22C0B263">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020D3A75">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标准限值</w:t>
                  </w:r>
                </w:p>
              </w:tc>
              <w:tc>
                <w:tcPr>
                  <w:tcW w:w="744" w:type="pct"/>
                  <w:shd w:val="clear" w:color="auto" w:fill="auto"/>
                  <w:tcMar>
                    <w:left w:w="20" w:type="dxa"/>
                    <w:right w:w="20" w:type="dxa"/>
                  </w:tcMar>
                  <w:vAlign w:val="center"/>
                </w:tcPr>
                <w:p w14:paraId="5DF9D931">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6~9</w:t>
                  </w:r>
                </w:p>
              </w:tc>
              <w:tc>
                <w:tcPr>
                  <w:tcW w:w="801" w:type="pct"/>
                  <w:shd w:val="clear" w:color="auto" w:fill="auto"/>
                  <w:tcMar>
                    <w:left w:w="20" w:type="dxa"/>
                    <w:right w:w="20" w:type="dxa"/>
                  </w:tcMar>
                  <w:vAlign w:val="center"/>
                </w:tcPr>
                <w:p w14:paraId="37E5881B">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20</w:t>
                  </w:r>
                </w:p>
              </w:tc>
              <w:tc>
                <w:tcPr>
                  <w:tcW w:w="895" w:type="pct"/>
                  <w:shd w:val="clear" w:color="auto" w:fill="auto"/>
                  <w:tcMar>
                    <w:left w:w="20" w:type="dxa"/>
                    <w:right w:w="20" w:type="dxa"/>
                  </w:tcMar>
                  <w:vAlign w:val="center"/>
                </w:tcPr>
                <w:p w14:paraId="0D4ED089">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1.0</w:t>
                  </w:r>
                </w:p>
              </w:tc>
              <w:tc>
                <w:tcPr>
                  <w:tcW w:w="802" w:type="pct"/>
                  <w:shd w:val="clear" w:color="auto" w:fill="auto"/>
                  <w:tcMar>
                    <w:left w:w="20" w:type="dxa"/>
                    <w:right w:w="20" w:type="dxa"/>
                  </w:tcMar>
                  <w:vAlign w:val="center"/>
                </w:tcPr>
                <w:p w14:paraId="645A304A">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0.2</w:t>
                  </w:r>
                </w:p>
              </w:tc>
            </w:tr>
            <w:tr w14:paraId="3C8631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6D55A9D4">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3C9F66EA">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超标率（%）</w:t>
                  </w:r>
                </w:p>
              </w:tc>
              <w:tc>
                <w:tcPr>
                  <w:tcW w:w="744" w:type="pct"/>
                  <w:shd w:val="clear" w:color="auto" w:fill="auto"/>
                  <w:tcMar>
                    <w:left w:w="20" w:type="dxa"/>
                    <w:right w:w="20" w:type="dxa"/>
                  </w:tcMar>
                  <w:vAlign w:val="center"/>
                </w:tcPr>
                <w:p w14:paraId="3392E12E">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1" w:type="pct"/>
                  <w:shd w:val="clear" w:color="auto" w:fill="auto"/>
                  <w:tcMar>
                    <w:left w:w="20" w:type="dxa"/>
                    <w:right w:w="20" w:type="dxa"/>
                  </w:tcMar>
                  <w:vAlign w:val="center"/>
                </w:tcPr>
                <w:p w14:paraId="117C59C6">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04A1E921">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5FD00CBC">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51429B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789" w:type="pct"/>
                  <w:vMerge w:val="continue"/>
                  <w:tcMar>
                    <w:left w:w="20" w:type="dxa"/>
                    <w:right w:w="20" w:type="dxa"/>
                  </w:tcMar>
                  <w:vAlign w:val="center"/>
                </w:tcPr>
                <w:p w14:paraId="21DB06B2">
                  <w:pPr>
                    <w:rPr>
                      <w:rFonts w:hint="default" w:ascii="Times New Roman" w:hAnsi="Times New Roman" w:eastAsia="宋体" w:cs="Times New Roman"/>
                      <w:color w:val="auto"/>
                      <w:szCs w:val="21"/>
                      <w:highlight w:val="none"/>
                    </w:rPr>
                  </w:pPr>
                </w:p>
              </w:tc>
              <w:tc>
                <w:tcPr>
                  <w:tcW w:w="966" w:type="pct"/>
                  <w:tcMar>
                    <w:left w:w="108" w:type="dxa"/>
                    <w:right w:w="108" w:type="dxa"/>
                  </w:tcMar>
                  <w:vAlign w:val="center"/>
                </w:tcPr>
                <w:p w14:paraId="3A806707">
                  <w:pPr>
                    <w:snapToGrid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最大超标倍数</w:t>
                  </w:r>
                </w:p>
              </w:tc>
              <w:tc>
                <w:tcPr>
                  <w:tcW w:w="744" w:type="pct"/>
                  <w:shd w:val="clear" w:color="auto" w:fill="auto"/>
                  <w:tcMar>
                    <w:left w:w="20" w:type="dxa"/>
                    <w:right w:w="20" w:type="dxa"/>
                  </w:tcMar>
                  <w:vAlign w:val="center"/>
                </w:tcPr>
                <w:p w14:paraId="2A1A1D49">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1" w:type="pct"/>
                  <w:shd w:val="clear" w:color="auto" w:fill="auto"/>
                  <w:tcMar>
                    <w:left w:w="20" w:type="dxa"/>
                    <w:right w:w="20" w:type="dxa"/>
                  </w:tcMar>
                  <w:vAlign w:val="center"/>
                </w:tcPr>
                <w:p w14:paraId="4303660B">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6206B8D7">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1DFDBE05">
                  <w:pPr>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bl>
          <w:p w14:paraId="4EF5E3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地表水水质现状监测及评价结果表明，尧塘河各引用断面中pH、COD、NH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-N、TP均能达到《地表水环境质量标准》（GB3838-2002）III类水质标准，说明当地水环境质量良好，具有一定的环境承载力。</w:t>
            </w:r>
          </w:p>
          <w:p w14:paraId="2186D577">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3、声环境</w:t>
            </w:r>
          </w:p>
          <w:p w14:paraId="1EBAF9A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1）声环境质量标准</w:t>
            </w:r>
          </w:p>
          <w:p w14:paraId="4E53176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本项目周边50m范围内无敏感点，无需对厂界进行监测，根据声环境功能区规划图可知，本项目所在区域声环境质量现状划分为《声环境质量标准》（GB3096-2008）中</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p>
          <w:p w14:paraId="2B6114D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2）声环境现状评价</w:t>
            </w:r>
          </w:p>
          <w:p w14:paraId="6BD899D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本项目周边50米范围内无敏感点，因此无需开展噪声现状调查。</w:t>
            </w:r>
          </w:p>
          <w:p w14:paraId="6EBD6805">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4、土壤、地下水环境质量现状</w:t>
            </w:r>
          </w:p>
          <w:p w14:paraId="72918BB3">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highlight w:val="none"/>
                <w:lang w:eastAsia="zh-CN"/>
              </w:rPr>
              <w:t>。</w:t>
            </w:r>
          </w:p>
          <w:p w14:paraId="3474AFB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本项目运营期土壤环境影响识别主要针对本项目产生的废气和废水。本项目</w:t>
            </w:r>
            <w:r>
              <w:rPr>
                <w:rFonts w:hint="default" w:ascii="Times New Roman" w:hAnsi="Times New Roman" w:eastAsia="宋体" w:cs="Times New Roman"/>
                <w:color w:val="auto"/>
                <w:sz w:val="24"/>
                <w:highlight w:val="none"/>
                <w:lang w:val="en-US" w:eastAsia="zh-CN"/>
              </w:rPr>
              <w:t>冷却水循环使用，不外排；</w:t>
            </w:r>
            <w:r>
              <w:rPr>
                <w:rFonts w:hint="default" w:ascii="Times New Roman" w:hAnsi="Times New Roman" w:eastAsia="宋体" w:cs="Times New Roman"/>
                <w:color w:val="auto"/>
                <w:sz w:val="24"/>
                <w:highlight w:val="none"/>
              </w:rPr>
              <w:t>废水主要为生活污水，且水质简单，经管网接入</w:t>
            </w:r>
            <w:r>
              <w:rPr>
                <w:rFonts w:hint="default" w:ascii="Times New Roman" w:hAnsi="Times New Roman" w:eastAsia="宋体" w:cs="Times New Roman"/>
                <w:color w:val="auto"/>
                <w:sz w:val="24"/>
                <w:highlight w:val="none"/>
                <w:lang w:val="en-US" w:eastAsia="zh-CN"/>
              </w:rPr>
              <w:t>指前</w:t>
            </w:r>
            <w:r>
              <w:rPr>
                <w:rFonts w:hint="default" w:ascii="Times New Roman" w:hAnsi="Times New Roman" w:eastAsia="宋体" w:cs="Times New Roman"/>
                <w:color w:val="auto"/>
                <w:sz w:val="24"/>
                <w:highlight w:val="none"/>
              </w:rPr>
              <w:t>污水处理厂处理。废气中的主要污染物为颗粒物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rPr>
              <w:t>，拟建</w:t>
            </w:r>
            <w:r>
              <w:rPr>
                <w:rFonts w:hint="default" w:ascii="Times New Roman" w:hAnsi="Times New Roman" w:eastAsia="宋体" w:cs="Times New Roman"/>
                <w:color w:val="auto"/>
                <w:sz w:val="24"/>
                <w:highlight w:val="none"/>
                <w:lang w:val="en-US" w:eastAsia="zh-CN"/>
              </w:rPr>
              <w:t>胶水贮存库、</w:t>
            </w:r>
            <w:r>
              <w:rPr>
                <w:rFonts w:hint="default" w:ascii="Times New Roman" w:hAnsi="Times New Roman" w:eastAsia="宋体" w:cs="Times New Roman"/>
                <w:color w:val="auto"/>
                <w:sz w:val="24"/>
                <w:highlight w:val="none"/>
              </w:rPr>
              <w:t>拟建危废库为重点防渗区，</w:t>
            </w:r>
            <w:r>
              <w:rPr>
                <w:rFonts w:hint="default" w:ascii="Times New Roman" w:hAnsi="Times New Roman" w:eastAsia="宋体" w:cs="Times New Roman"/>
                <w:color w:val="auto"/>
                <w:sz w:val="24"/>
                <w:highlight w:val="none"/>
                <w:lang w:val="en-US" w:eastAsia="zh-CN"/>
              </w:rPr>
              <w:t>均为现浇</w:t>
            </w:r>
            <w:r>
              <w:rPr>
                <w:rFonts w:hint="default" w:ascii="Times New Roman" w:hAnsi="Times New Roman" w:eastAsia="宋体" w:cs="Times New Roman"/>
                <w:color w:val="auto"/>
                <w:sz w:val="24"/>
                <w:highlight w:val="none"/>
              </w:rPr>
              <w:t>混凝土</w:t>
            </w:r>
            <w:r>
              <w:rPr>
                <w:rFonts w:hint="default" w:ascii="Times New Roman" w:hAnsi="Times New Roman" w:eastAsia="宋体" w:cs="Times New Roman"/>
                <w:color w:val="auto"/>
                <w:sz w:val="24"/>
                <w:highlight w:val="none"/>
                <w:lang w:val="en-US" w:eastAsia="zh-CN"/>
              </w:rPr>
              <w:t>地面，并采用</w:t>
            </w:r>
            <w:r>
              <w:rPr>
                <w:rFonts w:hint="default" w:ascii="Times New Roman" w:hAnsi="Times New Roman" w:eastAsia="宋体" w:cs="Times New Roman"/>
                <w:color w:val="auto"/>
                <w:sz w:val="24"/>
                <w:highlight w:val="none"/>
              </w:rPr>
              <w:t>环氧地坪进行地面防渗处理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其余生产区为一般防渗区，</w:t>
            </w:r>
            <w:r>
              <w:rPr>
                <w:rFonts w:hint="default" w:ascii="Times New Roman" w:hAnsi="Times New Roman" w:eastAsia="宋体" w:cs="Times New Roman"/>
                <w:color w:val="auto"/>
                <w:sz w:val="24"/>
                <w:highlight w:val="none"/>
                <w:lang w:val="en-US" w:eastAsia="zh-CN"/>
              </w:rPr>
              <w:t>均为现浇</w:t>
            </w:r>
            <w:r>
              <w:rPr>
                <w:rFonts w:hint="default" w:ascii="Times New Roman" w:hAnsi="Times New Roman" w:eastAsia="宋体" w:cs="Times New Roman"/>
                <w:color w:val="auto"/>
                <w:sz w:val="24"/>
                <w:highlight w:val="none"/>
              </w:rPr>
              <w:t>混凝土</w:t>
            </w:r>
            <w:r>
              <w:rPr>
                <w:rFonts w:hint="default" w:ascii="Times New Roman" w:hAnsi="Times New Roman" w:eastAsia="宋体" w:cs="Times New Roman"/>
                <w:color w:val="auto"/>
                <w:sz w:val="24"/>
                <w:highlight w:val="none"/>
                <w:lang w:val="en-US" w:eastAsia="zh-CN"/>
              </w:rPr>
              <w:t>地面，并采用</w:t>
            </w:r>
            <w:r>
              <w:rPr>
                <w:rFonts w:hint="default" w:ascii="Times New Roman" w:hAnsi="Times New Roman" w:eastAsia="宋体" w:cs="Times New Roman"/>
                <w:color w:val="auto"/>
                <w:sz w:val="24"/>
                <w:highlight w:val="none"/>
              </w:rPr>
              <w:t>环氧地坪进行地面防渗处理，办公区、道路等均进行地面硬化处理，</w:t>
            </w:r>
            <w:r>
              <w:rPr>
                <w:rFonts w:hint="default" w:ascii="Times New Roman" w:hAnsi="Times New Roman" w:eastAsia="宋体" w:cs="Times New Roman"/>
                <w:color w:val="auto"/>
                <w:sz w:val="24"/>
                <w:highlight w:val="none"/>
                <w:lang w:val="en-US" w:eastAsia="zh-CN"/>
              </w:rPr>
              <w:t>故</w:t>
            </w:r>
            <w:r>
              <w:rPr>
                <w:rFonts w:hint="default" w:ascii="Times New Roman" w:hAnsi="Times New Roman" w:eastAsia="宋体" w:cs="Times New Roman"/>
                <w:color w:val="auto"/>
                <w:sz w:val="24"/>
                <w:highlight w:val="none"/>
              </w:rPr>
              <w:t>不存在土壤、地下水环境垂直入渗、漫流等污染途径，因此，可不开展地下水、土壤现状评价工作。</w:t>
            </w:r>
          </w:p>
          <w:p w14:paraId="48351888">
            <w:pPr>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5、生态环境</w:t>
            </w:r>
          </w:p>
          <w:p w14:paraId="6B71AC5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本项目用地范围内不涉及生态环境保护目标，因此本项目不</w:t>
            </w:r>
            <w:r>
              <w:rPr>
                <w:rFonts w:hint="default" w:ascii="Times New Roman" w:hAnsi="Times New Roman" w:eastAsia="宋体" w:cs="Times New Roman"/>
                <w:color w:val="auto"/>
                <w:sz w:val="24"/>
                <w:highlight w:val="none"/>
                <w:lang w:eastAsia="zh-CN"/>
              </w:rPr>
              <w:t>开展</w:t>
            </w:r>
            <w:r>
              <w:rPr>
                <w:rFonts w:hint="default" w:ascii="Times New Roman" w:hAnsi="Times New Roman" w:eastAsia="宋体" w:cs="Times New Roman"/>
                <w:color w:val="auto"/>
                <w:sz w:val="24"/>
                <w:highlight w:val="none"/>
              </w:rPr>
              <w:t>生态现状调查</w:t>
            </w:r>
            <w:r>
              <w:rPr>
                <w:rFonts w:hint="default" w:ascii="Times New Roman" w:hAnsi="Times New Roman" w:eastAsia="宋体" w:cs="Times New Roman"/>
                <w:color w:val="auto"/>
                <w:sz w:val="24"/>
                <w:highlight w:val="none"/>
                <w:lang w:val="en-US" w:eastAsia="zh-CN"/>
              </w:rPr>
              <w:t>。</w:t>
            </w:r>
          </w:p>
          <w:p w14:paraId="5DA4E30D">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6、电磁辐射</w:t>
            </w:r>
          </w:p>
          <w:p w14:paraId="1E9B132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本项目不属于广播电台、差转台、电视塔台、卫星地球上行站、雷达等电磁辐射类项目。</w:t>
            </w:r>
          </w:p>
          <w:p w14:paraId="32CFCC21">
            <w:pPr>
              <w:spacing w:line="360" w:lineRule="auto"/>
              <w:ind w:firstLine="480" w:firstLineChars="200"/>
              <w:rPr>
                <w:rFonts w:hint="default" w:ascii="Times New Roman" w:hAnsi="Times New Roman" w:eastAsia="宋体" w:cs="Times New Roman"/>
                <w:color w:val="auto"/>
                <w:sz w:val="24"/>
                <w:highlight w:val="none"/>
              </w:rPr>
            </w:pPr>
          </w:p>
          <w:p w14:paraId="310839A6">
            <w:pPr>
              <w:spacing w:line="360" w:lineRule="auto"/>
              <w:rPr>
                <w:rFonts w:hint="default" w:ascii="Times New Roman" w:hAnsi="Times New Roman" w:eastAsia="宋体" w:cs="Times New Roman"/>
                <w:color w:val="auto"/>
                <w:sz w:val="24"/>
                <w:highlight w:val="none"/>
              </w:rPr>
            </w:pPr>
          </w:p>
        </w:tc>
      </w:tr>
      <w:tr w14:paraId="375B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43BE6C5C">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环境保护目标</w:t>
            </w:r>
          </w:p>
        </w:tc>
        <w:tc>
          <w:tcPr>
            <w:tcW w:w="4581" w:type="pct"/>
          </w:tcPr>
          <w:p w14:paraId="0E927327">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0"/>
                <w:sz w:val="24"/>
                <w:szCs w:val="24"/>
                <w:highlight w:val="none"/>
              </w:rPr>
              <w:t>项目位于</w:t>
            </w:r>
            <w:r>
              <w:rPr>
                <w:rFonts w:hint="eastAsia" w:ascii="Times New Roman" w:hAnsi="Times New Roman" w:eastAsia="宋体" w:cs="Times New Roman"/>
                <w:color w:val="auto"/>
                <w:kern w:val="0"/>
                <w:sz w:val="24"/>
                <w:szCs w:val="24"/>
                <w:highlight w:val="none"/>
                <w:lang w:eastAsia="zh-CN"/>
              </w:rPr>
              <w:t>常州市金坛区晨风路1136号（金坛控股中南高科创新园）14幢</w:t>
            </w:r>
            <w:r>
              <w:rPr>
                <w:rFonts w:hint="default" w:ascii="Times New Roman" w:hAnsi="Times New Roman" w:eastAsia="宋体" w:cs="Times New Roman"/>
                <w:color w:val="auto"/>
                <w:kern w:val="0"/>
                <w:sz w:val="24"/>
                <w:szCs w:val="24"/>
                <w:highlight w:val="none"/>
              </w:rPr>
              <w:t>，经实地勘查，确定建设项目主要环境保护目标见下表。</w:t>
            </w:r>
          </w:p>
          <w:p w14:paraId="7FC5E4EA">
            <w:pPr>
              <w:tabs>
                <w:tab w:val="left" w:pos="6510"/>
              </w:tabs>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主要环境保护目标一览表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99"/>
              <w:gridCol w:w="1392"/>
              <w:gridCol w:w="1279"/>
              <w:gridCol w:w="1042"/>
              <w:gridCol w:w="818"/>
              <w:gridCol w:w="1911"/>
              <w:gridCol w:w="614"/>
              <w:gridCol w:w="639"/>
            </w:tblGrid>
            <w:tr w14:paraId="7E11DC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vMerge w:val="restart"/>
                  <w:tcBorders>
                    <w:tl2br w:val="nil"/>
                    <w:tr2bl w:val="nil"/>
                  </w:tcBorders>
                  <w:tcMar>
                    <w:top w:w="0" w:type="dxa"/>
                    <w:left w:w="0" w:type="dxa"/>
                    <w:bottom w:w="0" w:type="dxa"/>
                    <w:right w:w="0" w:type="dxa"/>
                  </w:tcMar>
                  <w:vAlign w:val="center"/>
                </w:tcPr>
                <w:p w14:paraId="0013CD1F">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保护项目</w:t>
                  </w:r>
                </w:p>
              </w:tc>
              <w:tc>
                <w:tcPr>
                  <w:tcW w:w="1610" w:type="pct"/>
                  <w:gridSpan w:val="2"/>
                  <w:tcBorders>
                    <w:tl2br w:val="nil"/>
                    <w:tr2bl w:val="nil"/>
                  </w:tcBorders>
                  <w:tcMar>
                    <w:top w:w="0" w:type="dxa"/>
                    <w:left w:w="0" w:type="dxa"/>
                    <w:bottom w:w="0" w:type="dxa"/>
                    <w:right w:w="0" w:type="dxa"/>
                  </w:tcMar>
                  <w:vAlign w:val="center"/>
                </w:tcPr>
                <w:p w14:paraId="63AE6AAA">
                  <w:pPr>
                    <w:keepNext/>
                    <w:keepLines/>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628" w:type="pct"/>
                  <w:vMerge w:val="restart"/>
                  <w:tcBorders>
                    <w:tl2br w:val="nil"/>
                    <w:tr2bl w:val="nil"/>
                  </w:tcBorders>
                  <w:tcMar>
                    <w:top w:w="0" w:type="dxa"/>
                    <w:left w:w="0" w:type="dxa"/>
                    <w:bottom w:w="0" w:type="dxa"/>
                    <w:right w:w="0" w:type="dxa"/>
                  </w:tcMar>
                  <w:vAlign w:val="center"/>
                </w:tcPr>
                <w:p w14:paraId="279B7149">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93" w:type="pct"/>
                  <w:vMerge w:val="restart"/>
                  <w:tcBorders>
                    <w:tl2br w:val="nil"/>
                    <w:tr2bl w:val="nil"/>
                  </w:tcBorders>
                  <w:tcMar>
                    <w:top w:w="0" w:type="dxa"/>
                    <w:left w:w="0" w:type="dxa"/>
                    <w:bottom w:w="0" w:type="dxa"/>
                    <w:right w:w="0" w:type="dxa"/>
                  </w:tcMar>
                  <w:vAlign w:val="center"/>
                </w:tcPr>
                <w:p w14:paraId="7786AA5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1152" w:type="pct"/>
                  <w:vMerge w:val="restart"/>
                  <w:tcBorders>
                    <w:tl2br w:val="nil"/>
                    <w:tr2bl w:val="nil"/>
                  </w:tcBorders>
                  <w:tcMar>
                    <w:top w:w="0" w:type="dxa"/>
                    <w:left w:w="0" w:type="dxa"/>
                    <w:bottom w:w="0" w:type="dxa"/>
                    <w:right w:w="0" w:type="dxa"/>
                  </w:tcMar>
                  <w:vAlign w:val="center"/>
                </w:tcPr>
                <w:p w14:paraId="1C0EE578">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w:t>
                  </w:r>
                </w:p>
              </w:tc>
              <w:tc>
                <w:tcPr>
                  <w:tcW w:w="370" w:type="pct"/>
                  <w:vMerge w:val="restart"/>
                  <w:tcBorders>
                    <w:tl2br w:val="nil"/>
                    <w:tr2bl w:val="nil"/>
                  </w:tcBorders>
                  <w:tcMar>
                    <w:top w:w="0" w:type="dxa"/>
                    <w:left w:w="0" w:type="dxa"/>
                    <w:bottom w:w="0" w:type="dxa"/>
                    <w:right w:w="0" w:type="dxa"/>
                  </w:tcMar>
                  <w:vAlign w:val="center"/>
                </w:tcPr>
                <w:p w14:paraId="3971211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382" w:type="pct"/>
                  <w:vMerge w:val="restart"/>
                  <w:tcBorders>
                    <w:tl2br w:val="nil"/>
                    <w:tr2bl w:val="nil"/>
                  </w:tcBorders>
                  <w:tcMar>
                    <w:top w:w="0" w:type="dxa"/>
                    <w:left w:w="0" w:type="dxa"/>
                    <w:bottom w:w="0" w:type="dxa"/>
                    <w:right w:w="0" w:type="dxa"/>
                  </w:tcMar>
                  <w:vAlign w:val="center"/>
                </w:tcPr>
                <w:p w14:paraId="4FEBE46F">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相对厂界最近距离</w:t>
                  </w:r>
                </w:p>
              </w:tc>
            </w:tr>
            <w:tr w14:paraId="46AC7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vMerge w:val="continue"/>
                  <w:tcBorders>
                    <w:tl2br w:val="nil"/>
                    <w:tr2bl w:val="nil"/>
                  </w:tcBorders>
                  <w:tcMar>
                    <w:top w:w="0" w:type="dxa"/>
                    <w:left w:w="0" w:type="dxa"/>
                    <w:bottom w:w="0" w:type="dxa"/>
                    <w:right w:w="0" w:type="dxa"/>
                  </w:tcMar>
                  <w:vAlign w:val="center"/>
                </w:tcPr>
                <w:p w14:paraId="5E59882C">
                  <w:pPr>
                    <w:adjustRightInd w:val="0"/>
                    <w:snapToGrid w:val="0"/>
                    <w:jc w:val="center"/>
                    <w:rPr>
                      <w:rFonts w:hint="default" w:ascii="Times New Roman" w:hAnsi="Times New Roman" w:eastAsia="宋体" w:cs="Times New Roman"/>
                      <w:color w:val="auto"/>
                      <w:sz w:val="21"/>
                      <w:szCs w:val="21"/>
                      <w:highlight w:val="none"/>
                    </w:rPr>
                  </w:pPr>
                </w:p>
              </w:tc>
              <w:tc>
                <w:tcPr>
                  <w:tcW w:w="839" w:type="pct"/>
                  <w:tcBorders>
                    <w:tl2br w:val="nil"/>
                    <w:tr2bl w:val="nil"/>
                  </w:tcBorders>
                  <w:tcMar>
                    <w:top w:w="0" w:type="dxa"/>
                    <w:left w:w="0" w:type="dxa"/>
                    <w:bottom w:w="0" w:type="dxa"/>
                    <w:right w:w="0" w:type="dxa"/>
                  </w:tcMar>
                  <w:vAlign w:val="center"/>
                </w:tcPr>
                <w:p w14:paraId="1F57FDB4">
                  <w:pPr>
                    <w:keepNext/>
                    <w:keepLines/>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771" w:type="pct"/>
                  <w:tcBorders>
                    <w:tl2br w:val="nil"/>
                    <w:tr2bl w:val="nil"/>
                  </w:tcBorders>
                  <w:tcMar>
                    <w:top w:w="0" w:type="dxa"/>
                    <w:left w:w="0" w:type="dxa"/>
                    <w:bottom w:w="0" w:type="dxa"/>
                    <w:right w:w="0" w:type="dxa"/>
                  </w:tcMar>
                  <w:vAlign w:val="center"/>
                </w:tcPr>
                <w:p w14:paraId="6D8ECB4F">
                  <w:pPr>
                    <w:keepNext/>
                    <w:keepLines/>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628" w:type="pct"/>
                  <w:vMerge w:val="continue"/>
                  <w:tcBorders>
                    <w:tl2br w:val="nil"/>
                    <w:tr2bl w:val="nil"/>
                  </w:tcBorders>
                  <w:tcMar>
                    <w:top w:w="0" w:type="dxa"/>
                    <w:left w:w="0" w:type="dxa"/>
                    <w:bottom w:w="0" w:type="dxa"/>
                    <w:right w:w="0" w:type="dxa"/>
                  </w:tcMar>
                  <w:vAlign w:val="center"/>
                </w:tcPr>
                <w:p w14:paraId="0A91C4DD">
                  <w:pPr>
                    <w:adjustRightInd w:val="0"/>
                    <w:snapToGrid w:val="0"/>
                    <w:jc w:val="center"/>
                    <w:rPr>
                      <w:rFonts w:hint="default" w:ascii="Times New Roman" w:hAnsi="Times New Roman" w:eastAsia="宋体" w:cs="Times New Roman"/>
                      <w:color w:val="auto"/>
                      <w:sz w:val="21"/>
                      <w:szCs w:val="21"/>
                      <w:highlight w:val="none"/>
                    </w:rPr>
                  </w:pPr>
                </w:p>
              </w:tc>
              <w:tc>
                <w:tcPr>
                  <w:tcW w:w="493" w:type="pct"/>
                  <w:vMerge w:val="continue"/>
                  <w:tcBorders>
                    <w:tl2br w:val="nil"/>
                    <w:tr2bl w:val="nil"/>
                  </w:tcBorders>
                  <w:tcMar>
                    <w:top w:w="0" w:type="dxa"/>
                    <w:left w:w="0" w:type="dxa"/>
                    <w:bottom w:w="0" w:type="dxa"/>
                    <w:right w:w="0" w:type="dxa"/>
                  </w:tcMar>
                  <w:vAlign w:val="center"/>
                </w:tcPr>
                <w:p w14:paraId="648C9BAF">
                  <w:pPr>
                    <w:adjustRightInd w:val="0"/>
                    <w:snapToGrid w:val="0"/>
                    <w:jc w:val="center"/>
                    <w:rPr>
                      <w:rFonts w:hint="default" w:ascii="Times New Roman" w:hAnsi="Times New Roman" w:eastAsia="宋体" w:cs="Times New Roman"/>
                      <w:color w:val="auto"/>
                      <w:sz w:val="21"/>
                      <w:szCs w:val="21"/>
                      <w:highlight w:val="none"/>
                    </w:rPr>
                  </w:pPr>
                </w:p>
              </w:tc>
              <w:tc>
                <w:tcPr>
                  <w:tcW w:w="1152" w:type="pct"/>
                  <w:vMerge w:val="continue"/>
                  <w:tcBorders>
                    <w:tl2br w:val="nil"/>
                    <w:tr2bl w:val="nil"/>
                  </w:tcBorders>
                  <w:tcMar>
                    <w:top w:w="0" w:type="dxa"/>
                    <w:left w:w="0" w:type="dxa"/>
                    <w:bottom w:w="0" w:type="dxa"/>
                    <w:right w:w="0" w:type="dxa"/>
                  </w:tcMar>
                  <w:vAlign w:val="center"/>
                </w:tcPr>
                <w:p w14:paraId="4962D5AE">
                  <w:pPr>
                    <w:adjustRightInd w:val="0"/>
                    <w:snapToGrid w:val="0"/>
                    <w:jc w:val="center"/>
                    <w:rPr>
                      <w:rFonts w:hint="default" w:ascii="Times New Roman" w:hAnsi="Times New Roman" w:eastAsia="宋体" w:cs="Times New Roman"/>
                      <w:color w:val="auto"/>
                      <w:sz w:val="21"/>
                      <w:szCs w:val="21"/>
                      <w:highlight w:val="none"/>
                    </w:rPr>
                  </w:pPr>
                </w:p>
              </w:tc>
              <w:tc>
                <w:tcPr>
                  <w:tcW w:w="370" w:type="pct"/>
                  <w:vMerge w:val="continue"/>
                  <w:tcBorders>
                    <w:tl2br w:val="nil"/>
                    <w:tr2bl w:val="nil"/>
                  </w:tcBorders>
                  <w:tcMar>
                    <w:top w:w="0" w:type="dxa"/>
                    <w:left w:w="0" w:type="dxa"/>
                    <w:bottom w:w="0" w:type="dxa"/>
                    <w:right w:w="0" w:type="dxa"/>
                  </w:tcMar>
                  <w:vAlign w:val="center"/>
                </w:tcPr>
                <w:p w14:paraId="773A2BE0">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tcBorders>
                    <w:tl2br w:val="nil"/>
                    <w:tr2bl w:val="nil"/>
                  </w:tcBorders>
                  <w:tcMar>
                    <w:top w:w="0" w:type="dxa"/>
                    <w:left w:w="0" w:type="dxa"/>
                    <w:bottom w:w="0" w:type="dxa"/>
                    <w:right w:w="0" w:type="dxa"/>
                  </w:tcMar>
                  <w:vAlign w:val="center"/>
                </w:tcPr>
                <w:p w14:paraId="528EB893">
                  <w:pPr>
                    <w:adjustRightInd w:val="0"/>
                    <w:snapToGrid w:val="0"/>
                    <w:jc w:val="center"/>
                    <w:rPr>
                      <w:rFonts w:hint="default" w:ascii="Times New Roman" w:hAnsi="Times New Roman" w:eastAsia="宋体" w:cs="Times New Roman"/>
                      <w:color w:val="auto"/>
                      <w:sz w:val="21"/>
                      <w:szCs w:val="21"/>
                      <w:highlight w:val="none"/>
                    </w:rPr>
                  </w:pPr>
                </w:p>
              </w:tc>
            </w:tr>
            <w:tr w14:paraId="32832C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65" w:hRule="atLeast"/>
                <w:jc w:val="center"/>
              </w:trPr>
              <w:tc>
                <w:tcPr>
                  <w:tcW w:w="362" w:type="pct"/>
                  <w:vMerge w:val="restart"/>
                  <w:tcBorders>
                    <w:tl2br w:val="nil"/>
                    <w:tr2bl w:val="nil"/>
                  </w:tcBorders>
                  <w:tcMar>
                    <w:top w:w="0" w:type="dxa"/>
                    <w:left w:w="0" w:type="dxa"/>
                    <w:bottom w:w="0" w:type="dxa"/>
                    <w:right w:w="0" w:type="dxa"/>
                  </w:tcMar>
                  <w:vAlign w:val="center"/>
                </w:tcPr>
                <w:p w14:paraId="1EAD82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839" w:type="pct"/>
                  <w:tcBorders>
                    <w:tl2br w:val="nil"/>
                    <w:tr2bl w:val="nil"/>
                  </w:tcBorders>
                  <w:shd w:val="clear" w:color="auto" w:fill="auto"/>
                  <w:tcMar>
                    <w:top w:w="0" w:type="dxa"/>
                    <w:left w:w="0" w:type="dxa"/>
                    <w:bottom w:w="0" w:type="dxa"/>
                    <w:right w:w="0" w:type="dxa"/>
                  </w:tcMar>
                  <w:vAlign w:val="center"/>
                </w:tcPr>
                <w:p w14:paraId="1E475DE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119.646419</w:t>
                  </w:r>
                </w:p>
              </w:tc>
              <w:tc>
                <w:tcPr>
                  <w:tcW w:w="771" w:type="pct"/>
                  <w:tcBorders>
                    <w:tl2br w:val="nil"/>
                    <w:tr2bl w:val="nil"/>
                  </w:tcBorders>
                  <w:shd w:val="clear" w:color="auto" w:fill="auto"/>
                  <w:tcMar>
                    <w:top w:w="0" w:type="dxa"/>
                    <w:left w:w="0" w:type="dxa"/>
                    <w:bottom w:w="0" w:type="dxa"/>
                    <w:right w:w="0" w:type="dxa"/>
                  </w:tcMar>
                  <w:vAlign w:val="center"/>
                </w:tcPr>
                <w:p w14:paraId="264C4C3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31.758025</w:t>
                  </w:r>
                </w:p>
              </w:tc>
              <w:tc>
                <w:tcPr>
                  <w:tcW w:w="628" w:type="pct"/>
                  <w:tcBorders>
                    <w:tl2br w:val="nil"/>
                    <w:tr2bl w:val="nil"/>
                  </w:tcBorders>
                  <w:tcMar>
                    <w:top w:w="0" w:type="dxa"/>
                    <w:left w:w="0" w:type="dxa"/>
                    <w:bottom w:w="0" w:type="dxa"/>
                    <w:right w:w="0" w:type="dxa"/>
                  </w:tcMar>
                  <w:vAlign w:val="center"/>
                </w:tcPr>
                <w:p w14:paraId="3F83C158">
                  <w:pPr>
                    <w:widowControl/>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蓝岭公寓</w:t>
                  </w:r>
                </w:p>
              </w:tc>
              <w:tc>
                <w:tcPr>
                  <w:tcW w:w="493" w:type="pct"/>
                  <w:tcBorders>
                    <w:tl2br w:val="nil"/>
                    <w:tr2bl w:val="nil"/>
                  </w:tcBorders>
                  <w:tcMar>
                    <w:top w:w="0" w:type="dxa"/>
                    <w:left w:w="0" w:type="dxa"/>
                    <w:bottom w:w="0" w:type="dxa"/>
                    <w:right w:w="0" w:type="dxa"/>
                  </w:tcMar>
                  <w:vAlign w:val="center"/>
                </w:tcPr>
                <w:p w14:paraId="30F4A040">
                  <w:pPr>
                    <w:widowControl/>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1500人</w:t>
                  </w:r>
                </w:p>
              </w:tc>
              <w:tc>
                <w:tcPr>
                  <w:tcW w:w="1152" w:type="pct"/>
                  <w:vMerge w:val="restart"/>
                  <w:tcBorders>
                    <w:tl2br w:val="nil"/>
                    <w:tr2bl w:val="nil"/>
                  </w:tcBorders>
                  <w:tcMar>
                    <w:top w:w="0" w:type="dxa"/>
                    <w:left w:w="0" w:type="dxa"/>
                    <w:bottom w:w="0" w:type="dxa"/>
                    <w:right w:w="0" w:type="dxa"/>
                  </w:tcMar>
                  <w:vAlign w:val="center"/>
                </w:tcPr>
                <w:p w14:paraId="5811DD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《环境空气质量标准》（GB3095-2012）中二类功能区</w:t>
                  </w:r>
                </w:p>
              </w:tc>
              <w:tc>
                <w:tcPr>
                  <w:tcW w:w="370" w:type="pct"/>
                  <w:tcBorders>
                    <w:tl2br w:val="nil"/>
                    <w:tr2bl w:val="nil"/>
                  </w:tcBorders>
                  <w:shd w:val="clear" w:color="auto" w:fill="auto"/>
                  <w:tcMar>
                    <w:top w:w="0" w:type="dxa"/>
                    <w:left w:w="0" w:type="dxa"/>
                    <w:bottom w:w="0" w:type="dxa"/>
                    <w:right w:w="0" w:type="dxa"/>
                  </w:tcMar>
                  <w:vAlign w:val="center"/>
                </w:tcPr>
                <w:p w14:paraId="7701680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p>
              </w:tc>
              <w:tc>
                <w:tcPr>
                  <w:tcW w:w="382" w:type="pct"/>
                  <w:tcBorders>
                    <w:tl2br w:val="nil"/>
                    <w:tr2bl w:val="nil"/>
                  </w:tcBorders>
                  <w:shd w:val="clear" w:color="auto" w:fill="auto"/>
                  <w:tcMar>
                    <w:top w:w="0" w:type="dxa"/>
                    <w:left w:w="0" w:type="dxa"/>
                    <w:bottom w:w="0" w:type="dxa"/>
                    <w:right w:w="0" w:type="dxa"/>
                  </w:tcMar>
                  <w:vAlign w:val="center"/>
                </w:tcPr>
                <w:p w14:paraId="60FE993E">
                  <w:pPr>
                    <w:adjustRightInd w:val="0"/>
                    <w:snapToGrid w:val="0"/>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171m</w:t>
                  </w:r>
                </w:p>
              </w:tc>
            </w:tr>
            <w:tr w14:paraId="59ECD6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65" w:hRule="atLeast"/>
                <w:jc w:val="center"/>
              </w:trPr>
              <w:tc>
                <w:tcPr>
                  <w:tcW w:w="362" w:type="pct"/>
                  <w:vMerge w:val="continue"/>
                  <w:tcBorders>
                    <w:tl2br w:val="nil"/>
                    <w:tr2bl w:val="nil"/>
                  </w:tcBorders>
                  <w:tcMar>
                    <w:top w:w="0" w:type="dxa"/>
                    <w:left w:w="0" w:type="dxa"/>
                    <w:bottom w:w="0" w:type="dxa"/>
                    <w:right w:w="0" w:type="dxa"/>
                  </w:tcMar>
                  <w:vAlign w:val="center"/>
                </w:tcPr>
                <w:p w14:paraId="501C6291">
                  <w:pPr>
                    <w:widowControl/>
                    <w:jc w:val="center"/>
                    <w:rPr>
                      <w:color w:val="auto"/>
                      <w:highlight w:val="none"/>
                    </w:rPr>
                  </w:pPr>
                </w:p>
              </w:tc>
              <w:tc>
                <w:tcPr>
                  <w:tcW w:w="839" w:type="pct"/>
                  <w:tcBorders>
                    <w:tl2br w:val="nil"/>
                    <w:tr2bl w:val="nil"/>
                  </w:tcBorders>
                  <w:shd w:val="clear" w:color="auto" w:fill="auto"/>
                  <w:tcMar>
                    <w:top w:w="0" w:type="dxa"/>
                    <w:left w:w="0" w:type="dxa"/>
                    <w:bottom w:w="0" w:type="dxa"/>
                    <w:right w:w="0" w:type="dxa"/>
                  </w:tcMar>
                  <w:vAlign w:val="center"/>
                </w:tcPr>
                <w:p w14:paraId="6A6E7F47">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119.645518</w:t>
                  </w:r>
                </w:p>
              </w:tc>
              <w:tc>
                <w:tcPr>
                  <w:tcW w:w="771" w:type="pct"/>
                  <w:tcBorders>
                    <w:tl2br w:val="nil"/>
                    <w:tr2bl w:val="nil"/>
                  </w:tcBorders>
                  <w:shd w:val="clear" w:color="auto" w:fill="auto"/>
                  <w:tcMar>
                    <w:top w:w="0" w:type="dxa"/>
                    <w:left w:w="0" w:type="dxa"/>
                    <w:bottom w:w="0" w:type="dxa"/>
                    <w:right w:w="0" w:type="dxa"/>
                  </w:tcMar>
                  <w:vAlign w:val="center"/>
                </w:tcPr>
                <w:p w14:paraId="0E0E3398">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31.756298</w:t>
                  </w:r>
                </w:p>
              </w:tc>
              <w:tc>
                <w:tcPr>
                  <w:tcW w:w="628" w:type="pct"/>
                  <w:tcBorders>
                    <w:tl2br w:val="nil"/>
                    <w:tr2bl w:val="nil"/>
                  </w:tcBorders>
                  <w:tcMar>
                    <w:top w:w="0" w:type="dxa"/>
                    <w:left w:w="0" w:type="dxa"/>
                    <w:bottom w:w="0" w:type="dxa"/>
                    <w:right w:w="0" w:type="dxa"/>
                  </w:tcMar>
                  <w:vAlign w:val="center"/>
                </w:tcPr>
                <w:p w14:paraId="72A9308A">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下小云小区</w:t>
                  </w:r>
                </w:p>
              </w:tc>
              <w:tc>
                <w:tcPr>
                  <w:tcW w:w="493" w:type="pct"/>
                  <w:tcBorders>
                    <w:tl2br w:val="nil"/>
                    <w:tr2bl w:val="nil"/>
                  </w:tcBorders>
                  <w:tcMar>
                    <w:top w:w="0" w:type="dxa"/>
                    <w:left w:w="0" w:type="dxa"/>
                    <w:bottom w:w="0" w:type="dxa"/>
                    <w:right w:w="0" w:type="dxa"/>
                  </w:tcMar>
                  <w:vAlign w:val="center"/>
                </w:tcPr>
                <w:p w14:paraId="3BAAB72D">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w:t>
                  </w:r>
                  <w:r>
                    <w:rPr>
                      <w:rFonts w:hint="eastAsia" w:ascii="Times New Roman" w:hAnsi="Times New Roman" w:eastAsia="宋体" w:cs="Times New Roman"/>
                      <w:color w:val="auto"/>
                      <w:kern w:val="0"/>
                      <w:sz w:val="21"/>
                      <w:szCs w:val="21"/>
                      <w:highlight w:val="none"/>
                      <w:lang w:val="en-US" w:eastAsia="zh-CN"/>
                    </w:rPr>
                    <w:t>人</w:t>
                  </w:r>
                </w:p>
              </w:tc>
              <w:tc>
                <w:tcPr>
                  <w:tcW w:w="1152" w:type="pct"/>
                  <w:vMerge w:val="continue"/>
                  <w:tcBorders>
                    <w:tl2br w:val="nil"/>
                    <w:tr2bl w:val="nil"/>
                  </w:tcBorders>
                  <w:tcMar>
                    <w:top w:w="0" w:type="dxa"/>
                    <w:left w:w="0" w:type="dxa"/>
                    <w:bottom w:w="0" w:type="dxa"/>
                    <w:right w:w="0" w:type="dxa"/>
                  </w:tcMar>
                  <w:vAlign w:val="center"/>
                </w:tcPr>
                <w:p w14:paraId="2B4137A3">
                  <w:pPr>
                    <w:widowControl/>
                    <w:jc w:val="center"/>
                    <w:rPr>
                      <w:rFonts w:hint="default" w:ascii="Times New Roman" w:hAnsi="Times New Roman" w:eastAsia="宋体" w:cs="Times New Roman"/>
                      <w:color w:val="auto"/>
                      <w:sz w:val="21"/>
                      <w:szCs w:val="21"/>
                      <w:highlight w:val="none"/>
                    </w:rPr>
                  </w:pPr>
                </w:p>
              </w:tc>
              <w:tc>
                <w:tcPr>
                  <w:tcW w:w="370" w:type="pct"/>
                  <w:tcBorders>
                    <w:tl2br w:val="nil"/>
                    <w:tr2bl w:val="nil"/>
                  </w:tcBorders>
                  <w:shd w:val="clear" w:color="auto" w:fill="auto"/>
                  <w:tcMar>
                    <w:top w:w="0" w:type="dxa"/>
                    <w:left w:w="0" w:type="dxa"/>
                    <w:bottom w:w="0" w:type="dxa"/>
                    <w:right w:w="0" w:type="dxa"/>
                  </w:tcMar>
                  <w:vAlign w:val="center"/>
                </w:tcPr>
                <w:p w14:paraId="31A83741">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382" w:type="pct"/>
                  <w:tcBorders>
                    <w:tl2br w:val="nil"/>
                    <w:tr2bl w:val="nil"/>
                  </w:tcBorders>
                  <w:shd w:val="clear" w:color="auto" w:fill="auto"/>
                  <w:tcMar>
                    <w:top w:w="0" w:type="dxa"/>
                    <w:left w:w="0" w:type="dxa"/>
                    <w:bottom w:w="0" w:type="dxa"/>
                    <w:right w:w="0" w:type="dxa"/>
                  </w:tcMar>
                  <w:vAlign w:val="center"/>
                </w:tcPr>
                <w:p w14:paraId="0A5B316E">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210m</w:t>
                  </w:r>
                </w:p>
              </w:tc>
            </w:tr>
            <w:tr w14:paraId="010616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65" w:hRule="atLeast"/>
                <w:jc w:val="center"/>
              </w:trPr>
              <w:tc>
                <w:tcPr>
                  <w:tcW w:w="362" w:type="pct"/>
                  <w:vMerge w:val="continue"/>
                  <w:tcBorders>
                    <w:tl2br w:val="nil"/>
                    <w:tr2bl w:val="nil"/>
                  </w:tcBorders>
                  <w:tcMar>
                    <w:top w:w="0" w:type="dxa"/>
                    <w:left w:w="0" w:type="dxa"/>
                    <w:bottom w:w="0" w:type="dxa"/>
                    <w:right w:w="0" w:type="dxa"/>
                  </w:tcMar>
                  <w:vAlign w:val="center"/>
                </w:tcPr>
                <w:p w14:paraId="41D4165D">
                  <w:pPr>
                    <w:widowControl/>
                    <w:jc w:val="center"/>
                    <w:rPr>
                      <w:rFonts w:hint="default" w:ascii="Times New Roman" w:hAnsi="Times New Roman" w:eastAsia="宋体" w:cs="Times New Roman"/>
                      <w:color w:val="auto"/>
                      <w:sz w:val="21"/>
                      <w:szCs w:val="21"/>
                      <w:highlight w:val="none"/>
                    </w:rPr>
                  </w:pPr>
                </w:p>
              </w:tc>
              <w:tc>
                <w:tcPr>
                  <w:tcW w:w="839" w:type="pct"/>
                  <w:tcBorders>
                    <w:tl2br w:val="nil"/>
                    <w:tr2bl w:val="nil"/>
                  </w:tcBorders>
                  <w:shd w:val="clear" w:color="auto" w:fill="auto"/>
                  <w:tcMar>
                    <w:top w:w="0" w:type="dxa"/>
                    <w:left w:w="0" w:type="dxa"/>
                    <w:bottom w:w="0" w:type="dxa"/>
                    <w:right w:w="0" w:type="dxa"/>
                  </w:tcMar>
                  <w:vAlign w:val="center"/>
                </w:tcPr>
                <w:p w14:paraId="10FEF650">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119.642932</w:t>
                  </w:r>
                </w:p>
              </w:tc>
              <w:tc>
                <w:tcPr>
                  <w:tcW w:w="771" w:type="pct"/>
                  <w:tcBorders>
                    <w:tl2br w:val="nil"/>
                    <w:tr2bl w:val="nil"/>
                  </w:tcBorders>
                  <w:shd w:val="clear" w:color="auto" w:fill="auto"/>
                  <w:tcMar>
                    <w:top w:w="0" w:type="dxa"/>
                    <w:left w:w="0" w:type="dxa"/>
                    <w:bottom w:w="0" w:type="dxa"/>
                    <w:right w:w="0" w:type="dxa"/>
                  </w:tcMar>
                  <w:vAlign w:val="center"/>
                </w:tcPr>
                <w:p w14:paraId="3D60E5CB">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31.756298</w:t>
                  </w:r>
                </w:p>
              </w:tc>
              <w:tc>
                <w:tcPr>
                  <w:tcW w:w="628" w:type="pct"/>
                  <w:tcBorders>
                    <w:tl2br w:val="nil"/>
                    <w:tr2bl w:val="nil"/>
                  </w:tcBorders>
                  <w:tcMar>
                    <w:top w:w="0" w:type="dxa"/>
                    <w:left w:w="0" w:type="dxa"/>
                    <w:bottom w:w="0" w:type="dxa"/>
                    <w:right w:w="0" w:type="dxa"/>
                  </w:tcMar>
                  <w:vAlign w:val="center"/>
                </w:tcPr>
                <w:p w14:paraId="4DB520AF">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香格里拉山庄</w:t>
                  </w:r>
                </w:p>
              </w:tc>
              <w:tc>
                <w:tcPr>
                  <w:tcW w:w="493" w:type="pct"/>
                  <w:tcBorders>
                    <w:tl2br w:val="nil"/>
                    <w:tr2bl w:val="nil"/>
                  </w:tcBorders>
                  <w:tcMar>
                    <w:top w:w="0" w:type="dxa"/>
                    <w:left w:w="0" w:type="dxa"/>
                    <w:bottom w:w="0" w:type="dxa"/>
                    <w:right w:w="0" w:type="dxa"/>
                  </w:tcMar>
                  <w:vAlign w:val="center"/>
                </w:tcPr>
                <w:p w14:paraId="0428E0BB">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r>
                    <w:rPr>
                      <w:rFonts w:hint="eastAsia" w:ascii="Times New Roman" w:hAnsi="Times New Roman" w:eastAsia="宋体" w:cs="Times New Roman"/>
                      <w:color w:val="auto"/>
                      <w:kern w:val="0"/>
                      <w:sz w:val="21"/>
                      <w:szCs w:val="21"/>
                      <w:highlight w:val="none"/>
                      <w:lang w:val="en-US" w:eastAsia="zh-CN"/>
                    </w:rPr>
                    <w:t>人</w:t>
                  </w:r>
                </w:p>
              </w:tc>
              <w:tc>
                <w:tcPr>
                  <w:tcW w:w="1152" w:type="pct"/>
                  <w:vMerge w:val="continue"/>
                  <w:tcBorders>
                    <w:tl2br w:val="nil"/>
                    <w:tr2bl w:val="nil"/>
                  </w:tcBorders>
                  <w:tcMar>
                    <w:top w:w="0" w:type="dxa"/>
                    <w:left w:w="0" w:type="dxa"/>
                    <w:bottom w:w="0" w:type="dxa"/>
                    <w:right w:w="0" w:type="dxa"/>
                  </w:tcMar>
                  <w:vAlign w:val="center"/>
                </w:tcPr>
                <w:p w14:paraId="29A65539">
                  <w:pPr>
                    <w:widowControl/>
                    <w:jc w:val="center"/>
                    <w:rPr>
                      <w:rFonts w:hint="default" w:ascii="Times New Roman" w:hAnsi="Times New Roman" w:eastAsia="宋体" w:cs="Times New Roman"/>
                      <w:color w:val="auto"/>
                      <w:sz w:val="21"/>
                      <w:szCs w:val="21"/>
                      <w:highlight w:val="none"/>
                    </w:rPr>
                  </w:pPr>
                </w:p>
              </w:tc>
              <w:tc>
                <w:tcPr>
                  <w:tcW w:w="370" w:type="pct"/>
                  <w:tcBorders>
                    <w:tl2br w:val="nil"/>
                    <w:tr2bl w:val="nil"/>
                  </w:tcBorders>
                  <w:shd w:val="clear" w:color="auto" w:fill="auto"/>
                  <w:tcMar>
                    <w:top w:w="0" w:type="dxa"/>
                    <w:left w:w="0" w:type="dxa"/>
                    <w:bottom w:w="0" w:type="dxa"/>
                    <w:right w:w="0" w:type="dxa"/>
                  </w:tcMar>
                  <w:vAlign w:val="center"/>
                </w:tcPr>
                <w:p w14:paraId="1DD7C3D7">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w:t>
                  </w:r>
                </w:p>
              </w:tc>
              <w:tc>
                <w:tcPr>
                  <w:tcW w:w="382" w:type="pct"/>
                  <w:tcBorders>
                    <w:tl2br w:val="nil"/>
                    <w:tr2bl w:val="nil"/>
                  </w:tcBorders>
                  <w:shd w:val="clear" w:color="auto" w:fill="auto"/>
                  <w:tcMar>
                    <w:top w:w="0" w:type="dxa"/>
                    <w:left w:w="0" w:type="dxa"/>
                    <w:bottom w:w="0" w:type="dxa"/>
                    <w:right w:w="0" w:type="dxa"/>
                  </w:tcMar>
                  <w:vAlign w:val="center"/>
                </w:tcPr>
                <w:p w14:paraId="370D99A7">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279m</w:t>
                  </w:r>
                </w:p>
              </w:tc>
            </w:tr>
            <w:tr w14:paraId="5BF755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362" w:type="pct"/>
                  <w:tcBorders>
                    <w:tl2br w:val="nil"/>
                    <w:tr2bl w:val="nil"/>
                  </w:tcBorders>
                  <w:tcMar>
                    <w:top w:w="0" w:type="dxa"/>
                    <w:left w:w="0" w:type="dxa"/>
                    <w:bottom w:w="0" w:type="dxa"/>
                    <w:right w:w="0" w:type="dxa"/>
                  </w:tcMar>
                  <w:vAlign w:val="center"/>
                </w:tcPr>
                <w:p w14:paraId="1BDA584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839" w:type="pct"/>
                  <w:tcBorders>
                    <w:tl2br w:val="nil"/>
                    <w:tr2bl w:val="nil"/>
                  </w:tcBorders>
                  <w:tcMar>
                    <w:top w:w="0" w:type="dxa"/>
                    <w:left w:w="0" w:type="dxa"/>
                    <w:bottom w:w="0" w:type="dxa"/>
                    <w:right w:w="0" w:type="dxa"/>
                  </w:tcMar>
                  <w:vAlign w:val="center"/>
                </w:tcPr>
                <w:p w14:paraId="18935C18">
                  <w:pPr>
                    <w:spacing w:line="24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771" w:type="pct"/>
                  <w:tcBorders>
                    <w:tl2br w:val="nil"/>
                    <w:tr2bl w:val="nil"/>
                  </w:tcBorders>
                  <w:tcMar>
                    <w:top w:w="0" w:type="dxa"/>
                    <w:left w:w="0" w:type="dxa"/>
                    <w:bottom w:w="0" w:type="dxa"/>
                    <w:right w:w="0" w:type="dxa"/>
                  </w:tcMar>
                  <w:vAlign w:val="center"/>
                </w:tcPr>
                <w:p w14:paraId="0F283852">
                  <w:pPr>
                    <w:spacing w:line="24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628" w:type="pct"/>
                  <w:tcBorders>
                    <w:tl2br w:val="nil"/>
                    <w:tr2bl w:val="nil"/>
                  </w:tcBorders>
                  <w:tcMar>
                    <w:top w:w="0" w:type="dxa"/>
                    <w:left w:w="0" w:type="dxa"/>
                    <w:bottom w:w="0" w:type="dxa"/>
                    <w:right w:w="0" w:type="dxa"/>
                  </w:tcMar>
                  <w:vAlign w:val="center"/>
                </w:tcPr>
                <w:p w14:paraId="577CE3D2">
                  <w:pPr>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夏溪河</w:t>
                  </w:r>
                </w:p>
              </w:tc>
              <w:tc>
                <w:tcPr>
                  <w:tcW w:w="493" w:type="pct"/>
                  <w:tcBorders>
                    <w:tl2br w:val="nil"/>
                    <w:tr2bl w:val="nil"/>
                  </w:tcBorders>
                  <w:tcMar>
                    <w:top w:w="0" w:type="dxa"/>
                    <w:left w:w="0" w:type="dxa"/>
                    <w:bottom w:w="0" w:type="dxa"/>
                    <w:right w:w="0" w:type="dxa"/>
                  </w:tcMar>
                  <w:vAlign w:val="center"/>
                </w:tcPr>
                <w:p w14:paraId="062C6D5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河流</w:t>
                  </w:r>
                </w:p>
              </w:tc>
              <w:tc>
                <w:tcPr>
                  <w:tcW w:w="1152" w:type="pct"/>
                  <w:tcBorders>
                    <w:tl2br w:val="nil"/>
                    <w:tr2bl w:val="nil"/>
                  </w:tcBorders>
                  <w:tcMar>
                    <w:top w:w="0" w:type="dxa"/>
                    <w:left w:w="0" w:type="dxa"/>
                    <w:bottom w:w="0" w:type="dxa"/>
                    <w:right w:w="0" w:type="dxa"/>
                  </w:tcMar>
                  <w:vAlign w:val="center"/>
                </w:tcPr>
                <w:p w14:paraId="1F4E224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《地表水环境质量标准》（GB3838-2002）III类区</w:t>
                  </w:r>
                </w:p>
              </w:tc>
              <w:tc>
                <w:tcPr>
                  <w:tcW w:w="370" w:type="pct"/>
                  <w:tcBorders>
                    <w:tl2br w:val="nil"/>
                    <w:tr2bl w:val="nil"/>
                  </w:tcBorders>
                  <w:tcMar>
                    <w:top w:w="0" w:type="dxa"/>
                    <w:left w:w="0" w:type="dxa"/>
                    <w:bottom w:w="0" w:type="dxa"/>
                    <w:right w:w="0" w:type="dxa"/>
                  </w:tcMar>
                  <w:vAlign w:val="center"/>
                </w:tcPr>
                <w:p w14:paraId="6FFBFDB0">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E</w:t>
                  </w:r>
                </w:p>
              </w:tc>
              <w:tc>
                <w:tcPr>
                  <w:tcW w:w="382" w:type="pct"/>
                  <w:tcBorders>
                    <w:tl2br w:val="nil"/>
                    <w:tr2bl w:val="nil"/>
                  </w:tcBorders>
                  <w:tcMar>
                    <w:top w:w="0" w:type="dxa"/>
                    <w:left w:w="0" w:type="dxa"/>
                    <w:bottom w:w="0" w:type="dxa"/>
                    <w:right w:w="0" w:type="dxa"/>
                  </w:tcMar>
                  <w:vAlign w:val="center"/>
                </w:tcPr>
                <w:p w14:paraId="484BD242">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671m</w:t>
                  </w:r>
                </w:p>
              </w:tc>
            </w:tr>
            <w:tr w14:paraId="1F09AB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tcBorders>
                    <w:tl2br w:val="nil"/>
                    <w:tr2bl w:val="nil"/>
                  </w:tcBorders>
                  <w:tcMar>
                    <w:top w:w="0" w:type="dxa"/>
                    <w:left w:w="0" w:type="dxa"/>
                    <w:bottom w:w="0" w:type="dxa"/>
                    <w:right w:w="0" w:type="dxa"/>
                  </w:tcMar>
                  <w:vAlign w:val="center"/>
                </w:tcPr>
                <w:p w14:paraId="1F478B5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839" w:type="pct"/>
                  <w:tcBorders>
                    <w:tl2br w:val="nil"/>
                    <w:tr2bl w:val="nil"/>
                  </w:tcBorders>
                  <w:tcMar>
                    <w:top w:w="0" w:type="dxa"/>
                    <w:left w:w="0" w:type="dxa"/>
                    <w:bottom w:w="0" w:type="dxa"/>
                    <w:right w:w="0" w:type="dxa"/>
                  </w:tcMar>
                  <w:vAlign w:val="center"/>
                </w:tcPr>
                <w:p w14:paraId="7CEE445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1" w:type="pct"/>
                  <w:tcBorders>
                    <w:tl2br w:val="nil"/>
                    <w:tr2bl w:val="nil"/>
                  </w:tcBorders>
                  <w:tcMar>
                    <w:top w:w="0" w:type="dxa"/>
                    <w:left w:w="0" w:type="dxa"/>
                    <w:bottom w:w="0" w:type="dxa"/>
                    <w:right w:w="0" w:type="dxa"/>
                  </w:tcMar>
                  <w:vAlign w:val="center"/>
                </w:tcPr>
                <w:p w14:paraId="5A9C79C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28" w:type="pct"/>
                  <w:tcBorders>
                    <w:tl2br w:val="nil"/>
                    <w:tr2bl w:val="nil"/>
                  </w:tcBorders>
                  <w:tcMar>
                    <w:top w:w="0" w:type="dxa"/>
                    <w:left w:w="0" w:type="dxa"/>
                    <w:bottom w:w="0" w:type="dxa"/>
                    <w:right w:w="0" w:type="dxa"/>
                  </w:tcMar>
                  <w:vAlign w:val="center"/>
                </w:tcPr>
                <w:p w14:paraId="6085AE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厂界50m</w:t>
                  </w:r>
                </w:p>
              </w:tc>
              <w:tc>
                <w:tcPr>
                  <w:tcW w:w="493" w:type="pct"/>
                  <w:tcBorders>
                    <w:tl2br w:val="nil"/>
                    <w:tr2bl w:val="nil"/>
                  </w:tcBorders>
                  <w:tcMar>
                    <w:top w:w="0" w:type="dxa"/>
                    <w:left w:w="0" w:type="dxa"/>
                    <w:bottom w:w="0" w:type="dxa"/>
                    <w:right w:w="0" w:type="dxa"/>
                  </w:tcMar>
                  <w:vAlign w:val="center"/>
                </w:tcPr>
                <w:p w14:paraId="6A7DFD0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52" w:type="pct"/>
                  <w:tcBorders>
                    <w:tl2br w:val="nil"/>
                    <w:tr2bl w:val="nil"/>
                  </w:tcBorders>
                  <w:tcMar>
                    <w:top w:w="0" w:type="dxa"/>
                    <w:left w:w="0" w:type="dxa"/>
                    <w:bottom w:w="0" w:type="dxa"/>
                    <w:right w:w="0" w:type="dxa"/>
                  </w:tcMar>
                  <w:vAlign w:val="center"/>
                </w:tcPr>
                <w:p w14:paraId="4310D4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 3096-2008）</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w:t>
                  </w:r>
                </w:p>
              </w:tc>
              <w:tc>
                <w:tcPr>
                  <w:tcW w:w="370" w:type="pct"/>
                  <w:tcBorders>
                    <w:tl2br w:val="nil"/>
                    <w:tr2bl w:val="nil"/>
                  </w:tcBorders>
                  <w:tcMar>
                    <w:top w:w="0" w:type="dxa"/>
                    <w:left w:w="0" w:type="dxa"/>
                    <w:bottom w:w="0" w:type="dxa"/>
                    <w:right w:w="0" w:type="dxa"/>
                  </w:tcMar>
                  <w:vAlign w:val="center"/>
                </w:tcPr>
                <w:p w14:paraId="12B7CC6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82" w:type="pct"/>
                  <w:tcBorders>
                    <w:tl2br w:val="nil"/>
                    <w:tr2bl w:val="nil"/>
                  </w:tcBorders>
                  <w:tcMar>
                    <w:top w:w="0" w:type="dxa"/>
                    <w:left w:w="0" w:type="dxa"/>
                    <w:bottom w:w="0" w:type="dxa"/>
                    <w:right w:w="0" w:type="dxa"/>
                  </w:tcMar>
                  <w:vAlign w:val="center"/>
                </w:tcPr>
                <w:p w14:paraId="4B257FB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42AB4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vMerge w:val="restart"/>
                  <w:tcBorders>
                    <w:tl2br w:val="nil"/>
                    <w:tr2bl w:val="nil"/>
                  </w:tcBorders>
                  <w:tcMar>
                    <w:top w:w="0" w:type="dxa"/>
                    <w:left w:w="0" w:type="dxa"/>
                    <w:bottom w:w="0" w:type="dxa"/>
                    <w:right w:w="0" w:type="dxa"/>
                  </w:tcMar>
                  <w:vAlign w:val="center"/>
                </w:tcPr>
                <w:p w14:paraId="4F374F9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839" w:type="pct"/>
                  <w:tcBorders>
                    <w:tl2br w:val="nil"/>
                    <w:tr2bl w:val="nil"/>
                  </w:tcBorders>
                  <w:tcMar>
                    <w:top w:w="0" w:type="dxa"/>
                    <w:left w:w="0" w:type="dxa"/>
                    <w:bottom w:w="0" w:type="dxa"/>
                    <w:right w:w="0" w:type="dxa"/>
                  </w:tcMar>
                  <w:vAlign w:val="center"/>
                </w:tcPr>
                <w:p w14:paraId="5B5A6DD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119.589819</w:t>
                  </w:r>
                </w:p>
              </w:tc>
              <w:tc>
                <w:tcPr>
                  <w:tcW w:w="771" w:type="pct"/>
                  <w:tcBorders>
                    <w:tl2br w:val="nil"/>
                    <w:tr2bl w:val="nil"/>
                  </w:tcBorders>
                  <w:tcMar>
                    <w:top w:w="0" w:type="dxa"/>
                    <w:left w:w="0" w:type="dxa"/>
                    <w:bottom w:w="0" w:type="dxa"/>
                    <w:right w:w="0" w:type="dxa"/>
                  </w:tcMar>
                  <w:vAlign w:val="center"/>
                </w:tcPr>
                <w:p w14:paraId="17D8DD3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31.711831</w:t>
                  </w:r>
                </w:p>
              </w:tc>
              <w:tc>
                <w:tcPr>
                  <w:tcW w:w="628" w:type="pct"/>
                  <w:tcBorders>
                    <w:tl2br w:val="nil"/>
                    <w:tr2bl w:val="nil"/>
                  </w:tcBorders>
                  <w:tcMar>
                    <w:top w:w="0" w:type="dxa"/>
                    <w:left w:w="0" w:type="dxa"/>
                    <w:bottom w:w="0" w:type="dxa"/>
                    <w:right w:w="0" w:type="dxa"/>
                  </w:tcMar>
                  <w:vAlign w:val="center"/>
                </w:tcPr>
                <w:p w14:paraId="18C4F24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钱资湖重要湿地</w:t>
                  </w:r>
                </w:p>
              </w:tc>
              <w:tc>
                <w:tcPr>
                  <w:tcW w:w="493" w:type="pct"/>
                  <w:tcBorders>
                    <w:tl2br w:val="nil"/>
                    <w:tr2bl w:val="nil"/>
                  </w:tcBorders>
                  <w:tcMar>
                    <w:top w:w="0" w:type="dxa"/>
                    <w:left w:w="0" w:type="dxa"/>
                    <w:bottom w:w="0" w:type="dxa"/>
                    <w:right w:w="0" w:type="dxa"/>
                  </w:tcMar>
                  <w:vAlign w:val="center"/>
                </w:tcPr>
                <w:p w14:paraId="7CBFDC8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湿地生态系统保护</w:t>
                  </w:r>
                </w:p>
              </w:tc>
              <w:tc>
                <w:tcPr>
                  <w:tcW w:w="1152" w:type="pct"/>
                  <w:vMerge w:val="restart"/>
                  <w:tcBorders>
                    <w:tl2br w:val="nil"/>
                    <w:tr2bl w:val="nil"/>
                  </w:tcBorders>
                  <w:tcMar>
                    <w:top w:w="0" w:type="dxa"/>
                    <w:left w:w="0" w:type="dxa"/>
                    <w:bottom w:w="0" w:type="dxa"/>
                    <w:right w:w="0" w:type="dxa"/>
                  </w:tcMar>
                  <w:vAlign w:val="center"/>
                </w:tcPr>
                <w:p w14:paraId="7589E59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《江苏省生态空间管控区域规划》</w:t>
                  </w:r>
                </w:p>
              </w:tc>
              <w:tc>
                <w:tcPr>
                  <w:tcW w:w="370" w:type="pct"/>
                  <w:tcBorders>
                    <w:tl2br w:val="nil"/>
                    <w:tr2bl w:val="nil"/>
                  </w:tcBorders>
                  <w:tcMar>
                    <w:top w:w="0" w:type="dxa"/>
                    <w:left w:w="0" w:type="dxa"/>
                    <w:bottom w:w="0" w:type="dxa"/>
                    <w:right w:w="0" w:type="dxa"/>
                  </w:tcMar>
                  <w:vAlign w:val="center"/>
                </w:tcPr>
                <w:p w14:paraId="2E893AD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SE</w:t>
                  </w:r>
                </w:p>
              </w:tc>
              <w:tc>
                <w:tcPr>
                  <w:tcW w:w="382" w:type="pct"/>
                  <w:tcBorders>
                    <w:tl2br w:val="nil"/>
                    <w:tr2bl w:val="nil"/>
                  </w:tcBorders>
                  <w:tcMar>
                    <w:top w:w="0" w:type="dxa"/>
                    <w:left w:w="0" w:type="dxa"/>
                    <w:bottom w:w="0" w:type="dxa"/>
                    <w:right w:w="0" w:type="dxa"/>
                  </w:tcMar>
                  <w:vAlign w:val="center"/>
                </w:tcPr>
                <w:p w14:paraId="169E076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6.1km</w:t>
                  </w:r>
                </w:p>
              </w:tc>
            </w:tr>
            <w:tr w14:paraId="35A812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vMerge w:val="continue"/>
                  <w:tcBorders>
                    <w:tl2br w:val="nil"/>
                    <w:tr2bl w:val="nil"/>
                  </w:tcBorders>
                  <w:tcMar>
                    <w:top w:w="0" w:type="dxa"/>
                    <w:left w:w="0" w:type="dxa"/>
                    <w:bottom w:w="0" w:type="dxa"/>
                    <w:right w:w="0" w:type="dxa"/>
                  </w:tcMar>
                  <w:vAlign w:val="center"/>
                </w:tcPr>
                <w:p w14:paraId="4A02CCA9">
                  <w:pPr>
                    <w:adjustRightInd w:val="0"/>
                    <w:snapToGrid w:val="0"/>
                    <w:jc w:val="center"/>
                    <w:rPr>
                      <w:rFonts w:hint="default" w:ascii="Times New Roman" w:hAnsi="Times New Roman" w:eastAsia="宋体" w:cs="Times New Roman"/>
                      <w:color w:val="auto"/>
                      <w:sz w:val="21"/>
                      <w:szCs w:val="21"/>
                      <w:highlight w:val="none"/>
                    </w:rPr>
                  </w:pPr>
                </w:p>
              </w:tc>
              <w:tc>
                <w:tcPr>
                  <w:tcW w:w="839" w:type="pct"/>
                  <w:tcBorders>
                    <w:tl2br w:val="nil"/>
                    <w:tr2bl w:val="nil"/>
                  </w:tcBorders>
                  <w:tcMar>
                    <w:top w:w="0" w:type="dxa"/>
                    <w:left w:w="0" w:type="dxa"/>
                    <w:bottom w:w="0" w:type="dxa"/>
                    <w:right w:w="0" w:type="dxa"/>
                  </w:tcMar>
                  <w:vAlign w:val="center"/>
                </w:tcPr>
                <w:p w14:paraId="5772872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119.596520</w:t>
                  </w:r>
                </w:p>
              </w:tc>
              <w:tc>
                <w:tcPr>
                  <w:tcW w:w="771" w:type="pct"/>
                  <w:tcBorders>
                    <w:tl2br w:val="nil"/>
                    <w:tr2bl w:val="nil"/>
                  </w:tcBorders>
                  <w:tcMar>
                    <w:top w:w="0" w:type="dxa"/>
                    <w:left w:w="0" w:type="dxa"/>
                    <w:bottom w:w="0" w:type="dxa"/>
                    <w:right w:w="0" w:type="dxa"/>
                  </w:tcMar>
                  <w:vAlign w:val="center"/>
                </w:tcPr>
                <w:p w14:paraId="167D583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31.793283</w:t>
                  </w:r>
                </w:p>
              </w:tc>
              <w:tc>
                <w:tcPr>
                  <w:tcW w:w="628" w:type="pct"/>
                  <w:tcBorders>
                    <w:tl2br w:val="nil"/>
                    <w:tr2bl w:val="nil"/>
                  </w:tcBorders>
                  <w:tcMar>
                    <w:top w:w="0" w:type="dxa"/>
                    <w:left w:w="0" w:type="dxa"/>
                    <w:bottom w:w="0" w:type="dxa"/>
                    <w:right w:w="0" w:type="dxa"/>
                  </w:tcMar>
                  <w:vAlign w:val="center"/>
                </w:tcPr>
                <w:p w14:paraId="612FF4A8">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丹金溧漕河（金坛区）洪水调蓄区</w:t>
                  </w:r>
                </w:p>
              </w:tc>
              <w:tc>
                <w:tcPr>
                  <w:tcW w:w="493" w:type="pct"/>
                  <w:tcBorders>
                    <w:tl2br w:val="nil"/>
                    <w:tr2bl w:val="nil"/>
                  </w:tcBorders>
                  <w:tcMar>
                    <w:top w:w="0" w:type="dxa"/>
                    <w:left w:w="0" w:type="dxa"/>
                    <w:bottom w:w="0" w:type="dxa"/>
                    <w:right w:w="0" w:type="dxa"/>
                  </w:tcMar>
                  <w:vAlign w:val="center"/>
                </w:tcPr>
                <w:p w14:paraId="12E93F9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洪水调蓄</w:t>
                  </w:r>
                </w:p>
              </w:tc>
              <w:tc>
                <w:tcPr>
                  <w:tcW w:w="1152" w:type="pct"/>
                  <w:vMerge w:val="continue"/>
                  <w:tcBorders>
                    <w:tl2br w:val="nil"/>
                    <w:tr2bl w:val="nil"/>
                  </w:tcBorders>
                  <w:tcMar>
                    <w:top w:w="0" w:type="dxa"/>
                    <w:left w:w="0" w:type="dxa"/>
                    <w:bottom w:w="0" w:type="dxa"/>
                    <w:right w:w="0" w:type="dxa"/>
                  </w:tcMar>
                  <w:vAlign w:val="center"/>
                </w:tcPr>
                <w:p w14:paraId="141CE0AB">
                  <w:pPr>
                    <w:adjustRightInd w:val="0"/>
                    <w:snapToGrid w:val="0"/>
                    <w:jc w:val="center"/>
                    <w:rPr>
                      <w:rFonts w:hint="default" w:ascii="Times New Roman" w:hAnsi="Times New Roman" w:eastAsia="宋体" w:cs="Times New Roman"/>
                      <w:color w:val="auto"/>
                      <w:sz w:val="21"/>
                      <w:szCs w:val="21"/>
                      <w:highlight w:val="none"/>
                    </w:rPr>
                  </w:pPr>
                </w:p>
              </w:tc>
              <w:tc>
                <w:tcPr>
                  <w:tcW w:w="370" w:type="pct"/>
                  <w:tcBorders>
                    <w:tl2br w:val="nil"/>
                    <w:tr2bl w:val="nil"/>
                  </w:tcBorders>
                  <w:tcMar>
                    <w:top w:w="0" w:type="dxa"/>
                    <w:left w:w="0" w:type="dxa"/>
                    <w:bottom w:w="0" w:type="dxa"/>
                    <w:right w:w="0" w:type="dxa"/>
                  </w:tcMar>
                  <w:vAlign w:val="center"/>
                </w:tcPr>
                <w:p w14:paraId="3CC5C634">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E</w:t>
                  </w:r>
                </w:p>
              </w:tc>
              <w:tc>
                <w:tcPr>
                  <w:tcW w:w="382" w:type="pct"/>
                  <w:tcBorders>
                    <w:tl2br w:val="nil"/>
                    <w:tr2bl w:val="nil"/>
                  </w:tcBorders>
                  <w:tcMar>
                    <w:top w:w="0" w:type="dxa"/>
                    <w:left w:w="0" w:type="dxa"/>
                    <w:bottom w:w="0" w:type="dxa"/>
                    <w:right w:w="0" w:type="dxa"/>
                  </w:tcMar>
                  <w:vAlign w:val="center"/>
                </w:tcPr>
                <w:p w14:paraId="297EA4C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9.2km</w:t>
                  </w:r>
                </w:p>
              </w:tc>
            </w:tr>
            <w:tr w14:paraId="011AD1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2" w:type="pct"/>
                  <w:tcBorders>
                    <w:tl2br w:val="nil"/>
                    <w:tr2bl w:val="nil"/>
                  </w:tcBorders>
                  <w:tcMar>
                    <w:top w:w="0" w:type="dxa"/>
                    <w:left w:w="0" w:type="dxa"/>
                    <w:bottom w:w="0" w:type="dxa"/>
                    <w:right w:w="0" w:type="dxa"/>
                  </w:tcMar>
                  <w:vAlign w:val="center"/>
                </w:tcPr>
                <w:p w14:paraId="7BD4EF6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731" w:type="pct"/>
                  <w:gridSpan w:val="4"/>
                  <w:tcBorders>
                    <w:tl2br w:val="nil"/>
                    <w:tr2bl w:val="nil"/>
                  </w:tcBorders>
                  <w:tcMar>
                    <w:top w:w="0" w:type="dxa"/>
                    <w:left w:w="0" w:type="dxa"/>
                    <w:bottom w:w="0" w:type="dxa"/>
                    <w:right w:w="0" w:type="dxa"/>
                  </w:tcMar>
                  <w:vAlign w:val="center"/>
                </w:tcPr>
                <w:p w14:paraId="59B3AA9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项目所在区域</w:t>
                  </w:r>
                  <w:r>
                    <w:rPr>
                      <w:rFonts w:hint="eastAsia" w:ascii="Times New Roman" w:hAnsi="Times New Roman" w:eastAsia="宋体" w:cs="Times New Roman"/>
                      <w:color w:val="auto"/>
                      <w:sz w:val="21"/>
                      <w:szCs w:val="21"/>
                      <w:highlight w:val="none"/>
                      <w:lang w:val="en-US" w:eastAsia="zh-CN"/>
                    </w:rPr>
                    <w:t>500</w:t>
                  </w:r>
                  <w:r>
                    <w:rPr>
                      <w:rFonts w:hint="eastAsia"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范围</w:t>
                  </w:r>
                </w:p>
              </w:tc>
              <w:tc>
                <w:tcPr>
                  <w:tcW w:w="1905" w:type="pct"/>
                  <w:gridSpan w:val="3"/>
                  <w:tcBorders>
                    <w:tl2br w:val="nil"/>
                    <w:tr2bl w:val="nil"/>
                  </w:tcBorders>
                  <w:tcMar>
                    <w:top w:w="0" w:type="dxa"/>
                    <w:left w:w="0" w:type="dxa"/>
                    <w:bottom w:w="0" w:type="dxa"/>
                    <w:right w:w="0" w:type="dxa"/>
                  </w:tcMar>
                  <w:vAlign w:val="center"/>
                </w:tcPr>
                <w:p w14:paraId="66940C4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本项目厂界外500米范围内无地下水集中式饮用水水源等特殊地下水资源</w:t>
                  </w:r>
                </w:p>
              </w:tc>
            </w:tr>
            <w:tr w14:paraId="10EF41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6C4036B0">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注：项目距离国控站点（金坛城区）直线距离约</w:t>
                  </w:r>
                  <w:r>
                    <w:rPr>
                      <w:rFonts w:hint="eastAsia" w:ascii="Times New Roman" w:hAnsi="Times New Roman" w:eastAsia="宋体" w:cs="Times New Roman"/>
                      <w:b/>
                      <w:bCs/>
                      <w:color w:val="auto"/>
                      <w:sz w:val="21"/>
                      <w:szCs w:val="21"/>
                      <w:highlight w:val="none"/>
                      <w:lang w:val="en-US" w:eastAsia="zh-CN"/>
                    </w:rPr>
                    <w:t>7.1</w:t>
                  </w:r>
                  <w:r>
                    <w:rPr>
                      <w:rFonts w:hint="default" w:ascii="Times New Roman" w:hAnsi="Times New Roman" w:eastAsia="宋体" w:cs="Times New Roman"/>
                      <w:b/>
                      <w:bCs/>
                      <w:color w:val="auto"/>
                      <w:sz w:val="21"/>
                      <w:szCs w:val="21"/>
                      <w:highlight w:val="none"/>
                      <w:lang w:val="en-US" w:eastAsia="zh-CN"/>
                    </w:rPr>
                    <w:t>km，距离省控站点（金坛监测站）</w:t>
                  </w:r>
                  <w:r>
                    <w:rPr>
                      <w:rFonts w:hint="eastAsia" w:ascii="Times New Roman" w:hAnsi="Times New Roman" w:eastAsia="宋体" w:cs="Times New Roman"/>
                      <w:b/>
                      <w:bCs/>
                      <w:color w:val="auto"/>
                      <w:sz w:val="21"/>
                      <w:szCs w:val="21"/>
                      <w:highlight w:val="none"/>
                      <w:lang w:val="en-US" w:eastAsia="zh-CN"/>
                    </w:rPr>
                    <w:t>6.4km</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不属于重点区域</w:t>
                  </w:r>
                  <w:r>
                    <w:rPr>
                      <w:rFonts w:hint="default" w:ascii="Times New Roman" w:hAnsi="Times New Roman" w:eastAsia="宋体" w:cs="Times New Roman"/>
                      <w:b/>
                      <w:bCs/>
                      <w:color w:val="auto"/>
                      <w:sz w:val="21"/>
                      <w:szCs w:val="21"/>
                      <w:highlight w:val="none"/>
                      <w:lang w:val="en-US" w:eastAsia="zh-CN"/>
                    </w:rPr>
                    <w:t>。</w:t>
                  </w:r>
                </w:p>
              </w:tc>
            </w:tr>
          </w:tbl>
          <w:p w14:paraId="765B6941">
            <w:pPr>
              <w:spacing w:line="360" w:lineRule="auto"/>
              <w:ind w:firstLine="480" w:firstLineChars="200"/>
              <w:rPr>
                <w:rFonts w:hint="default" w:ascii="Times New Roman" w:hAnsi="Times New Roman" w:eastAsia="宋体" w:cs="Times New Roman"/>
                <w:color w:val="auto"/>
                <w:sz w:val="24"/>
                <w:highlight w:val="none"/>
              </w:rPr>
            </w:pPr>
          </w:p>
          <w:p w14:paraId="455BC59C">
            <w:pPr>
              <w:spacing w:line="360" w:lineRule="auto"/>
              <w:rPr>
                <w:rFonts w:hint="default" w:ascii="Times New Roman" w:hAnsi="Times New Roman" w:eastAsia="宋体" w:cs="Times New Roman"/>
                <w:color w:val="auto"/>
                <w:sz w:val="24"/>
                <w:highlight w:val="none"/>
              </w:rPr>
            </w:pPr>
          </w:p>
        </w:tc>
      </w:tr>
      <w:tr w14:paraId="5867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0E8F928B">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污染物排放控制标准</w:t>
            </w:r>
          </w:p>
        </w:tc>
        <w:tc>
          <w:tcPr>
            <w:tcW w:w="4581" w:type="pct"/>
          </w:tcPr>
          <w:p w14:paraId="0779AF92">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1、废气</w:t>
            </w:r>
          </w:p>
          <w:p w14:paraId="667A1566">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本项目打</w:t>
            </w:r>
            <w:r>
              <w:rPr>
                <w:rFonts w:hint="eastAsia" w:ascii="Times New Roman" w:hAnsi="Times New Roman" w:eastAsia="宋体" w:cs="Times New Roman"/>
                <w:color w:val="auto"/>
                <w:sz w:val="24"/>
                <w:highlight w:val="none"/>
                <w:lang w:val="en-US" w:eastAsia="zh-CN"/>
              </w:rPr>
              <w:t>磨</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喷砂产生的颗粒物及打胶产生的非甲烷总烃有组织排放</w:t>
            </w:r>
            <w:r>
              <w:rPr>
                <w:rFonts w:hint="default" w:ascii="Times New Roman" w:hAnsi="Times New Roman" w:eastAsia="宋体" w:cs="Times New Roman"/>
                <w:color w:val="auto"/>
                <w:sz w:val="24"/>
                <w:highlight w:val="none"/>
              </w:rPr>
              <w:t>执行《大气污染物综合排放标准》(DB32/4041-2021)表1中相关标准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喷粉产生的颗粒物及固化产生的非甲烷总烃有组织排放执行</w:t>
            </w:r>
            <w:r>
              <w:rPr>
                <w:rFonts w:hint="default" w:ascii="Times New Roman" w:hAnsi="Times New Roman" w:eastAsia="宋体" w:cs="Times New Roman"/>
                <w:color w:val="auto"/>
                <w:sz w:val="24"/>
                <w:highlight w:val="none"/>
              </w:rPr>
              <w:t>《工业涂装工序大气污染物排放标准》(DB32/4</w:t>
            </w:r>
            <w:r>
              <w:rPr>
                <w:rFonts w:hint="eastAsia" w:ascii="Times New Roman" w:hAnsi="Times New Roman" w:eastAsia="宋体" w:cs="Times New Roman"/>
                <w:color w:val="auto"/>
                <w:sz w:val="24"/>
                <w:highlight w:val="none"/>
                <w:lang w:val="en-US" w:eastAsia="zh-CN"/>
              </w:rPr>
              <w:t>439</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)表1中相关标准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厂界非甲烷总烃、颗粒物</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NOx、SO</w:t>
            </w:r>
            <w:r>
              <w:rPr>
                <w:rFonts w:hint="eastAsia"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rPr>
              <w:t>无组织排放浓度执行《大气污染物综合排放标准》(DB32/4041-2021)中</w:t>
            </w:r>
            <w:r>
              <w:rPr>
                <w:rFonts w:hint="eastAsia" w:ascii="Times New Roman" w:hAnsi="Times New Roman" w:eastAsia="宋体" w:cs="Times New Roman"/>
                <w:color w:val="auto"/>
                <w:sz w:val="24"/>
                <w:highlight w:val="none"/>
                <w:lang w:val="en-US" w:eastAsia="zh-CN"/>
              </w:rPr>
              <w:t>表3排放</w:t>
            </w:r>
            <w:r>
              <w:rPr>
                <w:rFonts w:hint="default" w:ascii="Times New Roman" w:hAnsi="Times New Roman" w:eastAsia="宋体" w:cs="Times New Roman"/>
                <w:color w:val="auto"/>
                <w:sz w:val="24"/>
                <w:highlight w:val="none"/>
              </w:rPr>
              <w:t>限值</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厂区内非甲烷总烃无组织排放浓度执行《工业涂装工序大气污染物排放标准》(DB32/4</w:t>
            </w:r>
            <w:r>
              <w:rPr>
                <w:rFonts w:hint="eastAsia" w:ascii="Times New Roman" w:hAnsi="Times New Roman" w:eastAsia="宋体" w:cs="Times New Roman"/>
                <w:color w:val="auto"/>
                <w:sz w:val="24"/>
                <w:highlight w:val="none"/>
                <w:lang w:val="en-US" w:eastAsia="zh-CN"/>
              </w:rPr>
              <w:t>439</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lang w:val="en-US" w:eastAsia="zh-CN"/>
              </w:rPr>
              <w:t>表3排放</w:t>
            </w:r>
            <w:r>
              <w:rPr>
                <w:rFonts w:hint="default" w:ascii="Times New Roman" w:hAnsi="Times New Roman" w:eastAsia="宋体" w:cs="Times New Roman"/>
                <w:color w:val="auto"/>
                <w:sz w:val="24"/>
                <w:highlight w:val="none"/>
              </w:rPr>
              <w:t>限值</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天然气</w:t>
            </w:r>
            <w:r>
              <w:rPr>
                <w:rFonts w:hint="eastAsia" w:ascii="Times New Roman" w:hAnsi="Times New Roman" w:eastAsia="宋体" w:cs="Times New Roman"/>
                <w:color w:val="auto"/>
                <w:sz w:val="24"/>
                <w:highlight w:val="none"/>
                <w:lang w:val="en-US" w:eastAsia="zh-CN"/>
              </w:rPr>
              <w:t>燃烧</w:t>
            </w:r>
            <w:r>
              <w:rPr>
                <w:rFonts w:hint="default" w:ascii="Times New Roman" w:hAnsi="Times New Roman" w:eastAsia="宋体" w:cs="Times New Roman"/>
                <w:color w:val="auto"/>
                <w:sz w:val="24"/>
                <w:highlight w:val="none"/>
              </w:rPr>
              <w:t>废气（颗粒物、SO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x、烟气黑度）执行《工业炉窑大气污染物排放标准》(DB32/3728-2020)表1中大气污染物排放限值，工业炉窑无组织排放总悬浮颗粒物浓度限值按《工业炉窑大气污染物排放标准》(DB32/3728-2020)表3规定执行。标准值见下表。</w:t>
            </w:r>
          </w:p>
          <w:p w14:paraId="722A8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 xml:space="preserve">  大气污染物</w:t>
            </w:r>
            <w:r>
              <w:rPr>
                <w:rFonts w:hint="eastAsia" w:ascii="Times New Roman" w:hAnsi="Times New Roman" w:eastAsia="宋体" w:cs="Times New Roman"/>
                <w:b/>
                <w:bCs/>
                <w:color w:val="auto"/>
                <w:sz w:val="24"/>
                <w:szCs w:val="24"/>
                <w:highlight w:val="none"/>
                <w:lang w:val="en-US" w:eastAsia="zh-CN"/>
              </w:rPr>
              <w:t>有组织</w:t>
            </w:r>
            <w:r>
              <w:rPr>
                <w:rFonts w:hint="default" w:ascii="Times New Roman" w:hAnsi="Times New Roman" w:eastAsia="宋体" w:cs="Times New Roman"/>
                <w:b/>
                <w:bCs/>
                <w:color w:val="auto"/>
                <w:sz w:val="24"/>
                <w:szCs w:val="24"/>
                <w:highlight w:val="none"/>
                <w:lang w:val="en-US" w:eastAsia="zh-CN"/>
              </w:rPr>
              <w:t>排放标准</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089"/>
              <w:gridCol w:w="1283"/>
              <w:gridCol w:w="1525"/>
              <w:gridCol w:w="1323"/>
              <w:gridCol w:w="2214"/>
            </w:tblGrid>
            <w:tr w14:paraId="743B8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tcBorders>
                    <w:tl2br w:val="nil"/>
                    <w:tr2bl w:val="nil"/>
                  </w:tcBorders>
                  <w:noWrap w:val="0"/>
                  <w:vAlign w:val="center"/>
                </w:tcPr>
                <w:p w14:paraId="28EF5424">
                  <w:pPr>
                    <w:pStyle w:val="9"/>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排气筒</w:t>
                  </w:r>
                </w:p>
              </w:tc>
              <w:tc>
                <w:tcPr>
                  <w:tcW w:w="657" w:type="pct"/>
                  <w:tcBorders>
                    <w:tl2br w:val="nil"/>
                    <w:tr2bl w:val="nil"/>
                  </w:tcBorders>
                  <w:noWrap w:val="0"/>
                  <w:vAlign w:val="center"/>
                </w:tcPr>
                <w:p w14:paraId="440D28C5">
                  <w:pPr>
                    <w:pStyle w:val="9"/>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污染工段</w:t>
                  </w:r>
                </w:p>
              </w:tc>
              <w:tc>
                <w:tcPr>
                  <w:tcW w:w="774" w:type="pct"/>
                  <w:tcBorders>
                    <w:tl2br w:val="nil"/>
                    <w:tr2bl w:val="nil"/>
                  </w:tcBorders>
                  <w:noWrap w:val="0"/>
                  <w:vAlign w:val="center"/>
                </w:tcPr>
                <w:p w14:paraId="37212D1C">
                  <w:pPr>
                    <w:pStyle w:val="9"/>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tc>
              <w:tc>
                <w:tcPr>
                  <w:tcW w:w="920" w:type="pct"/>
                  <w:tcBorders>
                    <w:tl2br w:val="nil"/>
                    <w:tr2bl w:val="nil"/>
                  </w:tcBorders>
                  <w:noWrap w:val="0"/>
                  <w:vAlign w:val="center"/>
                </w:tcPr>
                <w:p w14:paraId="79C466E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rPr>
                    <w:t>最高允许排放浓度（</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kern w:val="2"/>
                      <w:sz w:val="21"/>
                      <w:szCs w:val="21"/>
                      <w:highlight w:val="none"/>
                    </w:rPr>
                    <w:t>）</w:t>
                  </w:r>
                </w:p>
              </w:tc>
              <w:tc>
                <w:tcPr>
                  <w:tcW w:w="797" w:type="pct"/>
                  <w:tcBorders>
                    <w:tl2br w:val="nil"/>
                    <w:tr2bl w:val="nil"/>
                  </w:tcBorders>
                  <w:noWrap w:val="0"/>
                  <w:vAlign w:val="center"/>
                </w:tcPr>
                <w:p w14:paraId="3E783DE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最高允许排放速率kg/h</w:t>
                  </w:r>
                </w:p>
              </w:tc>
              <w:tc>
                <w:tcPr>
                  <w:tcW w:w="1335" w:type="pct"/>
                  <w:tcBorders>
                    <w:tl2br w:val="nil"/>
                    <w:tr2bl w:val="nil"/>
                  </w:tcBorders>
                  <w:noWrap w:val="0"/>
                  <w:vAlign w:val="center"/>
                </w:tcPr>
                <w:p w14:paraId="39FC761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tc>
            </w:tr>
            <w:tr w14:paraId="329E6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tcBorders>
                    <w:tl2br w:val="nil"/>
                    <w:tr2bl w:val="nil"/>
                  </w:tcBorders>
                  <w:noWrap w:val="0"/>
                  <w:vAlign w:val="center"/>
                </w:tcPr>
                <w:p w14:paraId="7B73D5D4">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FQ-1</w:t>
                  </w:r>
                </w:p>
              </w:tc>
              <w:tc>
                <w:tcPr>
                  <w:tcW w:w="657" w:type="pct"/>
                  <w:tcBorders>
                    <w:tl2br w:val="nil"/>
                    <w:tr2bl w:val="nil"/>
                  </w:tcBorders>
                  <w:noWrap w:val="0"/>
                  <w:vAlign w:val="center"/>
                </w:tcPr>
                <w:p w14:paraId="0FF9B5F6">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打磨、喷砂、喷粉</w:t>
                  </w:r>
                </w:p>
              </w:tc>
              <w:tc>
                <w:tcPr>
                  <w:tcW w:w="774" w:type="pct"/>
                  <w:tcBorders>
                    <w:tl2br w:val="nil"/>
                    <w:tr2bl w:val="nil"/>
                  </w:tcBorders>
                  <w:noWrap w:val="0"/>
                  <w:vAlign w:val="center"/>
                </w:tcPr>
                <w:p w14:paraId="47589FC2">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颗粒物</w:t>
                  </w:r>
                </w:p>
              </w:tc>
              <w:tc>
                <w:tcPr>
                  <w:tcW w:w="920" w:type="pct"/>
                  <w:tcBorders>
                    <w:tl2br w:val="nil"/>
                    <w:tr2bl w:val="nil"/>
                  </w:tcBorders>
                  <w:shd w:val="clear" w:color="auto" w:fill="auto"/>
                  <w:noWrap w:val="0"/>
                  <w:vAlign w:val="center"/>
                </w:tcPr>
                <w:p w14:paraId="039F2CD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797" w:type="pct"/>
                  <w:tcBorders>
                    <w:tl2br w:val="nil"/>
                    <w:tr2bl w:val="nil"/>
                  </w:tcBorders>
                  <w:shd w:val="clear" w:color="auto" w:fill="auto"/>
                  <w:noWrap w:val="0"/>
                  <w:vAlign w:val="center"/>
                </w:tcPr>
                <w:p w14:paraId="633F996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0.4</w:t>
                  </w:r>
                </w:p>
              </w:tc>
              <w:tc>
                <w:tcPr>
                  <w:tcW w:w="1335" w:type="pct"/>
                  <w:tcBorders>
                    <w:tl2br w:val="nil"/>
                    <w:tr2bl w:val="nil"/>
                  </w:tcBorders>
                  <w:noWrap w:val="0"/>
                  <w:vAlign w:val="center"/>
                </w:tcPr>
                <w:p w14:paraId="3F77C27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001FD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restart"/>
                  <w:tcBorders>
                    <w:tl2br w:val="nil"/>
                    <w:tr2bl w:val="nil"/>
                  </w:tcBorders>
                  <w:noWrap w:val="0"/>
                  <w:vAlign w:val="center"/>
                </w:tcPr>
                <w:p w14:paraId="13E93FCD">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FQ-2</w:t>
                  </w:r>
                </w:p>
              </w:tc>
              <w:tc>
                <w:tcPr>
                  <w:tcW w:w="657" w:type="pct"/>
                  <w:vMerge w:val="restart"/>
                  <w:tcBorders>
                    <w:tl2br w:val="nil"/>
                    <w:tr2bl w:val="nil"/>
                  </w:tcBorders>
                  <w:shd w:val="clear" w:color="auto" w:fill="auto"/>
                  <w:noWrap w:val="0"/>
                  <w:vAlign w:val="center"/>
                </w:tcPr>
                <w:p w14:paraId="39D11DBF">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天然气燃烧</w:t>
                  </w:r>
                </w:p>
              </w:tc>
              <w:tc>
                <w:tcPr>
                  <w:tcW w:w="774" w:type="pct"/>
                  <w:tcBorders>
                    <w:tl2br w:val="nil"/>
                    <w:tr2bl w:val="nil"/>
                  </w:tcBorders>
                  <w:shd w:val="clear" w:color="auto" w:fill="auto"/>
                  <w:noWrap w:val="0"/>
                  <w:vAlign w:val="center"/>
                </w:tcPr>
                <w:p w14:paraId="324A9F27">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颗粒物</w:t>
                  </w:r>
                </w:p>
              </w:tc>
              <w:tc>
                <w:tcPr>
                  <w:tcW w:w="920" w:type="pct"/>
                  <w:tcBorders>
                    <w:tl2br w:val="nil"/>
                    <w:tr2bl w:val="nil"/>
                  </w:tcBorders>
                  <w:shd w:val="clear" w:color="auto" w:fill="auto"/>
                  <w:noWrap w:val="0"/>
                  <w:vAlign w:val="center"/>
                </w:tcPr>
                <w:p w14:paraId="32DC8B62">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797" w:type="pct"/>
                  <w:tcBorders>
                    <w:tl2br w:val="nil"/>
                    <w:tr2bl w:val="nil"/>
                  </w:tcBorders>
                  <w:shd w:val="clear" w:color="auto" w:fill="auto"/>
                  <w:noWrap w:val="0"/>
                  <w:vAlign w:val="center"/>
                </w:tcPr>
                <w:p w14:paraId="02C80C79">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1335" w:type="pct"/>
                  <w:vMerge w:val="restart"/>
                  <w:tcBorders>
                    <w:tl2br w:val="nil"/>
                    <w:tr2bl w:val="nil"/>
                  </w:tcBorders>
                  <w:noWrap w:val="0"/>
                  <w:vAlign w:val="center"/>
                </w:tcPr>
                <w:p w14:paraId="3857313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《工业炉窑大气污染物排放标准》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DB32/3728-2020</w:t>
                  </w:r>
                  <w:r>
                    <w:rPr>
                      <w:rFonts w:hint="eastAsia" w:ascii="Times New Roman" w:hAnsi="Times New Roman" w:eastAsia="宋体" w:cs="Times New Roman"/>
                      <w:bCs/>
                      <w:color w:val="auto"/>
                      <w:sz w:val="21"/>
                      <w:szCs w:val="21"/>
                      <w:highlight w:val="none"/>
                      <w:lang w:val="en-US" w:eastAsia="zh-CN"/>
                    </w:rPr>
                    <w:t>）</w:t>
                  </w:r>
                </w:p>
              </w:tc>
            </w:tr>
            <w:tr w14:paraId="7C343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continue"/>
                  <w:tcBorders>
                    <w:tl2br w:val="nil"/>
                    <w:tr2bl w:val="nil"/>
                  </w:tcBorders>
                  <w:noWrap w:val="0"/>
                  <w:vAlign w:val="center"/>
                </w:tcPr>
                <w:p w14:paraId="4C566F15">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p>
              </w:tc>
              <w:tc>
                <w:tcPr>
                  <w:tcW w:w="657" w:type="pct"/>
                  <w:vMerge w:val="continue"/>
                  <w:tcBorders>
                    <w:tl2br w:val="nil"/>
                    <w:tr2bl w:val="nil"/>
                  </w:tcBorders>
                  <w:shd w:val="clear" w:color="auto" w:fill="auto"/>
                  <w:noWrap w:val="0"/>
                  <w:vAlign w:val="center"/>
                </w:tcPr>
                <w:p w14:paraId="62BA2442">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p>
              </w:tc>
              <w:tc>
                <w:tcPr>
                  <w:tcW w:w="774" w:type="pct"/>
                  <w:tcBorders>
                    <w:tl2br w:val="nil"/>
                    <w:tr2bl w:val="nil"/>
                  </w:tcBorders>
                  <w:shd w:val="clear" w:color="auto" w:fill="auto"/>
                  <w:noWrap w:val="0"/>
                  <w:vAlign w:val="center"/>
                </w:tcPr>
                <w:p w14:paraId="68A8D4C9">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SO</w:t>
                  </w:r>
                  <w:r>
                    <w:rPr>
                      <w:rFonts w:hint="default" w:ascii="Times New Roman" w:hAnsi="Times New Roman" w:eastAsia="宋体" w:cs="Times New Roman"/>
                      <w:color w:val="auto"/>
                      <w:kern w:val="2"/>
                      <w:sz w:val="21"/>
                      <w:szCs w:val="21"/>
                      <w:highlight w:val="none"/>
                      <w:u w:val="none"/>
                      <w:shd w:val="clear" w:color="auto" w:fill="auto"/>
                      <w:vertAlign w:val="subscript"/>
                      <w:lang w:val="en-US" w:eastAsia="zh-CN" w:bidi="ar-SA"/>
                    </w:rPr>
                    <w:t>2</w:t>
                  </w:r>
                </w:p>
              </w:tc>
              <w:tc>
                <w:tcPr>
                  <w:tcW w:w="920" w:type="pct"/>
                  <w:tcBorders>
                    <w:tl2br w:val="nil"/>
                    <w:tr2bl w:val="nil"/>
                  </w:tcBorders>
                  <w:shd w:val="clear" w:color="auto" w:fill="auto"/>
                  <w:noWrap w:val="0"/>
                  <w:vAlign w:val="center"/>
                </w:tcPr>
                <w:p w14:paraId="65AFA97C">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w:t>
                  </w:r>
                </w:p>
              </w:tc>
              <w:tc>
                <w:tcPr>
                  <w:tcW w:w="797" w:type="pct"/>
                  <w:tcBorders>
                    <w:tl2br w:val="nil"/>
                    <w:tr2bl w:val="nil"/>
                  </w:tcBorders>
                  <w:shd w:val="clear" w:color="auto" w:fill="auto"/>
                  <w:noWrap w:val="0"/>
                  <w:vAlign w:val="center"/>
                </w:tcPr>
                <w:p w14:paraId="260CF6E5">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1335" w:type="pct"/>
                  <w:vMerge w:val="continue"/>
                  <w:tcBorders>
                    <w:tl2br w:val="nil"/>
                    <w:tr2bl w:val="nil"/>
                  </w:tcBorders>
                  <w:noWrap w:val="0"/>
                  <w:vAlign w:val="center"/>
                </w:tcPr>
                <w:p w14:paraId="5189B15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14:paraId="4277C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continue"/>
                  <w:tcBorders>
                    <w:tl2br w:val="nil"/>
                    <w:tr2bl w:val="nil"/>
                  </w:tcBorders>
                  <w:noWrap w:val="0"/>
                  <w:vAlign w:val="center"/>
                </w:tcPr>
                <w:p w14:paraId="3D92428C">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657" w:type="pct"/>
                  <w:vMerge w:val="continue"/>
                  <w:tcBorders>
                    <w:tl2br w:val="nil"/>
                    <w:tr2bl w:val="nil"/>
                  </w:tcBorders>
                  <w:shd w:val="clear" w:color="auto" w:fill="auto"/>
                  <w:noWrap w:val="0"/>
                  <w:vAlign w:val="center"/>
                </w:tcPr>
                <w:p w14:paraId="5C89E5AA">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74" w:type="pct"/>
                  <w:tcBorders>
                    <w:tl2br w:val="nil"/>
                    <w:tr2bl w:val="nil"/>
                  </w:tcBorders>
                  <w:shd w:val="clear" w:color="auto" w:fill="auto"/>
                  <w:noWrap w:val="0"/>
                  <w:vAlign w:val="center"/>
                </w:tcPr>
                <w:p w14:paraId="7319B500">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NOx</w:t>
                  </w:r>
                </w:p>
              </w:tc>
              <w:tc>
                <w:tcPr>
                  <w:tcW w:w="920" w:type="pct"/>
                  <w:tcBorders>
                    <w:tl2br w:val="nil"/>
                    <w:tr2bl w:val="nil"/>
                  </w:tcBorders>
                  <w:shd w:val="clear" w:color="auto" w:fill="auto"/>
                  <w:noWrap w:val="0"/>
                  <w:vAlign w:val="center"/>
                </w:tcPr>
                <w:p w14:paraId="630A4DF9">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80</w:t>
                  </w:r>
                </w:p>
              </w:tc>
              <w:tc>
                <w:tcPr>
                  <w:tcW w:w="797" w:type="pct"/>
                  <w:tcBorders>
                    <w:tl2br w:val="nil"/>
                    <w:tr2bl w:val="nil"/>
                  </w:tcBorders>
                  <w:shd w:val="clear" w:color="auto" w:fill="auto"/>
                  <w:noWrap w:val="0"/>
                  <w:vAlign w:val="center"/>
                </w:tcPr>
                <w:p w14:paraId="1F11E1E9">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1335" w:type="pct"/>
                  <w:vMerge w:val="continue"/>
                  <w:tcBorders>
                    <w:tl2br w:val="nil"/>
                    <w:tr2bl w:val="nil"/>
                  </w:tcBorders>
                  <w:noWrap w:val="0"/>
                  <w:vAlign w:val="center"/>
                </w:tcPr>
                <w:p w14:paraId="4AC5D35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14:paraId="5656F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continue"/>
                  <w:tcBorders>
                    <w:tl2br w:val="nil"/>
                    <w:tr2bl w:val="nil"/>
                  </w:tcBorders>
                  <w:noWrap w:val="0"/>
                  <w:vAlign w:val="center"/>
                </w:tcPr>
                <w:p w14:paraId="4AF48FD5">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657" w:type="pct"/>
                  <w:vMerge w:val="continue"/>
                  <w:tcBorders>
                    <w:tl2br w:val="nil"/>
                    <w:tr2bl w:val="nil"/>
                  </w:tcBorders>
                  <w:shd w:val="clear" w:color="auto" w:fill="auto"/>
                  <w:noWrap w:val="0"/>
                  <w:vAlign w:val="center"/>
                </w:tcPr>
                <w:p w14:paraId="65BE7D23">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74" w:type="pct"/>
                  <w:tcBorders>
                    <w:tl2br w:val="nil"/>
                    <w:tr2bl w:val="nil"/>
                  </w:tcBorders>
                  <w:shd w:val="clear" w:color="auto" w:fill="auto"/>
                  <w:noWrap w:val="0"/>
                  <w:vAlign w:val="center"/>
                </w:tcPr>
                <w:p w14:paraId="531F5D9A">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烟气黑度</w:t>
                  </w:r>
                </w:p>
              </w:tc>
              <w:tc>
                <w:tcPr>
                  <w:tcW w:w="920" w:type="pct"/>
                  <w:tcBorders>
                    <w:tl2br w:val="nil"/>
                    <w:tr2bl w:val="nil"/>
                  </w:tcBorders>
                  <w:shd w:val="clear" w:color="auto" w:fill="auto"/>
                  <w:noWrap w:val="0"/>
                  <w:vAlign w:val="center"/>
                </w:tcPr>
                <w:p w14:paraId="291AE015">
                  <w:pPr>
                    <w:widowControl/>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林格曼黑度1级</w:t>
                  </w:r>
                </w:p>
              </w:tc>
              <w:tc>
                <w:tcPr>
                  <w:tcW w:w="797" w:type="pct"/>
                  <w:tcBorders>
                    <w:tl2br w:val="nil"/>
                    <w:tr2bl w:val="nil"/>
                  </w:tcBorders>
                  <w:shd w:val="clear" w:color="auto" w:fill="auto"/>
                  <w:noWrap w:val="0"/>
                  <w:vAlign w:val="center"/>
                </w:tcPr>
                <w:p w14:paraId="073B8CD2">
                  <w:pPr>
                    <w:widowControl/>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1335" w:type="pct"/>
                  <w:vMerge w:val="continue"/>
                  <w:tcBorders>
                    <w:tl2br w:val="nil"/>
                    <w:tr2bl w:val="nil"/>
                  </w:tcBorders>
                  <w:noWrap w:val="0"/>
                  <w:vAlign w:val="center"/>
                </w:tcPr>
                <w:p w14:paraId="09A409E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14:paraId="0B487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continue"/>
                  <w:tcBorders>
                    <w:tl2br w:val="nil"/>
                    <w:tr2bl w:val="nil"/>
                  </w:tcBorders>
                  <w:noWrap w:val="0"/>
                  <w:vAlign w:val="center"/>
                </w:tcPr>
                <w:p w14:paraId="25834058">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657" w:type="pct"/>
                  <w:vMerge w:val="continue"/>
                  <w:tcBorders>
                    <w:tl2br w:val="nil"/>
                    <w:tr2bl w:val="nil"/>
                  </w:tcBorders>
                  <w:shd w:val="clear" w:color="auto" w:fill="auto"/>
                  <w:noWrap w:val="0"/>
                  <w:vAlign w:val="center"/>
                </w:tcPr>
                <w:p w14:paraId="076D7EB7">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492" w:type="pct"/>
                  <w:gridSpan w:val="3"/>
                  <w:tcBorders>
                    <w:tl2br w:val="nil"/>
                    <w:tr2bl w:val="nil"/>
                  </w:tcBorders>
                  <w:shd w:val="clear" w:color="auto" w:fill="auto"/>
                  <w:noWrap w:val="0"/>
                  <w:vAlign w:val="center"/>
                </w:tcPr>
                <w:p w14:paraId="26DB4793">
                  <w:pPr>
                    <w:widowControl/>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干烟气基准氧含量（Q</w:t>
                  </w:r>
                  <w:r>
                    <w:rPr>
                      <w:rFonts w:hint="eastAsia" w:ascii="Times New Roman" w:hAnsi="Times New Roman" w:eastAsia="宋体" w:cs="Times New Roman"/>
                      <w:color w:val="auto"/>
                      <w:kern w:val="2"/>
                      <w:sz w:val="21"/>
                      <w:szCs w:val="21"/>
                      <w:highlight w:val="none"/>
                      <w:u w:val="none"/>
                      <w:shd w:val="clear" w:color="auto" w:fill="auto"/>
                      <w:vertAlign w:val="subscript"/>
                      <w:lang w:val="en-US" w:eastAsia="zh-CN" w:bidi="ar-SA"/>
                    </w:rPr>
                    <w:t>基</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）9%</w:t>
                  </w:r>
                </w:p>
              </w:tc>
              <w:tc>
                <w:tcPr>
                  <w:tcW w:w="1335" w:type="pct"/>
                  <w:vMerge w:val="continue"/>
                  <w:tcBorders>
                    <w:tl2br w:val="nil"/>
                    <w:tr2bl w:val="nil"/>
                  </w:tcBorders>
                  <w:noWrap w:val="0"/>
                  <w:vAlign w:val="center"/>
                </w:tcPr>
                <w:p w14:paraId="71CCC0A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r w14:paraId="50B09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vMerge w:val="continue"/>
                  <w:tcBorders>
                    <w:tl2br w:val="nil"/>
                    <w:tr2bl w:val="nil"/>
                  </w:tcBorders>
                  <w:noWrap w:val="0"/>
                  <w:vAlign w:val="center"/>
                </w:tcPr>
                <w:p w14:paraId="3A130C58">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657" w:type="pct"/>
                  <w:tcBorders>
                    <w:tl2br w:val="nil"/>
                    <w:tr2bl w:val="nil"/>
                  </w:tcBorders>
                  <w:noWrap w:val="0"/>
                  <w:vAlign w:val="center"/>
                </w:tcPr>
                <w:p w14:paraId="336C4926">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w:t>
                  </w:r>
                </w:p>
              </w:tc>
              <w:tc>
                <w:tcPr>
                  <w:tcW w:w="774" w:type="pct"/>
                  <w:tcBorders>
                    <w:tl2br w:val="nil"/>
                    <w:tr2bl w:val="nil"/>
                  </w:tcBorders>
                  <w:noWrap w:val="0"/>
                  <w:vAlign w:val="center"/>
                </w:tcPr>
                <w:p w14:paraId="32921ECF">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920" w:type="pct"/>
                  <w:tcBorders>
                    <w:tl2br w:val="nil"/>
                    <w:tr2bl w:val="nil"/>
                  </w:tcBorders>
                  <w:shd w:val="clear" w:color="auto" w:fill="auto"/>
                  <w:noWrap w:val="0"/>
                  <w:vAlign w:val="center"/>
                </w:tcPr>
                <w:p w14:paraId="3AF45B90">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p>
              </w:tc>
              <w:tc>
                <w:tcPr>
                  <w:tcW w:w="797" w:type="pct"/>
                  <w:tcBorders>
                    <w:tl2br w:val="nil"/>
                    <w:tr2bl w:val="nil"/>
                  </w:tcBorders>
                  <w:shd w:val="clear" w:color="auto" w:fill="auto"/>
                  <w:noWrap w:val="0"/>
                  <w:vAlign w:val="center"/>
                </w:tcPr>
                <w:p w14:paraId="385535A4">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1335" w:type="pct"/>
                  <w:tcBorders>
                    <w:tl2br w:val="nil"/>
                    <w:tr2bl w:val="nil"/>
                  </w:tcBorders>
                  <w:noWrap w:val="0"/>
                  <w:vAlign w:val="center"/>
                </w:tcPr>
                <w:p w14:paraId="13F5BF6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4FCC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4" w:type="pct"/>
                  <w:tcBorders>
                    <w:tl2br w:val="nil"/>
                    <w:tr2bl w:val="nil"/>
                  </w:tcBorders>
                  <w:shd w:val="clear" w:color="auto" w:fill="auto"/>
                  <w:noWrap w:val="0"/>
                  <w:vAlign w:val="center"/>
                </w:tcPr>
                <w:p w14:paraId="510604CA">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FQ-3</w:t>
                  </w:r>
                </w:p>
              </w:tc>
              <w:tc>
                <w:tcPr>
                  <w:tcW w:w="657" w:type="pct"/>
                  <w:tcBorders>
                    <w:tl2br w:val="nil"/>
                    <w:tr2bl w:val="nil"/>
                  </w:tcBorders>
                  <w:shd w:val="clear" w:color="auto" w:fill="auto"/>
                  <w:noWrap w:val="0"/>
                  <w:vAlign w:val="center"/>
                </w:tcPr>
                <w:p w14:paraId="4C859165">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打胶</w:t>
                  </w:r>
                </w:p>
              </w:tc>
              <w:tc>
                <w:tcPr>
                  <w:tcW w:w="774" w:type="pct"/>
                  <w:tcBorders>
                    <w:tl2br w:val="nil"/>
                    <w:tr2bl w:val="nil"/>
                  </w:tcBorders>
                  <w:shd w:val="clear" w:color="auto" w:fill="auto"/>
                  <w:noWrap w:val="0"/>
                  <w:vAlign w:val="center"/>
                </w:tcPr>
                <w:p w14:paraId="7643160E">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w:t>
                  </w:r>
                </w:p>
              </w:tc>
              <w:tc>
                <w:tcPr>
                  <w:tcW w:w="920" w:type="pct"/>
                  <w:tcBorders>
                    <w:tl2br w:val="nil"/>
                    <w:tr2bl w:val="nil"/>
                  </w:tcBorders>
                  <w:shd w:val="clear" w:color="auto" w:fill="auto"/>
                  <w:noWrap w:val="0"/>
                  <w:vAlign w:val="center"/>
                </w:tcPr>
                <w:p w14:paraId="23D49F56">
                  <w:pPr>
                    <w:widowControl/>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w:t>
                  </w:r>
                </w:p>
              </w:tc>
              <w:tc>
                <w:tcPr>
                  <w:tcW w:w="797" w:type="pct"/>
                  <w:tcBorders>
                    <w:tl2br w:val="nil"/>
                    <w:tr2bl w:val="nil"/>
                  </w:tcBorders>
                  <w:shd w:val="clear" w:color="auto" w:fill="auto"/>
                  <w:noWrap w:val="0"/>
                  <w:vAlign w:val="center"/>
                </w:tcPr>
                <w:p w14:paraId="1D2FD9A9">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1335" w:type="pct"/>
                  <w:tcBorders>
                    <w:tl2br w:val="nil"/>
                    <w:tr2bl w:val="nil"/>
                  </w:tcBorders>
                  <w:noWrap w:val="0"/>
                  <w:vAlign w:val="center"/>
                </w:tcPr>
                <w:p w14:paraId="6B18199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《大气污染物综合排放标准》（DB32/4041-2021）</w:t>
                  </w:r>
                </w:p>
              </w:tc>
            </w:tr>
          </w:tbl>
          <w:p w14:paraId="0702FA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注：由于打磨、喷砂废气与喷粉废气混合排放，因此FQ-1排气筒的颗粒物有组织排放从严执行</w:t>
            </w:r>
            <w:r>
              <w:rPr>
                <w:rFonts w:hint="default" w:ascii="Times New Roman" w:hAnsi="Times New Roman" w:eastAsia="宋体" w:cs="Times New Roman"/>
                <w:b w:val="0"/>
                <w:bCs w:val="0"/>
                <w:color w:val="auto"/>
                <w:sz w:val="21"/>
                <w:szCs w:val="21"/>
                <w:highlight w:val="none"/>
                <w:lang w:val="en-US" w:eastAsia="zh-CN"/>
              </w:rPr>
              <w:t>《工业涂装工序大气污染物排放标准》(DB32/4439-2022)</w:t>
            </w:r>
            <w:r>
              <w:rPr>
                <w:rFonts w:hint="eastAsia" w:ascii="Times New Roman" w:hAnsi="Times New Roman" w:eastAsia="宋体" w:cs="Times New Roman"/>
                <w:b w:val="0"/>
                <w:bCs w:val="0"/>
                <w:color w:val="auto"/>
                <w:sz w:val="21"/>
                <w:szCs w:val="21"/>
                <w:highlight w:val="none"/>
                <w:lang w:val="en-US" w:eastAsia="zh-CN"/>
              </w:rPr>
              <w:t>表1标准。</w:t>
            </w:r>
          </w:p>
          <w:p w14:paraId="5610FD94">
            <w:pPr>
              <w:pStyle w:val="82"/>
              <w:rPr>
                <w:color w:val="auto"/>
                <w:sz w:val="24"/>
                <w:szCs w:val="24"/>
              </w:rPr>
            </w:pPr>
            <w:r>
              <w:rPr>
                <w:color w:val="auto"/>
                <w:sz w:val="24"/>
                <w:szCs w:val="24"/>
              </w:rPr>
              <w:t>表</w:t>
            </w:r>
            <w:r>
              <w:rPr>
                <w:rFonts w:hint="eastAsia"/>
                <w:color w:val="auto"/>
                <w:sz w:val="24"/>
                <w:szCs w:val="24"/>
                <w:lang w:val="en-US" w:eastAsia="zh-CN"/>
              </w:rPr>
              <w:t>3</w:t>
            </w:r>
            <w:r>
              <w:rPr>
                <w:rFonts w:hint="eastAsia"/>
                <w:color w:val="auto"/>
                <w:sz w:val="24"/>
                <w:szCs w:val="24"/>
              </w:rPr>
              <w:t>-</w:t>
            </w:r>
            <w:r>
              <w:rPr>
                <w:rFonts w:hint="eastAsia"/>
                <w:color w:val="auto"/>
                <w:sz w:val="24"/>
                <w:szCs w:val="24"/>
                <w:lang w:val="en-US" w:eastAsia="zh-CN"/>
              </w:rPr>
              <w:t>7</w:t>
            </w:r>
            <w:r>
              <w:rPr>
                <w:rFonts w:hint="eastAsia" w:ascii="宋体" w:hAnsi="宋体" w:cs="宋体"/>
                <w:color w:val="auto"/>
                <w:sz w:val="24"/>
                <w:szCs w:val="24"/>
              </w:rPr>
              <w:t xml:space="preserve">  </w:t>
            </w:r>
            <w:r>
              <w:rPr>
                <w:rFonts w:hint="eastAsia"/>
                <w:color w:val="auto"/>
                <w:sz w:val="24"/>
                <w:szCs w:val="24"/>
              </w:rPr>
              <w:t>厂界无组织废气污染物排放监控浓度限值</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6"/>
              <w:gridCol w:w="1964"/>
              <w:gridCol w:w="1918"/>
              <w:gridCol w:w="3048"/>
            </w:tblGrid>
            <w:tr w14:paraId="5E361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vMerge w:val="restart"/>
                  <w:tcBorders>
                    <w:tl2br w:val="nil"/>
                    <w:tr2bl w:val="nil"/>
                  </w:tcBorders>
                  <w:noWrap w:val="0"/>
                  <w:vAlign w:val="center"/>
                </w:tcPr>
                <w:p w14:paraId="3C846F46">
                  <w:pPr>
                    <w:pStyle w:val="76"/>
                    <w:rPr>
                      <w:rFonts w:hint="eastAsia"/>
                      <w:b/>
                      <w:bCs/>
                      <w:color w:val="auto"/>
                      <w:sz w:val="21"/>
                      <w:szCs w:val="21"/>
                    </w:rPr>
                  </w:pPr>
                  <w:r>
                    <w:rPr>
                      <w:rFonts w:hint="eastAsia"/>
                      <w:b/>
                      <w:bCs/>
                      <w:color w:val="auto"/>
                      <w:sz w:val="21"/>
                      <w:szCs w:val="21"/>
                    </w:rPr>
                    <w:t>污染物名称</w:t>
                  </w:r>
                </w:p>
              </w:tc>
              <w:tc>
                <w:tcPr>
                  <w:tcW w:w="2342" w:type="pct"/>
                  <w:gridSpan w:val="2"/>
                  <w:tcBorders>
                    <w:tl2br w:val="nil"/>
                    <w:tr2bl w:val="nil"/>
                  </w:tcBorders>
                  <w:noWrap w:val="0"/>
                  <w:vAlign w:val="center"/>
                </w:tcPr>
                <w:p w14:paraId="44667D71">
                  <w:pPr>
                    <w:pStyle w:val="76"/>
                    <w:rPr>
                      <w:rFonts w:hint="eastAsia"/>
                      <w:b/>
                      <w:bCs/>
                      <w:color w:val="auto"/>
                      <w:sz w:val="21"/>
                      <w:szCs w:val="21"/>
                    </w:rPr>
                  </w:pPr>
                  <w:r>
                    <w:rPr>
                      <w:rFonts w:hint="eastAsia"/>
                      <w:b/>
                      <w:bCs/>
                      <w:color w:val="auto"/>
                      <w:sz w:val="21"/>
                      <w:szCs w:val="21"/>
                    </w:rPr>
                    <w:t>无组织排放监控浓度限值</w:t>
                  </w:r>
                </w:p>
              </w:tc>
              <w:tc>
                <w:tcPr>
                  <w:tcW w:w="1839" w:type="pct"/>
                  <w:vMerge w:val="restart"/>
                  <w:tcBorders>
                    <w:tl2br w:val="nil"/>
                    <w:tr2bl w:val="nil"/>
                  </w:tcBorders>
                  <w:noWrap w:val="0"/>
                  <w:vAlign w:val="center"/>
                </w:tcPr>
                <w:p w14:paraId="556AF62B">
                  <w:pPr>
                    <w:pStyle w:val="76"/>
                    <w:rPr>
                      <w:rFonts w:hint="eastAsia"/>
                      <w:b/>
                      <w:bCs/>
                      <w:color w:val="auto"/>
                      <w:sz w:val="21"/>
                      <w:szCs w:val="21"/>
                    </w:rPr>
                  </w:pPr>
                  <w:r>
                    <w:rPr>
                      <w:rFonts w:hint="eastAsia"/>
                      <w:b/>
                      <w:bCs/>
                      <w:color w:val="auto"/>
                      <w:sz w:val="21"/>
                      <w:szCs w:val="21"/>
                    </w:rPr>
                    <w:t>标准</w:t>
                  </w:r>
                </w:p>
              </w:tc>
            </w:tr>
            <w:tr w14:paraId="501EB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vMerge w:val="continue"/>
                  <w:tcBorders>
                    <w:tl2br w:val="nil"/>
                    <w:tr2bl w:val="nil"/>
                  </w:tcBorders>
                  <w:noWrap w:val="0"/>
                  <w:vAlign w:val="center"/>
                </w:tcPr>
                <w:p w14:paraId="4154F787">
                  <w:pPr>
                    <w:pStyle w:val="76"/>
                    <w:rPr>
                      <w:rFonts w:hint="eastAsia"/>
                      <w:b/>
                      <w:bCs/>
                      <w:color w:val="auto"/>
                      <w:sz w:val="21"/>
                      <w:szCs w:val="21"/>
                    </w:rPr>
                  </w:pPr>
                </w:p>
              </w:tc>
              <w:tc>
                <w:tcPr>
                  <w:tcW w:w="1185" w:type="pct"/>
                  <w:tcBorders>
                    <w:tl2br w:val="nil"/>
                    <w:tr2bl w:val="nil"/>
                  </w:tcBorders>
                  <w:noWrap w:val="0"/>
                  <w:vAlign w:val="center"/>
                </w:tcPr>
                <w:p w14:paraId="70CFFEAE">
                  <w:pPr>
                    <w:pStyle w:val="76"/>
                    <w:rPr>
                      <w:rFonts w:hint="eastAsia"/>
                      <w:b/>
                      <w:bCs/>
                      <w:color w:val="auto"/>
                      <w:sz w:val="21"/>
                      <w:szCs w:val="21"/>
                    </w:rPr>
                  </w:pPr>
                  <w:r>
                    <w:rPr>
                      <w:rFonts w:hint="eastAsia"/>
                      <w:b/>
                      <w:bCs/>
                      <w:color w:val="auto"/>
                      <w:sz w:val="21"/>
                      <w:szCs w:val="21"/>
                    </w:rPr>
                    <w:t>监控位置</w:t>
                  </w:r>
                </w:p>
              </w:tc>
              <w:tc>
                <w:tcPr>
                  <w:tcW w:w="1157" w:type="pct"/>
                  <w:tcBorders>
                    <w:tl2br w:val="nil"/>
                    <w:tr2bl w:val="nil"/>
                  </w:tcBorders>
                  <w:noWrap w:val="0"/>
                  <w:vAlign w:val="center"/>
                </w:tcPr>
                <w:p w14:paraId="4D6CE397">
                  <w:pPr>
                    <w:pStyle w:val="76"/>
                    <w:rPr>
                      <w:rFonts w:hint="eastAsia"/>
                      <w:b/>
                      <w:bCs/>
                      <w:color w:val="auto"/>
                      <w:sz w:val="21"/>
                      <w:szCs w:val="21"/>
                    </w:rPr>
                  </w:pPr>
                  <w:r>
                    <w:rPr>
                      <w:rFonts w:hint="eastAsia"/>
                      <w:b/>
                      <w:bCs/>
                      <w:color w:val="auto"/>
                      <w:sz w:val="21"/>
                      <w:szCs w:val="21"/>
                    </w:rPr>
                    <w:t>浓度（mg/m</w:t>
                  </w:r>
                  <w:r>
                    <w:rPr>
                      <w:rFonts w:hint="eastAsia"/>
                      <w:b/>
                      <w:bCs/>
                      <w:color w:val="auto"/>
                      <w:sz w:val="21"/>
                      <w:szCs w:val="21"/>
                      <w:vertAlign w:val="superscript"/>
                    </w:rPr>
                    <w:t>3</w:t>
                  </w:r>
                  <w:r>
                    <w:rPr>
                      <w:rFonts w:hint="eastAsia"/>
                      <w:b/>
                      <w:bCs/>
                      <w:color w:val="auto"/>
                      <w:sz w:val="21"/>
                      <w:szCs w:val="21"/>
                    </w:rPr>
                    <w:t>）</w:t>
                  </w:r>
                </w:p>
              </w:tc>
              <w:tc>
                <w:tcPr>
                  <w:tcW w:w="1839" w:type="pct"/>
                  <w:vMerge w:val="continue"/>
                  <w:tcBorders>
                    <w:tl2br w:val="nil"/>
                    <w:tr2bl w:val="nil"/>
                  </w:tcBorders>
                  <w:noWrap w:val="0"/>
                  <w:vAlign w:val="center"/>
                </w:tcPr>
                <w:p w14:paraId="2D6E6214">
                  <w:pPr>
                    <w:pStyle w:val="76"/>
                    <w:rPr>
                      <w:rFonts w:hint="eastAsia"/>
                      <w:b/>
                      <w:bCs/>
                      <w:color w:val="auto"/>
                      <w:sz w:val="21"/>
                      <w:szCs w:val="21"/>
                    </w:rPr>
                  </w:pPr>
                </w:p>
              </w:tc>
            </w:tr>
            <w:tr w14:paraId="5ED3C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2C0038DB">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w:t>
                  </w:r>
                </w:p>
              </w:tc>
              <w:tc>
                <w:tcPr>
                  <w:tcW w:w="1185" w:type="pct"/>
                  <w:vMerge w:val="restart"/>
                  <w:tcBorders>
                    <w:tl2br w:val="nil"/>
                    <w:tr2bl w:val="nil"/>
                  </w:tcBorders>
                  <w:noWrap w:val="0"/>
                  <w:vAlign w:val="center"/>
                </w:tcPr>
                <w:p w14:paraId="6C1D650A">
                  <w:pPr>
                    <w:pStyle w:val="76"/>
                    <w:rPr>
                      <w:rFonts w:hint="eastAsia"/>
                      <w:color w:val="auto"/>
                      <w:sz w:val="21"/>
                      <w:szCs w:val="21"/>
                    </w:rPr>
                  </w:pPr>
                  <w:r>
                    <w:rPr>
                      <w:rFonts w:hint="eastAsia"/>
                      <w:color w:val="auto"/>
                      <w:sz w:val="21"/>
                      <w:szCs w:val="21"/>
                    </w:rPr>
                    <w:t>边界外浓度最高点</w:t>
                  </w:r>
                </w:p>
              </w:tc>
              <w:tc>
                <w:tcPr>
                  <w:tcW w:w="1918" w:type="dxa"/>
                  <w:tcBorders>
                    <w:tl2br w:val="nil"/>
                    <w:tr2bl w:val="nil"/>
                  </w:tcBorders>
                  <w:noWrap w:val="0"/>
                  <w:vAlign w:val="center"/>
                </w:tcPr>
                <w:p w14:paraId="570DD70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auto"/>
                      <w:sz w:val="21"/>
                      <w:szCs w:val="21"/>
                    </w:rPr>
                  </w:pPr>
                  <w:r>
                    <w:rPr>
                      <w:rFonts w:hint="default" w:ascii="Times New Roman" w:hAnsi="Times New Roman" w:eastAsia="宋体" w:cs="Times New Roman"/>
                      <w:bCs/>
                      <w:color w:val="auto"/>
                      <w:sz w:val="21"/>
                      <w:szCs w:val="21"/>
                      <w:highlight w:val="none"/>
                      <w:lang w:val="en-US" w:eastAsia="zh-CN"/>
                    </w:rPr>
                    <w:t>4.0</w:t>
                  </w:r>
                </w:p>
              </w:tc>
              <w:tc>
                <w:tcPr>
                  <w:tcW w:w="1839" w:type="pct"/>
                  <w:vMerge w:val="restart"/>
                  <w:tcBorders>
                    <w:tl2br w:val="nil"/>
                    <w:tr2bl w:val="nil"/>
                  </w:tcBorders>
                  <w:noWrap w:val="0"/>
                  <w:vAlign w:val="center"/>
                </w:tcPr>
                <w:p w14:paraId="1CF25E56">
                  <w:pPr>
                    <w:pStyle w:val="76"/>
                    <w:rPr>
                      <w:rFonts w:hint="eastAsia" w:eastAsia="宋体"/>
                      <w:color w:val="auto"/>
                      <w:sz w:val="21"/>
                      <w:szCs w:val="21"/>
                      <w:lang w:eastAsia="zh-CN"/>
                    </w:rPr>
                  </w:pPr>
                  <w:r>
                    <w:rPr>
                      <w:rFonts w:hint="eastAsia"/>
                      <w:color w:val="auto"/>
                      <w:sz w:val="21"/>
                      <w:szCs w:val="21"/>
                      <w:lang w:eastAsia="zh-CN"/>
                    </w:rPr>
                    <w:t>《大气污染物综合排放标准》（DB32/4041-2021）</w:t>
                  </w:r>
                </w:p>
              </w:tc>
            </w:tr>
            <w:tr w14:paraId="3EB5E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10C45000">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颗粒物</w:t>
                  </w:r>
                </w:p>
              </w:tc>
              <w:tc>
                <w:tcPr>
                  <w:tcW w:w="1185" w:type="pct"/>
                  <w:vMerge w:val="continue"/>
                  <w:tcBorders>
                    <w:tl2br w:val="nil"/>
                    <w:tr2bl w:val="nil"/>
                  </w:tcBorders>
                  <w:noWrap w:val="0"/>
                  <w:vAlign w:val="center"/>
                </w:tcPr>
                <w:p w14:paraId="02FA4001">
                  <w:pPr>
                    <w:pStyle w:val="76"/>
                    <w:rPr>
                      <w:rFonts w:hint="eastAsia"/>
                      <w:color w:val="auto"/>
                      <w:sz w:val="21"/>
                      <w:szCs w:val="21"/>
                    </w:rPr>
                  </w:pPr>
                </w:p>
              </w:tc>
              <w:tc>
                <w:tcPr>
                  <w:tcW w:w="1918" w:type="dxa"/>
                  <w:tcBorders>
                    <w:tl2br w:val="nil"/>
                    <w:tr2bl w:val="nil"/>
                  </w:tcBorders>
                  <w:noWrap w:val="0"/>
                  <w:vAlign w:val="center"/>
                </w:tcPr>
                <w:p w14:paraId="072184A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eastAsia="宋体"/>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0.5</w:t>
                  </w:r>
                </w:p>
              </w:tc>
              <w:tc>
                <w:tcPr>
                  <w:tcW w:w="1839" w:type="pct"/>
                  <w:vMerge w:val="continue"/>
                  <w:tcBorders>
                    <w:tl2br w:val="nil"/>
                    <w:tr2bl w:val="nil"/>
                  </w:tcBorders>
                  <w:noWrap w:val="0"/>
                  <w:vAlign w:val="center"/>
                </w:tcPr>
                <w:p w14:paraId="39314F22">
                  <w:pPr>
                    <w:pStyle w:val="76"/>
                    <w:rPr>
                      <w:rFonts w:hint="eastAsia"/>
                      <w:color w:val="auto"/>
                      <w:sz w:val="21"/>
                      <w:szCs w:val="21"/>
                      <w:lang w:eastAsia="zh-CN"/>
                    </w:rPr>
                  </w:pPr>
                </w:p>
              </w:tc>
            </w:tr>
            <w:tr w14:paraId="79DA0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36455DA6">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sz w:val="21"/>
                      <w:szCs w:val="21"/>
                      <w:highlight w:val="none"/>
                      <w:lang w:val="en-US" w:eastAsia="zh-CN"/>
                    </w:rPr>
                    <w:t>NOx</w:t>
                  </w:r>
                </w:p>
              </w:tc>
              <w:tc>
                <w:tcPr>
                  <w:tcW w:w="1185" w:type="pct"/>
                  <w:vMerge w:val="continue"/>
                  <w:tcBorders>
                    <w:tl2br w:val="nil"/>
                    <w:tr2bl w:val="nil"/>
                  </w:tcBorders>
                  <w:noWrap w:val="0"/>
                  <w:vAlign w:val="center"/>
                </w:tcPr>
                <w:p w14:paraId="50C8DBCD">
                  <w:pPr>
                    <w:pStyle w:val="76"/>
                    <w:rPr>
                      <w:rFonts w:hint="eastAsia"/>
                      <w:color w:val="auto"/>
                      <w:sz w:val="21"/>
                      <w:szCs w:val="21"/>
                    </w:rPr>
                  </w:pPr>
                </w:p>
              </w:tc>
              <w:tc>
                <w:tcPr>
                  <w:tcW w:w="1918" w:type="dxa"/>
                  <w:tcBorders>
                    <w:tl2br w:val="nil"/>
                    <w:tr2bl w:val="nil"/>
                  </w:tcBorders>
                  <w:noWrap w:val="0"/>
                  <w:vAlign w:val="center"/>
                </w:tcPr>
                <w:p w14:paraId="4FA5AF3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0.12</w:t>
                  </w:r>
                </w:p>
              </w:tc>
              <w:tc>
                <w:tcPr>
                  <w:tcW w:w="1839" w:type="pct"/>
                  <w:vMerge w:val="continue"/>
                  <w:tcBorders>
                    <w:tl2br w:val="nil"/>
                    <w:tr2bl w:val="nil"/>
                  </w:tcBorders>
                  <w:noWrap w:val="0"/>
                  <w:vAlign w:val="center"/>
                </w:tcPr>
                <w:p w14:paraId="72799774">
                  <w:pPr>
                    <w:pStyle w:val="76"/>
                    <w:rPr>
                      <w:rFonts w:hint="eastAsia"/>
                      <w:color w:val="auto"/>
                      <w:sz w:val="21"/>
                      <w:szCs w:val="21"/>
                      <w:lang w:eastAsia="zh-CN"/>
                    </w:rPr>
                  </w:pPr>
                </w:p>
              </w:tc>
            </w:tr>
            <w:tr w14:paraId="3B35F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3251ACEB">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p>
              </w:tc>
              <w:tc>
                <w:tcPr>
                  <w:tcW w:w="1185" w:type="pct"/>
                  <w:vMerge w:val="continue"/>
                  <w:tcBorders>
                    <w:tl2br w:val="nil"/>
                    <w:tr2bl w:val="nil"/>
                  </w:tcBorders>
                  <w:noWrap w:val="0"/>
                  <w:vAlign w:val="center"/>
                </w:tcPr>
                <w:p w14:paraId="388A8C79">
                  <w:pPr>
                    <w:pStyle w:val="76"/>
                    <w:rPr>
                      <w:rFonts w:hint="eastAsia"/>
                      <w:color w:val="auto"/>
                      <w:sz w:val="21"/>
                      <w:szCs w:val="21"/>
                    </w:rPr>
                  </w:pPr>
                </w:p>
              </w:tc>
              <w:tc>
                <w:tcPr>
                  <w:tcW w:w="1918" w:type="dxa"/>
                  <w:tcBorders>
                    <w:tl2br w:val="nil"/>
                    <w:tr2bl w:val="nil"/>
                  </w:tcBorders>
                  <w:noWrap w:val="0"/>
                  <w:vAlign w:val="center"/>
                </w:tcPr>
                <w:p w14:paraId="08B3ACE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1839" w:type="pct"/>
                  <w:vMerge w:val="continue"/>
                  <w:tcBorders>
                    <w:tl2br w:val="nil"/>
                    <w:tr2bl w:val="nil"/>
                  </w:tcBorders>
                  <w:noWrap w:val="0"/>
                  <w:vAlign w:val="center"/>
                </w:tcPr>
                <w:p w14:paraId="13B58D16">
                  <w:pPr>
                    <w:pStyle w:val="76"/>
                    <w:rPr>
                      <w:rFonts w:hint="eastAsia"/>
                      <w:color w:val="auto"/>
                      <w:sz w:val="21"/>
                      <w:szCs w:val="21"/>
                      <w:lang w:eastAsia="zh-CN"/>
                    </w:rPr>
                  </w:pPr>
                </w:p>
              </w:tc>
            </w:tr>
          </w:tbl>
          <w:p w14:paraId="493A7B5C">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厂区内VOCs无组织排放限值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997"/>
              <w:gridCol w:w="1441"/>
              <w:gridCol w:w="2414"/>
              <w:gridCol w:w="1446"/>
              <w:gridCol w:w="1993"/>
            </w:tblGrid>
            <w:tr w14:paraId="7FFE9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601" w:type="pct"/>
                  <w:tcBorders>
                    <w:tl2br w:val="nil"/>
                    <w:tr2bl w:val="nil"/>
                  </w:tcBorders>
                  <w:noWrap w:val="0"/>
                  <w:vAlign w:val="center"/>
                </w:tcPr>
                <w:p w14:paraId="4BFA7F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869" w:type="pct"/>
                  <w:tcBorders>
                    <w:tl2br w:val="nil"/>
                    <w:tr2bl w:val="nil"/>
                  </w:tcBorders>
                  <w:noWrap w:val="0"/>
                  <w:vAlign w:val="center"/>
                </w:tcPr>
                <w:p w14:paraId="31E71A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特别排放限值</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455" w:type="pct"/>
                  <w:tcBorders>
                    <w:tl2br w:val="nil"/>
                    <w:tr2bl w:val="nil"/>
                  </w:tcBorders>
                  <w:noWrap w:val="0"/>
                  <w:vAlign w:val="center"/>
                </w:tcPr>
                <w:p w14:paraId="47EECD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872" w:type="pct"/>
                  <w:tcBorders>
                    <w:tl2br w:val="nil"/>
                    <w:tr2bl w:val="nil"/>
                  </w:tcBorders>
                  <w:noWrap w:val="0"/>
                  <w:vAlign w:val="center"/>
                </w:tcPr>
                <w:p w14:paraId="137F84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c>
                <w:tcPr>
                  <w:tcW w:w="1201" w:type="pct"/>
                  <w:tcBorders>
                    <w:tl2br w:val="nil"/>
                    <w:tr2bl w:val="nil"/>
                  </w:tcBorders>
                  <w:noWrap w:val="0"/>
                  <w:vAlign w:val="center"/>
                </w:tcPr>
                <w:p w14:paraId="099FD44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标准</w:t>
                  </w:r>
                </w:p>
              </w:tc>
            </w:tr>
            <w:tr w14:paraId="1716B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restart"/>
                  <w:tcBorders>
                    <w:tl2br w:val="nil"/>
                    <w:tr2bl w:val="nil"/>
                  </w:tcBorders>
                  <w:noWrap w:val="0"/>
                  <w:vAlign w:val="center"/>
                </w:tcPr>
                <w:p w14:paraId="4B70F5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869" w:type="pct"/>
                  <w:tcBorders>
                    <w:tl2br w:val="nil"/>
                    <w:tr2bl w:val="nil"/>
                  </w:tcBorders>
                  <w:noWrap w:val="0"/>
                  <w:vAlign w:val="center"/>
                </w:tcPr>
                <w:p w14:paraId="452A3A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55" w:type="pct"/>
                  <w:tcBorders>
                    <w:tl2br w:val="nil"/>
                    <w:tr2bl w:val="nil"/>
                  </w:tcBorders>
                  <w:noWrap w:val="0"/>
                  <w:vAlign w:val="center"/>
                </w:tcPr>
                <w:p w14:paraId="2FEB48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872" w:type="pct"/>
                  <w:vMerge w:val="restart"/>
                  <w:tcBorders>
                    <w:tl2br w:val="nil"/>
                    <w:tr2bl w:val="nil"/>
                  </w:tcBorders>
                  <w:noWrap w:val="0"/>
                  <w:vAlign w:val="center"/>
                </w:tcPr>
                <w:p w14:paraId="1E3DEE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c>
                <w:tcPr>
                  <w:tcW w:w="1201" w:type="pct"/>
                  <w:vMerge w:val="restart"/>
                  <w:tcBorders>
                    <w:tl2br w:val="nil"/>
                    <w:tr2bl w:val="nil"/>
                  </w:tcBorders>
                  <w:noWrap w:val="0"/>
                  <w:vAlign w:val="center"/>
                </w:tcPr>
                <w:p w14:paraId="668BC21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03445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continue"/>
                  <w:tcBorders>
                    <w:tl2br w:val="nil"/>
                    <w:tr2bl w:val="nil"/>
                  </w:tcBorders>
                  <w:noWrap w:val="0"/>
                  <w:vAlign w:val="center"/>
                </w:tcPr>
                <w:p w14:paraId="02341D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0193E4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455" w:type="pct"/>
                  <w:tcBorders>
                    <w:tl2br w:val="nil"/>
                    <w:tr2bl w:val="nil"/>
                  </w:tcBorders>
                  <w:noWrap w:val="0"/>
                  <w:vAlign w:val="center"/>
                </w:tcPr>
                <w:p w14:paraId="5A44A4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872" w:type="pct"/>
                  <w:vMerge w:val="continue"/>
                  <w:tcBorders>
                    <w:tl2br w:val="nil"/>
                    <w:tr2bl w:val="nil"/>
                  </w:tcBorders>
                  <w:noWrap w:val="0"/>
                  <w:vAlign w:val="center"/>
                </w:tcPr>
                <w:p w14:paraId="06B620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201" w:type="pct"/>
                  <w:vMerge w:val="continue"/>
                  <w:tcBorders>
                    <w:tl2br w:val="nil"/>
                    <w:tr2bl w:val="nil"/>
                  </w:tcBorders>
                  <w:noWrap w:val="0"/>
                  <w:vAlign w:val="center"/>
                </w:tcPr>
                <w:p w14:paraId="04E6F6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bl>
          <w:p w14:paraId="7BE8864F">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 xml:space="preserve">  工业炉窑无组织排放总悬浮颗粒物浓度限值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942"/>
              <w:gridCol w:w="1899"/>
              <w:gridCol w:w="2684"/>
            </w:tblGrid>
            <w:tr w14:paraId="70EAE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5" w:type="pct"/>
                  <w:tcBorders>
                    <w:tl2br w:val="nil"/>
                    <w:tr2bl w:val="nil"/>
                  </w:tcBorders>
                  <w:noWrap w:val="0"/>
                  <w:vAlign w:val="center"/>
                </w:tcPr>
                <w:p w14:paraId="190A5938">
                  <w:pPr>
                    <w:pStyle w:val="9"/>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工业炉窑安装位置</w:t>
                  </w:r>
                </w:p>
              </w:tc>
              <w:tc>
                <w:tcPr>
                  <w:tcW w:w="1171" w:type="pct"/>
                  <w:tcBorders>
                    <w:tl2br w:val="nil"/>
                    <w:tr2bl w:val="nil"/>
                  </w:tcBorders>
                  <w:noWrap w:val="0"/>
                  <w:vAlign w:val="center"/>
                </w:tcPr>
                <w:p w14:paraId="2D9BD25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工业炉窑类别</w:t>
                  </w:r>
                </w:p>
              </w:tc>
              <w:tc>
                <w:tcPr>
                  <w:tcW w:w="1145" w:type="pct"/>
                  <w:tcBorders>
                    <w:tl2br w:val="nil"/>
                    <w:tr2bl w:val="nil"/>
                  </w:tcBorders>
                  <w:noWrap w:val="0"/>
                  <w:vAlign w:val="center"/>
                </w:tcPr>
                <w:p w14:paraId="134E12F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rPr>
                    <w:t>总悬浮颗粒物浓度限值</w:t>
                  </w:r>
                  <w:r>
                    <w:rPr>
                      <w:rFonts w:hint="eastAsia" w:ascii="Times New Roman" w:hAnsi="Times New Roman" w:eastAsia="宋体" w:cs="Times New Roman"/>
                      <w:b/>
                      <w:bCs/>
                      <w:color w:val="auto"/>
                      <w:kern w:val="2"/>
                      <w:sz w:val="21"/>
                      <w:szCs w:val="21"/>
                      <w:highlight w:val="none"/>
                      <w:lang w:val="en-US" w:eastAsia="zh-CN"/>
                    </w:rPr>
                    <w:t>mg/m</w:t>
                  </w:r>
                  <w:r>
                    <w:rPr>
                      <w:rFonts w:hint="eastAsia" w:ascii="Times New Roman" w:hAnsi="Times New Roman" w:eastAsia="宋体" w:cs="Times New Roman"/>
                      <w:b/>
                      <w:bCs/>
                      <w:color w:val="auto"/>
                      <w:kern w:val="2"/>
                      <w:sz w:val="21"/>
                      <w:szCs w:val="21"/>
                      <w:highlight w:val="none"/>
                      <w:vertAlign w:val="superscript"/>
                      <w:lang w:val="en-US" w:eastAsia="zh-CN"/>
                    </w:rPr>
                    <w:t>3</w:t>
                  </w:r>
                </w:p>
              </w:tc>
              <w:tc>
                <w:tcPr>
                  <w:tcW w:w="1618" w:type="pct"/>
                  <w:tcBorders>
                    <w:tl2br w:val="nil"/>
                    <w:tr2bl w:val="nil"/>
                  </w:tcBorders>
                  <w:noWrap w:val="0"/>
                  <w:vAlign w:val="center"/>
                </w:tcPr>
                <w:p w14:paraId="51CFED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tc>
            </w:tr>
            <w:tr w14:paraId="4ECBB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5" w:type="pct"/>
                  <w:tcBorders>
                    <w:tl2br w:val="nil"/>
                    <w:tr2bl w:val="nil"/>
                  </w:tcBorders>
                  <w:noWrap w:val="0"/>
                  <w:vAlign w:val="center"/>
                </w:tcPr>
                <w:p w14:paraId="3CE413F1">
                  <w:pPr>
                    <w:pStyle w:val="57"/>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有厂房生产车间</w:t>
                  </w:r>
                </w:p>
              </w:tc>
              <w:tc>
                <w:tcPr>
                  <w:tcW w:w="1171" w:type="pct"/>
                  <w:tcBorders>
                    <w:tl2br w:val="nil"/>
                    <w:tr2bl w:val="nil"/>
                  </w:tcBorders>
                  <w:noWrap w:val="0"/>
                  <w:vAlign w:val="center"/>
                </w:tcPr>
                <w:p w14:paraId="6315CC3C">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其他炉窑</w:t>
                  </w:r>
                </w:p>
              </w:tc>
              <w:tc>
                <w:tcPr>
                  <w:tcW w:w="1145" w:type="pct"/>
                  <w:tcBorders>
                    <w:tl2br w:val="nil"/>
                    <w:tr2bl w:val="nil"/>
                  </w:tcBorders>
                  <w:noWrap w:val="0"/>
                  <w:vAlign w:val="center"/>
                </w:tcPr>
                <w:p w14:paraId="7B5FD35C">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618" w:type="pct"/>
                  <w:tcBorders>
                    <w:tl2br w:val="nil"/>
                    <w:tr2bl w:val="nil"/>
                  </w:tcBorders>
                  <w:noWrap w:val="0"/>
                  <w:vAlign w:val="center"/>
                </w:tcPr>
                <w:p w14:paraId="663981F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《工业炉窑大气污染物排放标准》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DB32/3728-2020</w:t>
                  </w:r>
                  <w:r>
                    <w:rPr>
                      <w:rFonts w:hint="eastAsia" w:ascii="Times New Roman" w:hAnsi="Times New Roman" w:eastAsia="宋体" w:cs="Times New Roman"/>
                      <w:bCs/>
                      <w:color w:val="auto"/>
                      <w:sz w:val="21"/>
                      <w:szCs w:val="21"/>
                      <w:highlight w:val="none"/>
                      <w:lang w:val="en-US" w:eastAsia="zh-CN"/>
                    </w:rPr>
                    <w:t>）</w:t>
                  </w:r>
                </w:p>
              </w:tc>
            </w:tr>
          </w:tbl>
          <w:p w14:paraId="4E9F1D39">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2、废水</w:t>
            </w:r>
          </w:p>
          <w:p w14:paraId="704A8BB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生产废水经处理后回用于前处理，不外排，</w:t>
            </w:r>
            <w:r>
              <w:rPr>
                <w:rFonts w:hint="default" w:ascii="Times New Roman" w:hAnsi="Times New Roman" w:eastAsia="宋体" w:cs="Times New Roman"/>
                <w:color w:val="auto"/>
                <w:sz w:val="24"/>
                <w:highlight w:val="none"/>
                <w:lang w:val="en-US" w:eastAsia="zh-CN"/>
              </w:rPr>
              <w:t>外排废水主要为生活污水</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color w:val="auto"/>
                <w:sz w:val="24"/>
                <w:highlight w:val="none"/>
              </w:rPr>
              <w:t>常州市金坛区第二污水处理厂</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接管废水</w:t>
            </w:r>
            <w:r>
              <w:rPr>
                <w:rFonts w:hint="default" w:ascii="Times New Roman" w:hAnsi="Times New Roman" w:eastAsia="宋体" w:cs="Times New Roman"/>
                <w:color w:val="auto"/>
                <w:sz w:val="24"/>
                <w:highlight w:val="none"/>
              </w:rPr>
              <w:t>执行金坛区第二污水处理厂</w:t>
            </w:r>
            <w:r>
              <w:rPr>
                <w:rFonts w:hint="eastAsia" w:ascii="Times New Roman" w:hAnsi="Times New Roman" w:eastAsia="宋体" w:cs="Times New Roman"/>
                <w:color w:val="auto"/>
                <w:sz w:val="24"/>
                <w:highlight w:val="none"/>
                <w:lang w:val="en-US" w:eastAsia="zh-CN"/>
              </w:rPr>
              <w:t>接管标准</w:t>
            </w:r>
            <w:r>
              <w:rPr>
                <w:rFonts w:hint="default" w:ascii="Times New Roman" w:hAnsi="Times New Roman" w:eastAsia="宋体" w:cs="Times New Roman"/>
                <w:color w:val="auto"/>
                <w:sz w:val="24"/>
                <w:highlight w:val="none"/>
              </w:rPr>
              <w:t>，常州市金坛区第二污水处理厂处理后尾水排入尧塘河，排放标准执行《城镇污水处理厂污染物排放标准》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GB18918-2002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中一级A标准以及《太湖地区城镇污水处理厂及重点行业主要水污染物排放限值》（DB32/T1072-2018）中表2城镇污水处理标准，标准值参见下表。</w:t>
            </w:r>
          </w:p>
          <w:p w14:paraId="3FDE2DC4">
            <w:pP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 xml:space="preserve">  废水排放标准 （单位：mg/L</w:t>
            </w:r>
            <w:r>
              <w:rPr>
                <w:rFonts w:hint="default" w:ascii="Times New Roman" w:hAnsi="Times New Roman" w:eastAsia="宋体" w:cs="Times New Roman"/>
                <w:b/>
                <w:color w:val="auto"/>
                <w:sz w:val="24"/>
                <w:highlight w:val="none"/>
                <w:lang w:eastAsia="zh-CN"/>
              </w:rPr>
              <w:t>）</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83"/>
              <w:gridCol w:w="3516"/>
              <w:gridCol w:w="999"/>
              <w:gridCol w:w="1185"/>
              <w:gridCol w:w="1411"/>
            </w:tblGrid>
            <w:tr w14:paraId="03E65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tcBorders>
                    <w:tl2br w:val="nil"/>
                    <w:tr2bl w:val="nil"/>
                  </w:tcBorders>
                  <w:tcMar>
                    <w:top w:w="0" w:type="dxa"/>
                    <w:left w:w="108" w:type="dxa"/>
                    <w:bottom w:w="0" w:type="dxa"/>
                    <w:right w:w="108" w:type="dxa"/>
                  </w:tcMar>
                  <w:vAlign w:val="center"/>
                </w:tcPr>
                <w:p w14:paraId="01990C61">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类别</w:t>
                  </w:r>
                </w:p>
              </w:tc>
              <w:tc>
                <w:tcPr>
                  <w:tcW w:w="2119" w:type="pct"/>
                  <w:tcBorders>
                    <w:tl2br w:val="nil"/>
                    <w:tr2bl w:val="nil"/>
                  </w:tcBorders>
                  <w:tcMar>
                    <w:top w:w="0" w:type="dxa"/>
                    <w:left w:w="108" w:type="dxa"/>
                    <w:bottom w:w="0" w:type="dxa"/>
                    <w:right w:w="108" w:type="dxa"/>
                  </w:tcMar>
                  <w:vAlign w:val="center"/>
                </w:tcPr>
                <w:p w14:paraId="092EA8C0">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执行标准</w:t>
                  </w:r>
                </w:p>
              </w:tc>
              <w:tc>
                <w:tcPr>
                  <w:tcW w:w="602" w:type="pct"/>
                  <w:tcBorders>
                    <w:tl2br w:val="nil"/>
                    <w:tr2bl w:val="nil"/>
                  </w:tcBorders>
                  <w:tcMar>
                    <w:top w:w="0" w:type="dxa"/>
                    <w:left w:w="108" w:type="dxa"/>
                    <w:bottom w:w="0" w:type="dxa"/>
                    <w:right w:w="108" w:type="dxa"/>
                  </w:tcMar>
                  <w:vAlign w:val="center"/>
                </w:tcPr>
                <w:p w14:paraId="573D31A3">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w:t>
                  </w:r>
                </w:p>
                <w:p w14:paraId="4C81E5E9">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级别</w:t>
                  </w:r>
                </w:p>
              </w:tc>
              <w:tc>
                <w:tcPr>
                  <w:tcW w:w="714" w:type="pct"/>
                  <w:tcBorders>
                    <w:tl2br w:val="nil"/>
                    <w:tr2bl w:val="nil"/>
                  </w:tcBorders>
                  <w:tcMar>
                    <w:top w:w="0" w:type="dxa"/>
                    <w:left w:w="108" w:type="dxa"/>
                    <w:bottom w:w="0" w:type="dxa"/>
                    <w:right w:w="108" w:type="dxa"/>
                  </w:tcMar>
                  <w:vAlign w:val="center"/>
                </w:tcPr>
                <w:p w14:paraId="1C132F46">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指标</w:t>
                  </w:r>
                </w:p>
              </w:tc>
              <w:tc>
                <w:tcPr>
                  <w:tcW w:w="850" w:type="pct"/>
                  <w:tcBorders>
                    <w:tl2br w:val="nil"/>
                    <w:tr2bl w:val="nil"/>
                  </w:tcBorders>
                  <w:tcMar>
                    <w:top w:w="0" w:type="dxa"/>
                    <w:left w:w="108" w:type="dxa"/>
                    <w:bottom w:w="0" w:type="dxa"/>
                    <w:right w:w="108" w:type="dxa"/>
                  </w:tcMar>
                  <w:vAlign w:val="center"/>
                </w:tcPr>
                <w:p w14:paraId="4EC0384E">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标准限值</w:t>
                  </w:r>
                </w:p>
              </w:tc>
            </w:tr>
            <w:tr w14:paraId="6E4C5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tcMar>
                    <w:top w:w="0" w:type="dxa"/>
                    <w:left w:w="108" w:type="dxa"/>
                    <w:bottom w:w="0" w:type="dxa"/>
                    <w:right w:w="108" w:type="dxa"/>
                  </w:tcMar>
                  <w:vAlign w:val="center"/>
                </w:tcPr>
                <w:p w14:paraId="5D5D27BC">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接管标准</w:t>
                  </w:r>
                </w:p>
              </w:tc>
              <w:tc>
                <w:tcPr>
                  <w:tcW w:w="2119" w:type="pct"/>
                  <w:vMerge w:val="restart"/>
                  <w:tcBorders>
                    <w:tl2br w:val="nil"/>
                    <w:tr2bl w:val="nil"/>
                  </w:tcBorders>
                  <w:tcMar>
                    <w:top w:w="0" w:type="dxa"/>
                    <w:left w:w="108" w:type="dxa"/>
                    <w:bottom w:w="0" w:type="dxa"/>
                    <w:right w:w="108" w:type="dxa"/>
                  </w:tcMar>
                  <w:vAlign w:val="center"/>
                </w:tcPr>
                <w:p w14:paraId="764EF46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金坛区第二污水处理厂</w:t>
                  </w:r>
                  <w:r>
                    <w:rPr>
                      <w:rFonts w:hint="default" w:ascii="Times New Roman" w:hAnsi="Times New Roman" w:eastAsia="宋体" w:cs="Times New Roman"/>
                      <w:color w:val="auto"/>
                      <w:highlight w:val="none"/>
                      <w:lang w:val="en-US" w:eastAsia="zh-CN"/>
                    </w:rPr>
                    <w:t>接管标准</w:t>
                  </w:r>
                </w:p>
              </w:tc>
              <w:tc>
                <w:tcPr>
                  <w:tcW w:w="602" w:type="pct"/>
                  <w:vMerge w:val="restart"/>
                  <w:tcBorders>
                    <w:tl2br w:val="nil"/>
                    <w:tr2bl w:val="nil"/>
                  </w:tcBorders>
                  <w:tcMar>
                    <w:top w:w="0" w:type="dxa"/>
                    <w:left w:w="108" w:type="dxa"/>
                    <w:bottom w:w="0" w:type="dxa"/>
                    <w:right w:w="108" w:type="dxa"/>
                  </w:tcMar>
                  <w:vAlign w:val="center"/>
                </w:tcPr>
                <w:p w14:paraId="550BE69C">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w:t>
                  </w:r>
                </w:p>
              </w:tc>
              <w:tc>
                <w:tcPr>
                  <w:tcW w:w="714" w:type="pct"/>
                  <w:tcBorders>
                    <w:tl2br w:val="nil"/>
                    <w:tr2bl w:val="nil"/>
                  </w:tcBorders>
                  <w:tcMar>
                    <w:top w:w="0" w:type="dxa"/>
                    <w:left w:w="108" w:type="dxa"/>
                    <w:bottom w:w="0" w:type="dxa"/>
                    <w:right w:w="108" w:type="dxa"/>
                  </w:tcMar>
                  <w:vAlign w:val="center"/>
                </w:tcPr>
                <w:p w14:paraId="4E3DF80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850" w:type="pct"/>
                  <w:tcBorders>
                    <w:tl2br w:val="nil"/>
                    <w:tr2bl w:val="nil"/>
                  </w:tcBorders>
                  <w:tcMar>
                    <w:top w:w="0" w:type="dxa"/>
                    <w:left w:w="108" w:type="dxa"/>
                    <w:bottom w:w="0" w:type="dxa"/>
                    <w:right w:w="108" w:type="dxa"/>
                  </w:tcMar>
                  <w:vAlign w:val="center"/>
                </w:tcPr>
                <w:p w14:paraId="2064ADB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6.5~9.5</w:t>
                  </w:r>
                </w:p>
              </w:tc>
            </w:tr>
            <w:tr w14:paraId="33B48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5F97FA51">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5D973FFA">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2E946A96">
                  <w:pPr>
                    <w:jc w:val="cente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7C57FCC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850" w:type="pct"/>
                  <w:tcBorders>
                    <w:tl2br w:val="nil"/>
                    <w:tr2bl w:val="nil"/>
                  </w:tcBorders>
                  <w:tcMar>
                    <w:top w:w="0" w:type="dxa"/>
                    <w:left w:w="108" w:type="dxa"/>
                    <w:bottom w:w="0" w:type="dxa"/>
                    <w:right w:w="108" w:type="dxa"/>
                  </w:tcMar>
                  <w:vAlign w:val="center"/>
                </w:tcPr>
                <w:p w14:paraId="5D6CDB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r>
            <w:tr w14:paraId="15FF3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48F15CD7">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2AF34335">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2D914258">
                  <w:pPr>
                    <w:jc w:val="cente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7CAD6F9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850" w:type="pct"/>
                  <w:tcBorders>
                    <w:tl2br w:val="nil"/>
                    <w:tr2bl w:val="nil"/>
                  </w:tcBorders>
                  <w:tcMar>
                    <w:top w:w="0" w:type="dxa"/>
                    <w:left w:w="108" w:type="dxa"/>
                    <w:bottom w:w="0" w:type="dxa"/>
                    <w:right w:w="108" w:type="dxa"/>
                  </w:tcMar>
                  <w:vAlign w:val="center"/>
                </w:tcPr>
                <w:p w14:paraId="60B8FEEC">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25</w:t>
                  </w:r>
                  <w:r>
                    <w:rPr>
                      <w:rFonts w:hint="default" w:ascii="Times New Roman" w:hAnsi="Times New Roman" w:eastAsia="宋体" w:cs="Times New Roman"/>
                      <w:color w:val="auto"/>
                      <w:highlight w:val="none"/>
                    </w:rPr>
                    <w:t>0</w:t>
                  </w:r>
                </w:p>
              </w:tc>
            </w:tr>
            <w:tr w14:paraId="2A4B1C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73EB8226">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038A4944">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6A1ACAB4">
                  <w:pPr>
                    <w:jc w:val="cente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7B221A7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850" w:type="pct"/>
                  <w:tcBorders>
                    <w:tl2br w:val="nil"/>
                    <w:tr2bl w:val="nil"/>
                  </w:tcBorders>
                  <w:tcMar>
                    <w:top w:w="0" w:type="dxa"/>
                    <w:left w:w="108" w:type="dxa"/>
                    <w:bottom w:w="0" w:type="dxa"/>
                    <w:right w:w="108" w:type="dxa"/>
                  </w:tcMar>
                  <w:vAlign w:val="center"/>
                </w:tcPr>
                <w:p w14:paraId="5397D746">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5</w:t>
                  </w:r>
                </w:p>
              </w:tc>
            </w:tr>
            <w:tr w14:paraId="3B4365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305DC33F">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5E8F2AC8">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22EE9737">
                  <w:pPr>
                    <w:jc w:val="cente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289F063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850" w:type="pct"/>
                  <w:tcBorders>
                    <w:tl2br w:val="nil"/>
                    <w:tr2bl w:val="nil"/>
                  </w:tcBorders>
                  <w:tcMar>
                    <w:top w:w="0" w:type="dxa"/>
                    <w:left w:w="108" w:type="dxa"/>
                    <w:bottom w:w="0" w:type="dxa"/>
                    <w:right w:w="108" w:type="dxa"/>
                  </w:tcMar>
                  <w:vAlign w:val="center"/>
                </w:tcPr>
                <w:p w14:paraId="6A1CAEE4">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3</w:t>
                  </w:r>
                </w:p>
              </w:tc>
            </w:tr>
            <w:tr w14:paraId="7F5C9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52636A50">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2EEA4179">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11757172">
                  <w:pPr>
                    <w:jc w:val="cente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1783435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850" w:type="pct"/>
                  <w:tcBorders>
                    <w:tl2br w:val="nil"/>
                    <w:tr2bl w:val="nil"/>
                  </w:tcBorders>
                  <w:tcMar>
                    <w:top w:w="0" w:type="dxa"/>
                    <w:left w:w="108" w:type="dxa"/>
                    <w:bottom w:w="0" w:type="dxa"/>
                    <w:right w:w="108" w:type="dxa"/>
                  </w:tcMar>
                  <w:vAlign w:val="center"/>
                </w:tcPr>
                <w:p w14:paraId="1E9557F3">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w:t>
                  </w:r>
                </w:p>
              </w:tc>
            </w:tr>
            <w:tr w14:paraId="4C807E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tcMar>
                    <w:top w:w="0" w:type="dxa"/>
                    <w:left w:w="108" w:type="dxa"/>
                    <w:bottom w:w="0" w:type="dxa"/>
                    <w:right w:w="108" w:type="dxa"/>
                  </w:tcMar>
                  <w:vAlign w:val="center"/>
                </w:tcPr>
                <w:p w14:paraId="6835389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常州市金坛区第二污水处理厂处理厂排口</w:t>
                  </w:r>
                </w:p>
              </w:tc>
              <w:tc>
                <w:tcPr>
                  <w:tcW w:w="2119" w:type="pct"/>
                  <w:vMerge w:val="restart"/>
                  <w:tcBorders>
                    <w:tl2br w:val="nil"/>
                    <w:tr2bl w:val="nil"/>
                  </w:tcBorders>
                  <w:tcMar>
                    <w:top w:w="0" w:type="dxa"/>
                    <w:left w:w="108" w:type="dxa"/>
                    <w:bottom w:w="0" w:type="dxa"/>
                    <w:right w:w="108" w:type="dxa"/>
                  </w:tcMar>
                  <w:vAlign w:val="center"/>
                </w:tcPr>
                <w:p w14:paraId="379AD50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《城镇污水处理厂污染物排放标准》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 18918-2002</w:t>
                  </w:r>
                  <w:r>
                    <w:rPr>
                      <w:rFonts w:hint="default" w:ascii="Times New Roman" w:hAnsi="Times New Roman" w:eastAsia="宋体" w:cs="Times New Roman"/>
                      <w:color w:val="auto"/>
                      <w:highlight w:val="none"/>
                      <w:lang w:eastAsia="zh-CN"/>
                    </w:rPr>
                    <w:t>）</w:t>
                  </w:r>
                </w:p>
              </w:tc>
              <w:tc>
                <w:tcPr>
                  <w:tcW w:w="602" w:type="pct"/>
                  <w:vMerge w:val="restart"/>
                  <w:tcBorders>
                    <w:tl2br w:val="nil"/>
                    <w:tr2bl w:val="nil"/>
                  </w:tcBorders>
                  <w:tcMar>
                    <w:top w:w="0" w:type="dxa"/>
                    <w:left w:w="108" w:type="dxa"/>
                    <w:bottom w:w="0" w:type="dxa"/>
                    <w:right w:w="108" w:type="dxa"/>
                  </w:tcMar>
                  <w:vAlign w:val="center"/>
                </w:tcPr>
                <w:p w14:paraId="348A5BD3">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一级A</w:t>
                  </w:r>
                </w:p>
              </w:tc>
              <w:tc>
                <w:tcPr>
                  <w:tcW w:w="714" w:type="pct"/>
                  <w:tcBorders>
                    <w:tl2br w:val="nil"/>
                    <w:tr2bl w:val="nil"/>
                  </w:tcBorders>
                  <w:tcMar>
                    <w:top w:w="0" w:type="dxa"/>
                    <w:left w:w="108" w:type="dxa"/>
                    <w:bottom w:w="0" w:type="dxa"/>
                    <w:right w:w="108" w:type="dxa"/>
                  </w:tcMar>
                  <w:vAlign w:val="center"/>
                </w:tcPr>
                <w:p w14:paraId="2F5944F3">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850" w:type="pct"/>
                  <w:tcBorders>
                    <w:tl2br w:val="nil"/>
                    <w:tr2bl w:val="nil"/>
                  </w:tcBorders>
                  <w:tcMar>
                    <w:top w:w="0" w:type="dxa"/>
                    <w:left w:w="108" w:type="dxa"/>
                    <w:bottom w:w="0" w:type="dxa"/>
                    <w:right w:w="108" w:type="dxa"/>
                  </w:tcMar>
                  <w:vAlign w:val="center"/>
                </w:tcPr>
                <w:p w14:paraId="6A092AD1">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14:paraId="51C517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70C50DE7">
                  <w:pPr>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Mar>
                    <w:top w:w="0" w:type="dxa"/>
                    <w:left w:w="108" w:type="dxa"/>
                    <w:bottom w:w="0" w:type="dxa"/>
                    <w:right w:w="108" w:type="dxa"/>
                  </w:tcMar>
                  <w:vAlign w:val="center"/>
                </w:tcPr>
                <w:p w14:paraId="3E8116B0">
                  <w:pPr>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Mar>
                    <w:top w:w="0" w:type="dxa"/>
                    <w:left w:w="108" w:type="dxa"/>
                    <w:bottom w:w="0" w:type="dxa"/>
                    <w:right w:w="108" w:type="dxa"/>
                  </w:tcMar>
                  <w:vAlign w:val="center"/>
                </w:tcPr>
                <w:p w14:paraId="1E643A2F">
                  <w:pPr>
                    <w:rPr>
                      <w:rFonts w:hint="default" w:ascii="Times New Roman" w:hAnsi="Times New Roman" w:eastAsia="宋体" w:cs="Times New Roman"/>
                      <w:color w:val="auto"/>
                      <w:highlight w:val="none"/>
                    </w:rPr>
                  </w:pPr>
                </w:p>
              </w:tc>
              <w:tc>
                <w:tcPr>
                  <w:tcW w:w="714" w:type="pct"/>
                  <w:tcBorders>
                    <w:tl2br w:val="nil"/>
                    <w:tr2bl w:val="nil"/>
                  </w:tcBorders>
                  <w:tcMar>
                    <w:top w:w="0" w:type="dxa"/>
                    <w:left w:w="108" w:type="dxa"/>
                    <w:bottom w:w="0" w:type="dxa"/>
                    <w:right w:w="108" w:type="dxa"/>
                  </w:tcMar>
                  <w:vAlign w:val="center"/>
                </w:tcPr>
                <w:p w14:paraId="6AE37949">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850" w:type="pct"/>
                  <w:tcBorders>
                    <w:tl2br w:val="nil"/>
                    <w:tr2bl w:val="nil"/>
                  </w:tcBorders>
                  <w:tcMar>
                    <w:top w:w="0" w:type="dxa"/>
                    <w:left w:w="108" w:type="dxa"/>
                    <w:bottom w:w="0" w:type="dxa"/>
                    <w:right w:w="108" w:type="dxa"/>
                  </w:tcMar>
                  <w:vAlign w:val="center"/>
                </w:tcPr>
                <w:p w14:paraId="7BCFBDD6">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r w14:paraId="1A83B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49E7F4FD">
                  <w:pPr>
                    <w:autoSpaceDE w:val="0"/>
                    <w:autoSpaceDN w:val="0"/>
                    <w:jc w:val="center"/>
                    <w:rPr>
                      <w:rFonts w:hint="default" w:ascii="Times New Roman" w:hAnsi="Times New Roman" w:eastAsia="宋体" w:cs="Times New Roman"/>
                      <w:color w:val="auto"/>
                      <w:highlight w:val="none"/>
                    </w:rPr>
                  </w:pPr>
                </w:p>
              </w:tc>
              <w:tc>
                <w:tcPr>
                  <w:tcW w:w="2119" w:type="pct"/>
                  <w:vMerge w:val="restart"/>
                  <w:tcBorders>
                    <w:tl2br w:val="nil"/>
                    <w:tr2bl w:val="nil"/>
                  </w:tcBorders>
                  <w:vAlign w:val="center"/>
                </w:tcPr>
                <w:p w14:paraId="1BB6B3F3">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《太湖地区城镇污水处理厂及重点工业行业主要水污染物排放限值》（DB 32/1072-2018）</w:t>
                  </w:r>
                </w:p>
              </w:tc>
              <w:tc>
                <w:tcPr>
                  <w:tcW w:w="602" w:type="pct"/>
                  <w:vMerge w:val="restart"/>
                  <w:tcBorders>
                    <w:tl2br w:val="nil"/>
                    <w:tr2bl w:val="nil"/>
                  </w:tcBorders>
                  <w:vAlign w:val="center"/>
                </w:tcPr>
                <w:p w14:paraId="2503D6FD">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p>
              </w:tc>
              <w:tc>
                <w:tcPr>
                  <w:tcW w:w="714" w:type="pct"/>
                  <w:tcBorders>
                    <w:tl2br w:val="nil"/>
                    <w:tr2bl w:val="nil"/>
                  </w:tcBorders>
                  <w:vAlign w:val="center"/>
                </w:tcPr>
                <w:p w14:paraId="1821B4A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850" w:type="pct"/>
                  <w:tcBorders>
                    <w:tl2br w:val="nil"/>
                    <w:tr2bl w:val="nil"/>
                  </w:tcBorders>
                  <w:vAlign w:val="center"/>
                </w:tcPr>
                <w:p w14:paraId="59E463AB">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14:paraId="5E78B6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48579E18">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Pr>
                <w:p w14:paraId="129674BB">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Pr>
                <w:p w14:paraId="648A5080">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vAlign w:val="center"/>
                </w:tcPr>
                <w:p w14:paraId="3611B76D">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850" w:type="pct"/>
                  <w:tcBorders>
                    <w:tl2br w:val="nil"/>
                    <w:tr2bl w:val="nil"/>
                  </w:tcBorders>
                  <w:vAlign w:val="center"/>
                </w:tcPr>
                <w:p w14:paraId="7C5077C8">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w:t>
                  </w:r>
                </w:p>
              </w:tc>
            </w:tr>
            <w:tr w14:paraId="0AEB4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4ABCA244">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Pr>
                <w:p w14:paraId="3A19375B">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Pr>
                <w:p w14:paraId="0FDBB102">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vAlign w:val="center"/>
                </w:tcPr>
                <w:p w14:paraId="1D6F2CDD">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850" w:type="pct"/>
                  <w:tcBorders>
                    <w:tl2br w:val="nil"/>
                    <w:tr2bl w:val="nil"/>
                  </w:tcBorders>
                  <w:vAlign w:val="center"/>
                </w:tcPr>
                <w:p w14:paraId="4305787B">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tc>
            </w:tr>
            <w:tr w14:paraId="07EC3D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63C0A3C2">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tcPr>
                <w:p w14:paraId="48C16D70">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tcPr>
                <w:p w14:paraId="58D236F8">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vAlign w:val="center"/>
                </w:tcPr>
                <w:p w14:paraId="550A7A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850" w:type="pct"/>
                  <w:tcBorders>
                    <w:tl2br w:val="nil"/>
                    <w:tr2bl w:val="nil"/>
                  </w:tcBorders>
                  <w:vAlign w:val="center"/>
                </w:tcPr>
                <w:p w14:paraId="5689F89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12（15）*</w:t>
                  </w:r>
                </w:p>
              </w:tc>
            </w:tr>
            <w:tr w14:paraId="1F6362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7EDAB889">
                  <w:pPr>
                    <w:autoSpaceDE w:val="0"/>
                    <w:autoSpaceDN w:val="0"/>
                    <w:jc w:val="center"/>
                    <w:rPr>
                      <w:rFonts w:hint="default" w:ascii="Times New Roman" w:hAnsi="Times New Roman" w:eastAsia="宋体" w:cs="Times New Roman"/>
                      <w:color w:val="auto"/>
                      <w:highlight w:val="none"/>
                    </w:rPr>
                  </w:pPr>
                </w:p>
              </w:tc>
              <w:tc>
                <w:tcPr>
                  <w:tcW w:w="2119" w:type="pct"/>
                  <w:vMerge w:val="restart"/>
                  <w:tcBorders>
                    <w:tl2br w:val="nil"/>
                    <w:tr2bl w:val="nil"/>
                  </w:tcBorders>
                  <w:vAlign w:val="center"/>
                </w:tcPr>
                <w:p w14:paraId="4A572284">
                  <w:pPr>
                    <w:pStyle w:val="85"/>
                    <w:spacing w:line="31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《城镇污水处理厂污染物排放标准》（DB32/4440-2022）</w:t>
                  </w:r>
                </w:p>
                <w:p w14:paraId="5909CB94">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rPr>
                    <w:t>（2026年3月28日起施行</w:t>
                  </w:r>
                  <w:r>
                    <w:rPr>
                      <w:rFonts w:hint="default" w:ascii="Times New Roman" w:hAnsi="Times New Roman" w:eastAsia="宋体" w:cs="Times New Roman"/>
                      <w:color w:val="auto"/>
                      <w:sz w:val="21"/>
                      <w:szCs w:val="21"/>
                      <w:lang w:eastAsia="zh-CN"/>
                    </w:rPr>
                    <w:t>，每年11月1日至次年3月31日执行括号内排放限值</w:t>
                  </w:r>
                  <w:r>
                    <w:rPr>
                      <w:rFonts w:hint="default" w:ascii="Times New Roman" w:hAnsi="Times New Roman" w:eastAsia="宋体" w:cs="Times New Roman"/>
                      <w:color w:val="auto"/>
                      <w:sz w:val="21"/>
                      <w:szCs w:val="21"/>
                    </w:rPr>
                    <w:t>）</w:t>
                  </w:r>
                </w:p>
              </w:tc>
              <w:tc>
                <w:tcPr>
                  <w:tcW w:w="602" w:type="pct"/>
                  <w:vMerge w:val="restart"/>
                  <w:tcBorders>
                    <w:tl2br w:val="nil"/>
                    <w:tr2bl w:val="nil"/>
                  </w:tcBorders>
                  <w:shd w:val="clear" w:color="auto" w:fill="auto"/>
                  <w:vAlign w:val="center"/>
                </w:tcPr>
                <w:p w14:paraId="31108BD9">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表1C标准</w:t>
                  </w:r>
                </w:p>
              </w:tc>
              <w:tc>
                <w:tcPr>
                  <w:tcW w:w="714" w:type="pct"/>
                  <w:tcBorders>
                    <w:tl2br w:val="nil"/>
                    <w:tr2bl w:val="nil"/>
                  </w:tcBorders>
                  <w:shd w:val="clear" w:color="auto" w:fill="auto"/>
                  <w:vAlign w:val="center"/>
                </w:tcPr>
                <w:p w14:paraId="52764A58">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w:t>
                  </w:r>
                </w:p>
              </w:tc>
              <w:tc>
                <w:tcPr>
                  <w:tcW w:w="850" w:type="pct"/>
                  <w:tcBorders>
                    <w:tl2br w:val="nil"/>
                    <w:tr2bl w:val="nil"/>
                  </w:tcBorders>
                  <w:shd w:val="clear" w:color="auto" w:fill="auto"/>
                  <w:vAlign w:val="center"/>
                </w:tcPr>
                <w:p w14:paraId="52F36D07">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r>
            <w:tr w14:paraId="25BE1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28BFDC98">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vAlign w:val="center"/>
                </w:tcPr>
                <w:p w14:paraId="2885F3BB">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vAlign w:val="center"/>
                </w:tcPr>
                <w:p w14:paraId="7DBB7F94">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shd w:val="clear" w:color="auto" w:fill="auto"/>
                  <w:vAlign w:val="center"/>
                </w:tcPr>
                <w:p w14:paraId="1AE7642D">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850" w:type="pct"/>
                  <w:tcBorders>
                    <w:tl2br w:val="nil"/>
                    <w:tr2bl w:val="nil"/>
                  </w:tcBorders>
                  <w:shd w:val="clear" w:color="auto" w:fill="auto"/>
                  <w:vAlign w:val="center"/>
                </w:tcPr>
                <w:p w14:paraId="3C59977D">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r>
            <w:tr w14:paraId="737B5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6BDE7542">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vAlign w:val="center"/>
                </w:tcPr>
                <w:p w14:paraId="569EF02D">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vAlign w:val="center"/>
                </w:tcPr>
                <w:p w14:paraId="63AC6ACC">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shd w:val="clear" w:color="auto" w:fill="auto"/>
                  <w:vAlign w:val="center"/>
                </w:tcPr>
                <w:p w14:paraId="4A26F83E">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850" w:type="pct"/>
                  <w:tcBorders>
                    <w:tl2br w:val="nil"/>
                    <w:tr2bl w:val="nil"/>
                  </w:tcBorders>
                  <w:shd w:val="clear" w:color="auto" w:fill="auto"/>
                  <w:vAlign w:val="center"/>
                </w:tcPr>
                <w:p w14:paraId="7297FFB3">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r>
            <w:tr w14:paraId="6F27BA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168CF007">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vAlign w:val="center"/>
                </w:tcPr>
                <w:p w14:paraId="7B2B28A2">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vAlign w:val="center"/>
                </w:tcPr>
                <w:p w14:paraId="60AFF2FC">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shd w:val="clear" w:color="auto" w:fill="auto"/>
                  <w:vAlign w:val="center"/>
                </w:tcPr>
                <w:p w14:paraId="72913FC3">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850" w:type="pct"/>
                  <w:tcBorders>
                    <w:tl2br w:val="nil"/>
                    <w:tr2bl w:val="nil"/>
                  </w:tcBorders>
                  <w:shd w:val="clear" w:color="auto" w:fill="auto"/>
                  <w:vAlign w:val="center"/>
                </w:tcPr>
                <w:p w14:paraId="2BA69DE7">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4(6)</w:t>
                  </w:r>
                </w:p>
              </w:tc>
            </w:tr>
            <w:tr w14:paraId="76763B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0D82C38A">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vAlign w:val="center"/>
                </w:tcPr>
                <w:p w14:paraId="09BF36F7">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vAlign w:val="center"/>
                </w:tcPr>
                <w:p w14:paraId="7430B805">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shd w:val="clear" w:color="auto" w:fill="auto"/>
                  <w:vAlign w:val="center"/>
                </w:tcPr>
                <w:p w14:paraId="5B8E6D31">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850" w:type="pct"/>
                  <w:tcBorders>
                    <w:tl2br w:val="nil"/>
                    <w:tr2bl w:val="nil"/>
                  </w:tcBorders>
                  <w:shd w:val="clear" w:color="auto" w:fill="auto"/>
                  <w:vAlign w:val="center"/>
                </w:tcPr>
                <w:p w14:paraId="3D5DA276">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w:t>
                  </w:r>
                </w:p>
              </w:tc>
            </w:tr>
            <w:tr w14:paraId="72387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01610270">
                  <w:pPr>
                    <w:autoSpaceDE w:val="0"/>
                    <w:autoSpaceDN w:val="0"/>
                    <w:jc w:val="center"/>
                    <w:rPr>
                      <w:rFonts w:hint="default" w:ascii="Times New Roman" w:hAnsi="Times New Roman" w:eastAsia="宋体" w:cs="Times New Roman"/>
                      <w:color w:val="auto"/>
                      <w:highlight w:val="none"/>
                    </w:rPr>
                  </w:pPr>
                </w:p>
              </w:tc>
              <w:tc>
                <w:tcPr>
                  <w:tcW w:w="2119" w:type="pct"/>
                  <w:vMerge w:val="continue"/>
                  <w:tcBorders>
                    <w:tl2br w:val="nil"/>
                    <w:tr2bl w:val="nil"/>
                  </w:tcBorders>
                  <w:vAlign w:val="center"/>
                </w:tcPr>
                <w:p w14:paraId="65D140E2">
                  <w:pPr>
                    <w:autoSpaceDE w:val="0"/>
                    <w:autoSpaceDN w:val="0"/>
                    <w:jc w:val="center"/>
                    <w:rPr>
                      <w:rFonts w:hint="default" w:ascii="Times New Roman" w:hAnsi="Times New Roman" w:eastAsia="宋体" w:cs="Times New Roman"/>
                      <w:color w:val="auto"/>
                      <w:highlight w:val="none"/>
                    </w:rPr>
                  </w:pPr>
                </w:p>
              </w:tc>
              <w:tc>
                <w:tcPr>
                  <w:tcW w:w="602" w:type="pct"/>
                  <w:vMerge w:val="continue"/>
                  <w:tcBorders>
                    <w:tl2br w:val="nil"/>
                    <w:tr2bl w:val="nil"/>
                  </w:tcBorders>
                  <w:vAlign w:val="center"/>
                </w:tcPr>
                <w:p w14:paraId="2BA9D559">
                  <w:pPr>
                    <w:autoSpaceDE w:val="0"/>
                    <w:autoSpaceDN w:val="0"/>
                    <w:jc w:val="center"/>
                    <w:rPr>
                      <w:rFonts w:hint="default" w:ascii="Times New Roman" w:hAnsi="Times New Roman" w:eastAsia="宋体" w:cs="Times New Roman"/>
                      <w:color w:val="auto"/>
                      <w:highlight w:val="none"/>
                    </w:rPr>
                  </w:pPr>
                </w:p>
              </w:tc>
              <w:tc>
                <w:tcPr>
                  <w:tcW w:w="714" w:type="pct"/>
                  <w:tcBorders>
                    <w:tl2br w:val="nil"/>
                    <w:tr2bl w:val="nil"/>
                  </w:tcBorders>
                  <w:shd w:val="clear" w:color="auto" w:fill="auto"/>
                  <w:vAlign w:val="center"/>
                </w:tcPr>
                <w:p w14:paraId="19B81214">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TN</w:t>
                  </w:r>
                </w:p>
              </w:tc>
              <w:tc>
                <w:tcPr>
                  <w:tcW w:w="850" w:type="pct"/>
                  <w:tcBorders>
                    <w:tl2br w:val="nil"/>
                    <w:tr2bl w:val="nil"/>
                  </w:tcBorders>
                  <w:shd w:val="clear" w:color="auto" w:fill="auto"/>
                  <w:vAlign w:val="center"/>
                </w:tcPr>
                <w:p w14:paraId="027C9DBB">
                  <w:pPr>
                    <w:pStyle w:val="85"/>
                    <w:spacing w:line="31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12(15)</w:t>
                  </w:r>
                </w:p>
              </w:tc>
            </w:tr>
          </w:tbl>
          <w:p w14:paraId="332CC84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*括号外数值为水温＞12℃时的控制指标，括号内数值为水温≤12℃时的控制指标。</w:t>
            </w:r>
          </w:p>
          <w:p w14:paraId="7AAC707B">
            <w:pPr>
              <w:spacing w:line="360" w:lineRule="auto"/>
              <w:ind w:firstLine="480" w:firstLineChars="200"/>
              <w:rPr>
                <w:rFonts w:hint="eastAsia" w:ascii="Times New Roman" w:hAnsi="Times New Roman" w:eastAsia="宋体" w:cs="Times New Roman"/>
                <w:b/>
                <w:color w:val="auto"/>
                <w:sz w:val="24"/>
                <w:highlight w:val="none"/>
                <w:lang w:eastAsia="zh-CN"/>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废水经</w:t>
            </w:r>
            <w:r>
              <w:rPr>
                <w:rFonts w:hint="eastAsia" w:ascii="Times New Roman" w:hAnsi="Times New Roman" w:eastAsia="宋体" w:cs="Times New Roman"/>
                <w:color w:val="auto"/>
                <w:sz w:val="24"/>
                <w:highlight w:val="none"/>
                <w:lang w:val="en-US" w:eastAsia="zh-CN"/>
              </w:rPr>
              <w:t>污水处理站</w:t>
            </w:r>
            <w:r>
              <w:rPr>
                <w:rFonts w:hint="default" w:ascii="Times New Roman" w:hAnsi="Times New Roman" w:eastAsia="宋体" w:cs="Times New Roman"/>
                <w:color w:val="auto"/>
                <w:sz w:val="24"/>
                <w:highlight w:val="none"/>
              </w:rPr>
              <w:t>处理后回用于前处理工艺，执行</w:t>
            </w:r>
            <w:r>
              <w:rPr>
                <w:rFonts w:hint="eastAsia" w:ascii="Times New Roman" w:hAnsi="Times New Roman" w:eastAsia="宋体" w:cs="Times New Roman"/>
                <w:color w:val="auto"/>
                <w:sz w:val="24"/>
                <w:highlight w:val="none"/>
                <w:lang w:val="en-US" w:eastAsia="zh-CN"/>
              </w:rPr>
              <w:t>企业自定生产工艺回用水标准</w:t>
            </w:r>
            <w:r>
              <w:rPr>
                <w:rFonts w:hint="default" w:ascii="Times New Roman" w:hAnsi="Times New Roman" w:eastAsia="宋体" w:cs="Times New Roman"/>
                <w:color w:val="auto"/>
                <w:sz w:val="24"/>
                <w:highlight w:val="none"/>
              </w:rPr>
              <w:t>，限值要求见下表</w:t>
            </w:r>
            <w:r>
              <w:rPr>
                <w:rFonts w:hint="eastAsia" w:ascii="Times New Roman" w:hAnsi="Times New Roman" w:eastAsia="宋体" w:cs="Times New Roman"/>
                <w:color w:val="auto"/>
                <w:sz w:val="24"/>
                <w:highlight w:val="none"/>
                <w:lang w:eastAsia="zh-CN"/>
              </w:rPr>
              <w:t>。</w:t>
            </w:r>
          </w:p>
          <w:p w14:paraId="2FD13442">
            <w:pP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11</w:t>
            </w:r>
            <w:r>
              <w:rPr>
                <w:rFonts w:hint="default" w:ascii="Times New Roman" w:hAnsi="Times New Roman" w:eastAsia="宋体" w:cs="Times New Roman"/>
                <w:b/>
                <w:color w:val="auto"/>
                <w:sz w:val="24"/>
                <w:highlight w:val="none"/>
              </w:rPr>
              <w:t xml:space="preserve">  废水</w:t>
            </w:r>
            <w:r>
              <w:rPr>
                <w:rFonts w:hint="eastAsia" w:ascii="Times New Roman" w:hAnsi="Times New Roman" w:eastAsia="宋体" w:cs="Times New Roman"/>
                <w:b/>
                <w:color w:val="auto"/>
                <w:sz w:val="24"/>
                <w:highlight w:val="none"/>
                <w:lang w:val="en-US" w:eastAsia="zh-CN"/>
              </w:rPr>
              <w:t>回用</w:t>
            </w:r>
            <w:r>
              <w:rPr>
                <w:rFonts w:hint="default" w:ascii="Times New Roman" w:hAnsi="Times New Roman" w:eastAsia="宋体" w:cs="Times New Roman"/>
                <w:b/>
                <w:color w:val="auto"/>
                <w:sz w:val="24"/>
                <w:highlight w:val="none"/>
              </w:rPr>
              <w:t>标准 （单位：mg/L</w:t>
            </w:r>
            <w:r>
              <w:rPr>
                <w:rFonts w:hint="default" w:ascii="Times New Roman" w:hAnsi="Times New Roman" w:eastAsia="宋体" w:cs="Times New Roman"/>
                <w:b/>
                <w:color w:val="auto"/>
                <w:sz w:val="24"/>
                <w:highlight w:val="none"/>
                <w:lang w:eastAsia="zh-CN"/>
              </w:rPr>
              <w:t>）</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6"/>
              <w:gridCol w:w="2682"/>
              <w:gridCol w:w="4226"/>
            </w:tblGrid>
            <w:tr w14:paraId="53620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35" w:type="pct"/>
                  <w:tcBorders>
                    <w:tl2br w:val="nil"/>
                    <w:tr2bl w:val="nil"/>
                  </w:tcBorders>
                  <w:tcMar>
                    <w:top w:w="0" w:type="dxa"/>
                    <w:left w:w="108" w:type="dxa"/>
                    <w:bottom w:w="0" w:type="dxa"/>
                    <w:right w:w="108" w:type="dxa"/>
                  </w:tcMar>
                  <w:vAlign w:val="center"/>
                </w:tcPr>
                <w:p w14:paraId="42EEEAA4">
                  <w:pPr>
                    <w:jc w:val="center"/>
                    <w:rPr>
                      <w:rFonts w:hint="eastAsia" w:ascii="Times New Roman" w:hAnsi="Times New Roman" w:eastAsia="宋体" w:cs="Times New Roman"/>
                      <w:b/>
                      <w:color w:val="auto"/>
                      <w:highlight w:val="none"/>
                      <w:lang w:eastAsia="zh-CN"/>
                    </w:rPr>
                  </w:pPr>
                  <w:r>
                    <w:rPr>
                      <w:rFonts w:hint="eastAsia" w:ascii="Times New Roman" w:hAnsi="Times New Roman" w:eastAsia="宋体" w:cs="Times New Roman"/>
                      <w:b/>
                      <w:color w:val="auto"/>
                      <w:highlight w:val="none"/>
                      <w:lang w:val="en-US" w:eastAsia="zh-CN"/>
                    </w:rPr>
                    <w:t>污染物</w:t>
                  </w:r>
                </w:p>
              </w:tc>
              <w:tc>
                <w:tcPr>
                  <w:tcW w:w="1616" w:type="pct"/>
                  <w:tcBorders>
                    <w:tl2br w:val="nil"/>
                    <w:tr2bl w:val="nil"/>
                  </w:tcBorders>
                  <w:tcMar>
                    <w:top w:w="0" w:type="dxa"/>
                    <w:left w:w="108" w:type="dxa"/>
                    <w:bottom w:w="0" w:type="dxa"/>
                    <w:right w:w="108" w:type="dxa"/>
                  </w:tcMar>
                  <w:vAlign w:val="center"/>
                </w:tcPr>
                <w:p w14:paraId="3723E4CA">
                  <w:pPr>
                    <w:jc w:val="center"/>
                    <w:rPr>
                      <w:rFonts w:hint="eastAsia" w:ascii="Times New Roman" w:hAnsi="Times New Roman" w:eastAsia="宋体" w:cs="Times New Roman"/>
                      <w:b/>
                      <w:color w:val="auto"/>
                      <w:highlight w:val="none"/>
                      <w:lang w:eastAsia="zh-CN"/>
                    </w:rPr>
                  </w:pPr>
                  <w:r>
                    <w:rPr>
                      <w:rFonts w:hint="eastAsia" w:ascii="Times New Roman" w:hAnsi="Times New Roman" w:eastAsia="宋体" w:cs="Times New Roman"/>
                      <w:b/>
                      <w:color w:val="auto"/>
                      <w:highlight w:val="none"/>
                      <w:lang w:val="en-US" w:eastAsia="zh-CN"/>
                    </w:rPr>
                    <w:t>浓度限值</w:t>
                  </w:r>
                </w:p>
              </w:tc>
              <w:tc>
                <w:tcPr>
                  <w:tcW w:w="2547" w:type="pct"/>
                  <w:tcBorders>
                    <w:tl2br w:val="nil"/>
                    <w:tr2bl w:val="nil"/>
                  </w:tcBorders>
                  <w:tcMar>
                    <w:top w:w="0" w:type="dxa"/>
                    <w:left w:w="108" w:type="dxa"/>
                    <w:bottom w:w="0" w:type="dxa"/>
                    <w:right w:w="108" w:type="dxa"/>
                  </w:tcMar>
                  <w:vAlign w:val="center"/>
                </w:tcPr>
                <w:p w14:paraId="5E99A888">
                  <w:pPr>
                    <w:jc w:val="center"/>
                    <w:rPr>
                      <w:rFonts w:hint="eastAsia" w:ascii="Times New Roman" w:hAnsi="Times New Roman" w:eastAsia="宋体" w:cs="Times New Roman"/>
                      <w:b/>
                      <w:color w:val="auto"/>
                      <w:highlight w:val="none"/>
                      <w:lang w:eastAsia="zh-CN"/>
                    </w:rPr>
                  </w:pPr>
                  <w:r>
                    <w:rPr>
                      <w:rFonts w:hint="eastAsia" w:ascii="Times New Roman" w:hAnsi="Times New Roman" w:eastAsia="宋体" w:cs="Times New Roman"/>
                      <w:b/>
                      <w:color w:val="auto"/>
                      <w:highlight w:val="none"/>
                      <w:lang w:val="en-US" w:eastAsia="zh-CN"/>
                    </w:rPr>
                    <w:t>标准来源</w:t>
                  </w:r>
                </w:p>
              </w:tc>
            </w:tr>
            <w:tr w14:paraId="2B9E30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835" w:type="pct"/>
                  <w:tcBorders>
                    <w:tl2br w:val="nil"/>
                    <w:tr2bl w:val="nil"/>
                  </w:tcBorders>
                  <w:tcMar>
                    <w:top w:w="0" w:type="dxa"/>
                    <w:left w:w="108" w:type="dxa"/>
                    <w:bottom w:w="0" w:type="dxa"/>
                    <w:right w:w="108" w:type="dxa"/>
                  </w:tcMar>
                  <w:vAlign w:val="center"/>
                </w:tcPr>
                <w:p w14:paraId="4032B787">
                  <w:pPr>
                    <w:autoSpaceDE w:val="0"/>
                    <w:autoSpaceDN w:val="0"/>
                    <w:jc w:val="center"/>
                    <w:rPr>
                      <w:rFonts w:hint="default"/>
                      <w:color w:val="auto"/>
                      <w:highlight w:val="none"/>
                      <w:lang w:val="en-US" w:eastAsia="zh-CN"/>
                    </w:rPr>
                  </w:pPr>
                  <w:r>
                    <w:rPr>
                      <w:rFonts w:hint="default" w:ascii="Times New Roman" w:hAnsi="Times New Roman" w:cs="Times New Roman"/>
                      <w:color w:val="auto"/>
                      <w:highlight w:val="none"/>
                      <w:lang w:val="en-US" w:eastAsia="zh-CN"/>
                    </w:rPr>
                    <w:t>pH</w:t>
                  </w:r>
                </w:p>
              </w:tc>
              <w:tc>
                <w:tcPr>
                  <w:tcW w:w="1616" w:type="pct"/>
                  <w:tcBorders>
                    <w:tl2br w:val="nil"/>
                    <w:tr2bl w:val="nil"/>
                  </w:tcBorders>
                  <w:tcMar>
                    <w:top w:w="0" w:type="dxa"/>
                    <w:left w:w="108" w:type="dxa"/>
                    <w:bottom w:w="0" w:type="dxa"/>
                    <w:right w:w="108" w:type="dxa"/>
                  </w:tcMar>
                  <w:vAlign w:val="center"/>
                </w:tcPr>
                <w:p w14:paraId="0EE99D23">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6.5~9.0</w:t>
                  </w:r>
                </w:p>
              </w:tc>
              <w:tc>
                <w:tcPr>
                  <w:tcW w:w="2547" w:type="pct"/>
                  <w:vMerge w:val="restart"/>
                  <w:tcBorders>
                    <w:tl2br w:val="nil"/>
                    <w:tr2bl w:val="nil"/>
                  </w:tcBorders>
                  <w:tcMar>
                    <w:top w:w="0" w:type="dxa"/>
                    <w:left w:w="108" w:type="dxa"/>
                    <w:bottom w:w="0" w:type="dxa"/>
                    <w:right w:w="108" w:type="dxa"/>
                  </w:tcMar>
                  <w:vAlign w:val="center"/>
                </w:tcPr>
                <w:p w14:paraId="00C220A7">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企业自定生产工艺回用水标准</w:t>
                  </w:r>
                </w:p>
              </w:tc>
            </w:tr>
            <w:tr w14:paraId="59C46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835" w:type="pct"/>
                  <w:tcBorders>
                    <w:tl2br w:val="nil"/>
                    <w:tr2bl w:val="nil"/>
                  </w:tcBorders>
                  <w:tcMar>
                    <w:top w:w="0" w:type="dxa"/>
                    <w:left w:w="108" w:type="dxa"/>
                    <w:bottom w:w="0" w:type="dxa"/>
                    <w:right w:w="108" w:type="dxa"/>
                  </w:tcMar>
                  <w:vAlign w:val="center"/>
                </w:tcPr>
                <w:p w14:paraId="3770AEEE">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SS</w:t>
                  </w:r>
                </w:p>
              </w:tc>
              <w:tc>
                <w:tcPr>
                  <w:tcW w:w="1616" w:type="pct"/>
                  <w:tcBorders>
                    <w:tl2br w:val="nil"/>
                    <w:tr2bl w:val="nil"/>
                  </w:tcBorders>
                  <w:tcMar>
                    <w:top w:w="0" w:type="dxa"/>
                    <w:left w:w="108" w:type="dxa"/>
                    <w:bottom w:w="0" w:type="dxa"/>
                    <w:right w:w="108" w:type="dxa"/>
                  </w:tcMar>
                  <w:vAlign w:val="center"/>
                </w:tcPr>
                <w:p w14:paraId="5210BF22">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2547" w:type="pct"/>
                  <w:vMerge w:val="continue"/>
                  <w:tcBorders>
                    <w:tl2br w:val="nil"/>
                    <w:tr2bl w:val="nil"/>
                  </w:tcBorders>
                  <w:tcMar>
                    <w:top w:w="0" w:type="dxa"/>
                    <w:left w:w="108" w:type="dxa"/>
                    <w:bottom w:w="0" w:type="dxa"/>
                    <w:right w:w="108" w:type="dxa"/>
                  </w:tcMar>
                  <w:vAlign w:val="center"/>
                </w:tcPr>
                <w:p w14:paraId="5BD36BC6">
                  <w:pPr>
                    <w:autoSpaceDE w:val="0"/>
                    <w:autoSpaceDN w:val="0"/>
                    <w:jc w:val="center"/>
                    <w:rPr>
                      <w:rFonts w:hint="default" w:ascii="Times New Roman" w:hAnsi="Times New Roman" w:eastAsia="宋体" w:cs="Times New Roman"/>
                      <w:color w:val="auto"/>
                      <w:highlight w:val="none"/>
                    </w:rPr>
                  </w:pPr>
                </w:p>
              </w:tc>
            </w:tr>
            <w:tr w14:paraId="5AF5C2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835" w:type="pct"/>
                  <w:tcBorders>
                    <w:tl2br w:val="nil"/>
                    <w:tr2bl w:val="nil"/>
                  </w:tcBorders>
                  <w:tcMar>
                    <w:top w:w="0" w:type="dxa"/>
                    <w:left w:w="108" w:type="dxa"/>
                    <w:bottom w:w="0" w:type="dxa"/>
                    <w:right w:w="108" w:type="dxa"/>
                  </w:tcMar>
                  <w:vAlign w:val="center"/>
                </w:tcPr>
                <w:p w14:paraId="420717A5">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COD</w:t>
                  </w:r>
                </w:p>
              </w:tc>
              <w:tc>
                <w:tcPr>
                  <w:tcW w:w="1616" w:type="pct"/>
                  <w:tcBorders>
                    <w:tl2br w:val="nil"/>
                    <w:tr2bl w:val="nil"/>
                  </w:tcBorders>
                  <w:tcMar>
                    <w:top w:w="0" w:type="dxa"/>
                    <w:left w:w="108" w:type="dxa"/>
                    <w:bottom w:w="0" w:type="dxa"/>
                    <w:right w:w="108" w:type="dxa"/>
                  </w:tcMar>
                  <w:vAlign w:val="center"/>
                </w:tcPr>
                <w:p w14:paraId="26F117FD">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w:t>
                  </w:r>
                </w:p>
              </w:tc>
              <w:tc>
                <w:tcPr>
                  <w:tcW w:w="2547" w:type="pct"/>
                  <w:vMerge w:val="continue"/>
                  <w:tcBorders>
                    <w:tl2br w:val="nil"/>
                    <w:tr2bl w:val="nil"/>
                  </w:tcBorders>
                  <w:tcMar>
                    <w:top w:w="0" w:type="dxa"/>
                    <w:left w:w="108" w:type="dxa"/>
                    <w:bottom w:w="0" w:type="dxa"/>
                    <w:right w:w="108" w:type="dxa"/>
                  </w:tcMar>
                  <w:vAlign w:val="center"/>
                </w:tcPr>
                <w:p w14:paraId="7CD1C93D">
                  <w:pPr>
                    <w:autoSpaceDE w:val="0"/>
                    <w:autoSpaceDN w:val="0"/>
                    <w:jc w:val="center"/>
                    <w:rPr>
                      <w:rFonts w:hint="default" w:ascii="Times New Roman" w:hAnsi="Times New Roman" w:eastAsia="宋体" w:cs="Times New Roman"/>
                      <w:color w:val="auto"/>
                      <w:highlight w:val="none"/>
                    </w:rPr>
                  </w:pPr>
                </w:p>
              </w:tc>
            </w:tr>
            <w:tr w14:paraId="60932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835" w:type="pct"/>
                  <w:tcBorders>
                    <w:tl2br w:val="nil"/>
                    <w:tr2bl w:val="nil"/>
                  </w:tcBorders>
                  <w:tcMar>
                    <w:top w:w="0" w:type="dxa"/>
                    <w:left w:w="108" w:type="dxa"/>
                    <w:bottom w:w="0" w:type="dxa"/>
                    <w:right w:w="108" w:type="dxa"/>
                  </w:tcMar>
                  <w:vAlign w:val="center"/>
                </w:tcPr>
                <w:p w14:paraId="26DD6BB2">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石油类</w:t>
                  </w:r>
                </w:p>
              </w:tc>
              <w:tc>
                <w:tcPr>
                  <w:tcW w:w="1616" w:type="pct"/>
                  <w:tcBorders>
                    <w:tl2br w:val="nil"/>
                    <w:tr2bl w:val="nil"/>
                  </w:tcBorders>
                  <w:tcMar>
                    <w:top w:w="0" w:type="dxa"/>
                    <w:left w:w="108" w:type="dxa"/>
                    <w:bottom w:w="0" w:type="dxa"/>
                    <w:right w:w="108" w:type="dxa"/>
                  </w:tcMar>
                  <w:vAlign w:val="center"/>
                </w:tcPr>
                <w:p w14:paraId="55E61C2F">
                  <w:pPr>
                    <w:autoSpaceDE w:val="0"/>
                    <w:autoSpaceDN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2</w:t>
                  </w:r>
                </w:p>
              </w:tc>
              <w:tc>
                <w:tcPr>
                  <w:tcW w:w="2547" w:type="pct"/>
                  <w:vMerge w:val="continue"/>
                  <w:tcBorders>
                    <w:tl2br w:val="nil"/>
                    <w:tr2bl w:val="nil"/>
                  </w:tcBorders>
                  <w:tcMar>
                    <w:top w:w="0" w:type="dxa"/>
                    <w:left w:w="108" w:type="dxa"/>
                    <w:bottom w:w="0" w:type="dxa"/>
                    <w:right w:w="108" w:type="dxa"/>
                  </w:tcMar>
                  <w:vAlign w:val="center"/>
                </w:tcPr>
                <w:p w14:paraId="1E9DF442">
                  <w:pPr>
                    <w:autoSpaceDE w:val="0"/>
                    <w:autoSpaceDN w:val="0"/>
                    <w:jc w:val="center"/>
                    <w:rPr>
                      <w:rFonts w:hint="default" w:ascii="Times New Roman" w:hAnsi="Times New Roman" w:eastAsia="宋体" w:cs="Times New Roman"/>
                      <w:color w:val="auto"/>
                      <w:highlight w:val="none"/>
                    </w:rPr>
                  </w:pPr>
                </w:p>
              </w:tc>
            </w:tr>
            <w:tr w14:paraId="0C0366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835" w:type="pct"/>
                  <w:tcBorders>
                    <w:tl2br w:val="nil"/>
                    <w:tr2bl w:val="nil"/>
                  </w:tcBorders>
                  <w:tcMar>
                    <w:top w:w="0" w:type="dxa"/>
                    <w:left w:w="108" w:type="dxa"/>
                    <w:bottom w:w="0" w:type="dxa"/>
                    <w:right w:w="108" w:type="dxa"/>
                  </w:tcMar>
                  <w:vAlign w:val="center"/>
                </w:tcPr>
                <w:p w14:paraId="29432C96">
                  <w:pPr>
                    <w:autoSpaceDE w:val="0"/>
                    <w:autoSpaceDN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氟化物</w:t>
                  </w:r>
                </w:p>
              </w:tc>
              <w:tc>
                <w:tcPr>
                  <w:tcW w:w="1616" w:type="pct"/>
                  <w:tcBorders>
                    <w:tl2br w:val="nil"/>
                    <w:tr2bl w:val="nil"/>
                  </w:tcBorders>
                  <w:tcMar>
                    <w:top w:w="0" w:type="dxa"/>
                    <w:left w:w="108" w:type="dxa"/>
                    <w:bottom w:w="0" w:type="dxa"/>
                    <w:right w:w="108" w:type="dxa"/>
                  </w:tcMar>
                  <w:vAlign w:val="center"/>
                </w:tcPr>
                <w:p w14:paraId="471724A7">
                  <w:pPr>
                    <w:autoSpaceDE w:val="0"/>
                    <w:autoSpaceDN w:val="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5</w:t>
                  </w:r>
                </w:p>
              </w:tc>
              <w:tc>
                <w:tcPr>
                  <w:tcW w:w="2547" w:type="pct"/>
                  <w:vMerge w:val="continue"/>
                  <w:tcBorders>
                    <w:tl2br w:val="nil"/>
                    <w:tr2bl w:val="nil"/>
                  </w:tcBorders>
                  <w:tcMar>
                    <w:top w:w="0" w:type="dxa"/>
                    <w:left w:w="108" w:type="dxa"/>
                    <w:bottom w:w="0" w:type="dxa"/>
                    <w:right w:w="108" w:type="dxa"/>
                  </w:tcMar>
                  <w:vAlign w:val="center"/>
                </w:tcPr>
                <w:p w14:paraId="7855F5C3">
                  <w:pPr>
                    <w:autoSpaceDE w:val="0"/>
                    <w:autoSpaceDN w:val="0"/>
                    <w:jc w:val="center"/>
                    <w:rPr>
                      <w:rFonts w:hint="default" w:ascii="Times New Roman" w:hAnsi="Times New Roman" w:eastAsia="宋体" w:cs="Times New Roman"/>
                      <w:color w:val="auto"/>
                      <w:highlight w:val="none"/>
                    </w:rPr>
                  </w:pPr>
                </w:p>
              </w:tc>
            </w:tr>
          </w:tbl>
          <w:p w14:paraId="7F2B8DF5">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3、噪声</w:t>
            </w:r>
          </w:p>
          <w:p w14:paraId="6F1183E7">
            <w:pPr>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本项目营运期厂界噪声执行《工业企业厂界环境噪声排放标准》（GB12348-2008）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类功能区标准。</w:t>
            </w:r>
          </w:p>
          <w:p w14:paraId="2CD90D4A">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12</w:t>
            </w:r>
            <w:r>
              <w:rPr>
                <w:rFonts w:hint="default" w:ascii="Times New Roman" w:hAnsi="Times New Roman" w:eastAsia="宋体" w:cs="Times New Roman"/>
                <w:b/>
                <w:color w:val="auto"/>
                <w:sz w:val="24"/>
                <w:highlight w:val="none"/>
              </w:rPr>
              <w:t xml:space="preserve">  噪声排放标准限值</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15"/>
              <w:gridCol w:w="2921"/>
              <w:gridCol w:w="1450"/>
              <w:gridCol w:w="1130"/>
              <w:gridCol w:w="1578"/>
            </w:tblGrid>
            <w:tr w14:paraId="4064E3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3" w:type="pct"/>
                  <w:vMerge w:val="restart"/>
                  <w:tcBorders>
                    <w:tl2br w:val="nil"/>
                    <w:tr2bl w:val="nil"/>
                  </w:tcBorders>
                  <w:vAlign w:val="center"/>
                </w:tcPr>
                <w:p w14:paraId="52C91F4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厂界名</w:t>
                  </w:r>
                </w:p>
              </w:tc>
              <w:tc>
                <w:tcPr>
                  <w:tcW w:w="1761" w:type="pct"/>
                  <w:vMerge w:val="restart"/>
                  <w:tcBorders>
                    <w:tl2br w:val="nil"/>
                    <w:tr2bl w:val="nil"/>
                  </w:tcBorders>
                  <w:vAlign w:val="center"/>
                </w:tcPr>
                <w:p w14:paraId="459BD536">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执行标准</w:t>
                  </w:r>
                </w:p>
              </w:tc>
              <w:tc>
                <w:tcPr>
                  <w:tcW w:w="874" w:type="pct"/>
                  <w:vMerge w:val="restart"/>
                  <w:tcBorders>
                    <w:tl2br w:val="nil"/>
                    <w:tr2bl w:val="nil"/>
                  </w:tcBorders>
                  <w:vAlign w:val="center"/>
                </w:tcPr>
                <w:p w14:paraId="1E2F48A5">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级别</w:t>
                  </w:r>
                </w:p>
              </w:tc>
              <w:tc>
                <w:tcPr>
                  <w:tcW w:w="681" w:type="pct"/>
                  <w:vMerge w:val="restart"/>
                  <w:tcBorders>
                    <w:tl2br w:val="nil"/>
                    <w:tr2bl w:val="nil"/>
                  </w:tcBorders>
                  <w:vAlign w:val="center"/>
                </w:tcPr>
                <w:p w14:paraId="7FC76AA0">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951" w:type="pct"/>
                  <w:tcBorders>
                    <w:tl2br w:val="nil"/>
                    <w:tr2bl w:val="nil"/>
                  </w:tcBorders>
                  <w:vAlign w:val="center"/>
                </w:tcPr>
                <w:p w14:paraId="7CFC9EF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标准限值</w:t>
                  </w:r>
                </w:p>
              </w:tc>
            </w:tr>
            <w:tr w14:paraId="1C4776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3" w:type="pct"/>
                  <w:vMerge w:val="continue"/>
                  <w:tcBorders>
                    <w:tl2br w:val="nil"/>
                    <w:tr2bl w:val="nil"/>
                  </w:tcBorders>
                  <w:vAlign w:val="center"/>
                </w:tcPr>
                <w:p w14:paraId="113DF42C">
                  <w:pPr>
                    <w:widowControl/>
                    <w:jc w:val="center"/>
                    <w:rPr>
                      <w:rFonts w:hint="default" w:ascii="Times New Roman" w:hAnsi="Times New Roman" w:eastAsia="宋体" w:cs="Times New Roman"/>
                      <w:b/>
                      <w:color w:val="auto"/>
                      <w:szCs w:val="21"/>
                      <w:highlight w:val="none"/>
                    </w:rPr>
                  </w:pPr>
                </w:p>
              </w:tc>
              <w:tc>
                <w:tcPr>
                  <w:tcW w:w="1761" w:type="pct"/>
                  <w:vMerge w:val="continue"/>
                  <w:tcBorders>
                    <w:tl2br w:val="nil"/>
                    <w:tr2bl w:val="nil"/>
                  </w:tcBorders>
                  <w:vAlign w:val="center"/>
                </w:tcPr>
                <w:p w14:paraId="4FBBEDB3">
                  <w:pPr>
                    <w:widowControl/>
                    <w:jc w:val="center"/>
                    <w:rPr>
                      <w:rFonts w:hint="default" w:ascii="Times New Roman" w:hAnsi="Times New Roman" w:eastAsia="宋体" w:cs="Times New Roman"/>
                      <w:b/>
                      <w:color w:val="auto"/>
                      <w:szCs w:val="21"/>
                      <w:highlight w:val="none"/>
                    </w:rPr>
                  </w:pPr>
                </w:p>
              </w:tc>
              <w:tc>
                <w:tcPr>
                  <w:tcW w:w="874" w:type="pct"/>
                  <w:vMerge w:val="continue"/>
                  <w:tcBorders>
                    <w:tl2br w:val="nil"/>
                    <w:tr2bl w:val="nil"/>
                  </w:tcBorders>
                  <w:vAlign w:val="center"/>
                </w:tcPr>
                <w:p w14:paraId="4C868106">
                  <w:pPr>
                    <w:widowControl/>
                    <w:jc w:val="center"/>
                    <w:rPr>
                      <w:rFonts w:hint="default" w:ascii="Times New Roman" w:hAnsi="Times New Roman" w:eastAsia="宋体" w:cs="Times New Roman"/>
                      <w:b/>
                      <w:color w:val="auto"/>
                      <w:szCs w:val="21"/>
                      <w:highlight w:val="none"/>
                    </w:rPr>
                  </w:pPr>
                </w:p>
              </w:tc>
              <w:tc>
                <w:tcPr>
                  <w:tcW w:w="681" w:type="pct"/>
                  <w:vMerge w:val="continue"/>
                  <w:tcBorders>
                    <w:tl2br w:val="nil"/>
                    <w:tr2bl w:val="nil"/>
                  </w:tcBorders>
                  <w:vAlign w:val="center"/>
                </w:tcPr>
                <w:p w14:paraId="5B5AB240">
                  <w:pPr>
                    <w:widowControl/>
                    <w:jc w:val="center"/>
                    <w:rPr>
                      <w:rFonts w:hint="default" w:ascii="Times New Roman" w:hAnsi="Times New Roman" w:eastAsia="宋体" w:cs="Times New Roman"/>
                      <w:b/>
                      <w:color w:val="auto"/>
                      <w:szCs w:val="21"/>
                      <w:highlight w:val="none"/>
                    </w:rPr>
                  </w:pPr>
                </w:p>
              </w:tc>
              <w:tc>
                <w:tcPr>
                  <w:tcW w:w="951" w:type="pct"/>
                  <w:tcBorders>
                    <w:tl2br w:val="nil"/>
                    <w:tr2bl w:val="nil"/>
                  </w:tcBorders>
                  <w:vAlign w:val="center"/>
                </w:tcPr>
                <w:p w14:paraId="6807C56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昼</w:t>
                  </w:r>
                </w:p>
              </w:tc>
            </w:tr>
            <w:tr w14:paraId="6A48C2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3" w:type="pct"/>
                  <w:tcBorders>
                    <w:tl2br w:val="nil"/>
                    <w:tr2bl w:val="nil"/>
                  </w:tcBorders>
                  <w:vAlign w:val="center"/>
                </w:tcPr>
                <w:p w14:paraId="5D78E21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项目厂界</w:t>
                  </w:r>
                </w:p>
              </w:tc>
              <w:tc>
                <w:tcPr>
                  <w:tcW w:w="1761" w:type="pct"/>
                  <w:tcBorders>
                    <w:tl2br w:val="nil"/>
                    <w:tr2bl w:val="nil"/>
                  </w:tcBorders>
                  <w:vAlign w:val="center"/>
                </w:tcPr>
                <w:p w14:paraId="6761DB6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w:t>
                  </w:r>
                </w:p>
              </w:tc>
              <w:tc>
                <w:tcPr>
                  <w:tcW w:w="874" w:type="pct"/>
                  <w:tcBorders>
                    <w:tl2br w:val="nil"/>
                    <w:tr2bl w:val="nil"/>
                  </w:tcBorders>
                  <w:vAlign w:val="center"/>
                </w:tcPr>
                <w:p w14:paraId="64384375">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类功能区标准</w:t>
                  </w:r>
                </w:p>
              </w:tc>
              <w:tc>
                <w:tcPr>
                  <w:tcW w:w="681" w:type="pct"/>
                  <w:tcBorders>
                    <w:tl2br w:val="nil"/>
                    <w:tr2bl w:val="nil"/>
                  </w:tcBorders>
                  <w:vAlign w:val="center"/>
                </w:tcPr>
                <w:p w14:paraId="057E9D8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dB（A）</w:t>
                  </w:r>
                </w:p>
              </w:tc>
              <w:tc>
                <w:tcPr>
                  <w:tcW w:w="951" w:type="pct"/>
                  <w:tcBorders>
                    <w:tl2br w:val="nil"/>
                    <w:tr2bl w:val="nil"/>
                  </w:tcBorders>
                  <w:vAlign w:val="center"/>
                </w:tcPr>
                <w:p w14:paraId="7F1DA4CB">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6</w:t>
                  </w:r>
                  <w:r>
                    <w:rPr>
                      <w:rFonts w:hint="eastAsia" w:ascii="Times New Roman" w:hAnsi="Times New Roman" w:eastAsia="宋体" w:cs="Times New Roman"/>
                      <w:color w:val="auto"/>
                      <w:szCs w:val="21"/>
                      <w:highlight w:val="none"/>
                      <w:lang w:val="en-US" w:eastAsia="zh-CN"/>
                    </w:rPr>
                    <w:t>0</w:t>
                  </w:r>
                </w:p>
              </w:tc>
            </w:tr>
          </w:tbl>
          <w:p w14:paraId="072BF80F">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4、固体废物</w:t>
            </w:r>
          </w:p>
          <w:p w14:paraId="19E83B7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（1）一般固废</w:t>
            </w:r>
            <w:r>
              <w:rPr>
                <w:rFonts w:hint="default" w:ascii="Times New Roman" w:hAnsi="Times New Roman" w:eastAsia="宋体" w:cs="Times New Roman"/>
                <w:color w:val="auto"/>
                <w:sz w:val="24"/>
                <w:highlight w:val="none"/>
                <w:lang w:val="en-US" w:eastAsia="zh-CN"/>
              </w:rPr>
              <w:t>满足防渗漏、防雨淋、防扬尘的环境管理要求</w:t>
            </w:r>
            <w:r>
              <w:rPr>
                <w:rFonts w:hint="eastAsia" w:ascii="Times New Roman" w:hAnsi="Times New Roman" w:eastAsia="宋体" w:cs="Times New Roman"/>
                <w:color w:val="auto"/>
                <w:sz w:val="24"/>
                <w:highlight w:val="none"/>
                <w:lang w:val="en-US" w:eastAsia="zh-CN"/>
              </w:rPr>
              <w:t>，同时执行《省生态环境厅关于印发&lt;江苏省固体废物全过程环境监管工作意见&gt;的通知》（苏环办〔2024〕16号）的要求</w:t>
            </w:r>
            <w:r>
              <w:rPr>
                <w:rFonts w:hint="default" w:ascii="Times New Roman" w:hAnsi="Times New Roman" w:eastAsia="宋体" w:cs="Times New Roman"/>
                <w:color w:val="auto"/>
                <w:sz w:val="24"/>
                <w:highlight w:val="none"/>
              </w:rPr>
              <w:t>；</w:t>
            </w:r>
          </w:p>
          <w:p w14:paraId="38D1628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（2）危险废物执行《危险废物贮存污染控制标准》（GB18597-20</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），同时执行《省生态环境厅关于进一步加强危险废物环境管理工作的通知》（苏环办［2021］207号）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《省生态环境厅关于印发&lt;江苏省固体废物全过程环境监管工作意见&gt;的通知》（苏环办〔2024〕16号）</w:t>
            </w:r>
            <w:r>
              <w:rPr>
                <w:rFonts w:hint="default" w:ascii="Times New Roman" w:hAnsi="Times New Roman" w:eastAsia="宋体" w:cs="Times New Roman"/>
                <w:color w:val="auto"/>
                <w:sz w:val="24"/>
                <w:highlight w:val="none"/>
              </w:rPr>
              <w:t>的要求。</w:t>
            </w:r>
          </w:p>
        </w:tc>
      </w:tr>
      <w:tr w14:paraId="74D6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0C25E175">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总量控制指标</w:t>
            </w:r>
          </w:p>
        </w:tc>
        <w:tc>
          <w:tcPr>
            <w:tcW w:w="4581" w:type="pct"/>
          </w:tcPr>
          <w:p w14:paraId="1697D83F">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1、总量控制指标</w:t>
            </w:r>
          </w:p>
          <w:p w14:paraId="29A91CB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本项目污染物总量控制指标及来源途径见下表。</w:t>
            </w:r>
          </w:p>
          <w:p w14:paraId="26DD71CC">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13</w:t>
            </w:r>
            <w:r>
              <w:rPr>
                <w:rFonts w:hint="default" w:ascii="Times New Roman" w:hAnsi="Times New Roman" w:eastAsia="宋体" w:cs="Times New Roman"/>
                <w:b/>
                <w:color w:val="auto"/>
                <w:sz w:val="24"/>
                <w:highlight w:val="none"/>
              </w:rPr>
              <w:t xml:space="preserve">  建设项目全厂污染物排放总量表（单位：t/a）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468"/>
              <w:gridCol w:w="1017"/>
              <w:gridCol w:w="1012"/>
              <w:gridCol w:w="1004"/>
              <w:gridCol w:w="1004"/>
              <w:gridCol w:w="1120"/>
              <w:gridCol w:w="1075"/>
              <w:gridCol w:w="1000"/>
            </w:tblGrid>
            <w:tr w14:paraId="009D6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restart"/>
                  <w:tcBorders>
                    <w:tl2br w:val="nil"/>
                    <w:tr2bl w:val="nil"/>
                  </w:tcBorders>
                  <w:vAlign w:val="center"/>
                </w:tcPr>
                <w:p w14:paraId="03B35F4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污染物名称</w:t>
                  </w:r>
                </w:p>
              </w:tc>
              <w:tc>
                <w:tcPr>
                  <w:tcW w:w="610" w:type="pct"/>
                  <w:vMerge w:val="restart"/>
                  <w:tcBorders>
                    <w:tl2br w:val="nil"/>
                    <w:tr2bl w:val="nil"/>
                  </w:tcBorders>
                  <w:vAlign w:val="center"/>
                </w:tcPr>
                <w:p w14:paraId="5EC89B2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本项目产生量</w:t>
                  </w:r>
                </w:p>
              </w:tc>
              <w:tc>
                <w:tcPr>
                  <w:tcW w:w="605" w:type="pct"/>
                  <w:vMerge w:val="restart"/>
                  <w:tcBorders>
                    <w:tl2br w:val="nil"/>
                    <w:tr2bl w:val="nil"/>
                  </w:tcBorders>
                  <w:vAlign w:val="center"/>
                </w:tcPr>
                <w:p w14:paraId="5608080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本项目削减量</w:t>
                  </w:r>
                </w:p>
              </w:tc>
              <w:tc>
                <w:tcPr>
                  <w:tcW w:w="605" w:type="pct"/>
                  <w:vMerge w:val="restart"/>
                  <w:tcBorders>
                    <w:tl2br w:val="nil"/>
                    <w:tr2bl w:val="nil"/>
                  </w:tcBorders>
                  <w:vAlign w:val="center"/>
                </w:tcPr>
                <w:p w14:paraId="08D8D17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本项目排放量</w:t>
                  </w:r>
                </w:p>
              </w:tc>
              <w:tc>
                <w:tcPr>
                  <w:tcW w:w="1323" w:type="pct"/>
                  <w:gridSpan w:val="2"/>
                  <w:tcBorders>
                    <w:tl2br w:val="nil"/>
                    <w:tr2bl w:val="nil"/>
                  </w:tcBorders>
                  <w:vAlign w:val="center"/>
                </w:tcPr>
                <w:p w14:paraId="071F104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申请量</w:t>
                  </w:r>
                </w:p>
              </w:tc>
              <w:tc>
                <w:tcPr>
                  <w:tcW w:w="603" w:type="pct"/>
                  <w:vMerge w:val="restart"/>
                  <w:tcBorders>
                    <w:tl2br w:val="nil"/>
                    <w:tr2bl w:val="nil"/>
                  </w:tcBorders>
                  <w:vAlign w:val="center"/>
                </w:tcPr>
                <w:p w14:paraId="7A631D4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最终排入外环境量</w:t>
                  </w:r>
                </w:p>
              </w:tc>
            </w:tr>
            <w:tr w14:paraId="7EBC8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continue"/>
                  <w:tcBorders>
                    <w:tl2br w:val="nil"/>
                    <w:tr2bl w:val="nil"/>
                  </w:tcBorders>
                  <w:vAlign w:val="center"/>
                </w:tcPr>
                <w:p w14:paraId="033BBAD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10" w:type="pct"/>
                  <w:vMerge w:val="continue"/>
                  <w:tcBorders>
                    <w:tl2br w:val="nil"/>
                    <w:tr2bl w:val="nil"/>
                  </w:tcBorders>
                  <w:vAlign w:val="center"/>
                </w:tcPr>
                <w:p w14:paraId="3C1BE8D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05" w:type="pct"/>
                  <w:vMerge w:val="continue"/>
                  <w:tcBorders>
                    <w:tl2br w:val="nil"/>
                    <w:tr2bl w:val="nil"/>
                  </w:tcBorders>
                  <w:vAlign w:val="center"/>
                </w:tcPr>
                <w:p w14:paraId="39F25C8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05" w:type="pct"/>
                  <w:vMerge w:val="continue"/>
                  <w:tcBorders>
                    <w:tl2br w:val="nil"/>
                    <w:tr2bl w:val="nil"/>
                  </w:tcBorders>
                  <w:vAlign w:val="center"/>
                </w:tcPr>
                <w:p w14:paraId="3A7C4C1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75" w:type="pct"/>
                  <w:tcBorders>
                    <w:tl2br w:val="nil"/>
                    <w:tr2bl w:val="nil"/>
                  </w:tcBorders>
                  <w:vAlign w:val="center"/>
                </w:tcPr>
                <w:p w14:paraId="7A674B9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控制因子</w:t>
                  </w:r>
                </w:p>
              </w:tc>
              <w:tc>
                <w:tcPr>
                  <w:tcW w:w="648" w:type="pct"/>
                  <w:tcBorders>
                    <w:tl2br w:val="nil"/>
                    <w:tr2bl w:val="nil"/>
                  </w:tcBorders>
                  <w:vAlign w:val="center"/>
                </w:tcPr>
                <w:p w14:paraId="7007903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考核因子</w:t>
                  </w:r>
                </w:p>
              </w:tc>
              <w:tc>
                <w:tcPr>
                  <w:tcW w:w="603" w:type="pct"/>
                  <w:vMerge w:val="continue"/>
                  <w:tcBorders>
                    <w:tl2br w:val="nil"/>
                    <w:tr2bl w:val="nil"/>
                  </w:tcBorders>
                  <w:vAlign w:val="center"/>
                </w:tcPr>
                <w:p w14:paraId="140081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r w14:paraId="34FE8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38" w:type="pct"/>
                  <w:gridSpan w:val="2"/>
                  <w:vMerge w:val="restart"/>
                  <w:tcBorders>
                    <w:tl2br w:val="nil"/>
                    <w:tr2bl w:val="nil"/>
                  </w:tcBorders>
                  <w:vAlign w:val="center"/>
                </w:tcPr>
                <w:p w14:paraId="2BE01F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生活污水</w:t>
                  </w:r>
                </w:p>
              </w:tc>
              <w:tc>
                <w:tcPr>
                  <w:tcW w:w="613" w:type="pct"/>
                  <w:tcBorders>
                    <w:tl2br w:val="nil"/>
                    <w:tr2bl w:val="nil"/>
                  </w:tcBorders>
                  <w:vAlign w:val="center"/>
                </w:tcPr>
                <w:p w14:paraId="769D2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水量</w:t>
                  </w:r>
                </w:p>
              </w:tc>
              <w:tc>
                <w:tcPr>
                  <w:tcW w:w="610" w:type="pct"/>
                  <w:tcBorders>
                    <w:tl2br w:val="nil"/>
                    <w:tr2bl w:val="nil"/>
                  </w:tcBorders>
                  <w:vAlign w:val="center"/>
                </w:tcPr>
                <w:p w14:paraId="25B27E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1080</w:t>
                  </w:r>
                </w:p>
              </w:tc>
              <w:tc>
                <w:tcPr>
                  <w:tcW w:w="605" w:type="pct"/>
                  <w:tcBorders>
                    <w:tl2br w:val="nil"/>
                    <w:tr2bl w:val="nil"/>
                  </w:tcBorders>
                  <w:shd w:val="clear" w:color="auto" w:fill="auto"/>
                  <w:vAlign w:val="center"/>
                </w:tcPr>
                <w:p w14:paraId="067F6B5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18DD89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1080</w:t>
                  </w:r>
                </w:p>
              </w:tc>
              <w:tc>
                <w:tcPr>
                  <w:tcW w:w="675" w:type="pct"/>
                  <w:tcBorders>
                    <w:tl2br w:val="nil"/>
                    <w:tr2bl w:val="nil"/>
                  </w:tcBorders>
                  <w:shd w:val="clear" w:color="auto" w:fill="auto"/>
                  <w:vAlign w:val="center"/>
                </w:tcPr>
                <w:p w14:paraId="5CBC8F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1080</w:t>
                  </w:r>
                </w:p>
              </w:tc>
              <w:tc>
                <w:tcPr>
                  <w:tcW w:w="648" w:type="pct"/>
                  <w:tcBorders>
                    <w:tl2br w:val="nil"/>
                    <w:tr2bl w:val="nil"/>
                  </w:tcBorders>
                  <w:vAlign w:val="center"/>
                </w:tcPr>
                <w:p w14:paraId="7859AE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05CEE4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1080</w:t>
                  </w:r>
                </w:p>
              </w:tc>
            </w:tr>
            <w:tr w14:paraId="08509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6EFEF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613AE2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610" w:type="pct"/>
                  <w:tcBorders>
                    <w:tl2br w:val="nil"/>
                    <w:tr2bl w:val="nil"/>
                  </w:tcBorders>
                  <w:shd w:val="clear" w:color="auto" w:fill="auto"/>
                  <w:vAlign w:val="center"/>
                </w:tcPr>
                <w:p w14:paraId="6FE525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605" w:type="pct"/>
                  <w:tcBorders>
                    <w:tl2br w:val="nil"/>
                    <w:tr2bl w:val="nil"/>
                  </w:tcBorders>
                  <w:shd w:val="clear" w:color="auto" w:fill="auto"/>
                  <w:vAlign w:val="center"/>
                </w:tcPr>
                <w:p w14:paraId="4E4EEA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25C91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675" w:type="pct"/>
                  <w:tcBorders>
                    <w:tl2br w:val="nil"/>
                    <w:tr2bl w:val="nil"/>
                  </w:tcBorders>
                  <w:shd w:val="clear" w:color="auto" w:fill="auto"/>
                  <w:vAlign w:val="center"/>
                </w:tcPr>
                <w:p w14:paraId="1AF18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648" w:type="pct"/>
                  <w:tcBorders>
                    <w:tl2br w:val="nil"/>
                    <w:tr2bl w:val="nil"/>
                  </w:tcBorders>
                  <w:vAlign w:val="center"/>
                </w:tcPr>
                <w:p w14:paraId="68D5B2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1A9A80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54</w:t>
                  </w:r>
                </w:p>
              </w:tc>
            </w:tr>
            <w:tr w14:paraId="19CC5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4EF26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03D088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610" w:type="pct"/>
                  <w:tcBorders>
                    <w:tl2br w:val="nil"/>
                    <w:tr2bl w:val="nil"/>
                  </w:tcBorders>
                  <w:shd w:val="clear" w:color="auto" w:fill="auto"/>
                  <w:vAlign w:val="center"/>
                </w:tcPr>
                <w:p w14:paraId="1F8BF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605" w:type="pct"/>
                  <w:tcBorders>
                    <w:tl2br w:val="nil"/>
                    <w:tr2bl w:val="nil"/>
                  </w:tcBorders>
                  <w:shd w:val="clear" w:color="auto" w:fill="auto"/>
                  <w:vAlign w:val="center"/>
                </w:tcPr>
                <w:p w14:paraId="5A07AD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1FD3F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675" w:type="pct"/>
                  <w:tcBorders>
                    <w:tl2br w:val="nil"/>
                    <w:tr2bl w:val="nil"/>
                  </w:tcBorders>
                  <w:shd w:val="clear" w:color="auto" w:fill="auto"/>
                  <w:vAlign w:val="center"/>
                </w:tcPr>
                <w:p w14:paraId="3D064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648" w:type="pct"/>
                  <w:tcBorders>
                    <w:tl2br w:val="nil"/>
                    <w:tr2bl w:val="nil"/>
                  </w:tcBorders>
                  <w:vAlign w:val="center"/>
                </w:tcPr>
                <w:p w14:paraId="5AE760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603" w:type="pct"/>
                  <w:tcBorders>
                    <w:tl2br w:val="nil"/>
                    <w:tr2bl w:val="nil"/>
                  </w:tcBorders>
                  <w:shd w:val="clear" w:color="auto" w:fill="auto"/>
                  <w:vAlign w:val="center"/>
                </w:tcPr>
                <w:p w14:paraId="018821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38B6E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8" w:type="pct"/>
                  <w:gridSpan w:val="2"/>
                  <w:vMerge w:val="continue"/>
                  <w:tcBorders>
                    <w:tl2br w:val="nil"/>
                    <w:tr2bl w:val="nil"/>
                  </w:tcBorders>
                  <w:vAlign w:val="center"/>
                </w:tcPr>
                <w:p w14:paraId="2CFFA9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2C2D5D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610" w:type="pct"/>
                  <w:tcBorders>
                    <w:tl2br w:val="nil"/>
                    <w:tr2bl w:val="nil"/>
                  </w:tcBorders>
                  <w:shd w:val="clear" w:color="auto" w:fill="auto"/>
                  <w:vAlign w:val="center"/>
                </w:tcPr>
                <w:p w14:paraId="1A2DA4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605" w:type="pct"/>
                  <w:tcBorders>
                    <w:tl2br w:val="nil"/>
                    <w:tr2bl w:val="nil"/>
                  </w:tcBorders>
                  <w:shd w:val="clear" w:color="auto" w:fill="auto"/>
                  <w:vAlign w:val="center"/>
                </w:tcPr>
                <w:p w14:paraId="5902D6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5B995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675" w:type="pct"/>
                  <w:tcBorders>
                    <w:tl2br w:val="nil"/>
                    <w:tr2bl w:val="nil"/>
                  </w:tcBorders>
                  <w:shd w:val="clear" w:color="auto" w:fill="auto"/>
                  <w:vAlign w:val="center"/>
                </w:tcPr>
                <w:p w14:paraId="1D45B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648" w:type="pct"/>
                  <w:tcBorders>
                    <w:tl2br w:val="nil"/>
                    <w:tr2bl w:val="nil"/>
                  </w:tcBorders>
                  <w:vAlign w:val="center"/>
                </w:tcPr>
                <w:p w14:paraId="5B4A07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43AAA7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r>
            <w:tr w14:paraId="60A29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32C6CA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1AF623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T</w:t>
                  </w:r>
                  <w:r>
                    <w:rPr>
                      <w:rFonts w:hint="eastAsia" w:ascii="Times New Roman" w:hAnsi="Times New Roman" w:eastAsia="宋体" w:cs="Times New Roman"/>
                      <w:color w:val="auto"/>
                      <w:kern w:val="0"/>
                      <w:sz w:val="21"/>
                      <w:szCs w:val="21"/>
                      <w:highlight w:val="none"/>
                      <w:lang w:val="en-US" w:eastAsia="zh-CN"/>
                    </w:rPr>
                    <w:t>N</w:t>
                  </w:r>
                </w:p>
              </w:tc>
              <w:tc>
                <w:tcPr>
                  <w:tcW w:w="610" w:type="pct"/>
                  <w:tcBorders>
                    <w:tl2br w:val="nil"/>
                    <w:tr2bl w:val="nil"/>
                  </w:tcBorders>
                  <w:shd w:val="clear" w:color="auto" w:fill="auto"/>
                  <w:vAlign w:val="center"/>
                </w:tcPr>
                <w:p w14:paraId="335D8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38</w:t>
                  </w:r>
                </w:p>
              </w:tc>
              <w:tc>
                <w:tcPr>
                  <w:tcW w:w="605" w:type="pct"/>
                  <w:tcBorders>
                    <w:tl2br w:val="nil"/>
                    <w:tr2bl w:val="nil"/>
                  </w:tcBorders>
                  <w:shd w:val="clear" w:color="auto" w:fill="auto"/>
                  <w:vAlign w:val="center"/>
                </w:tcPr>
                <w:p w14:paraId="2A5F04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40639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38</w:t>
                  </w:r>
                </w:p>
              </w:tc>
              <w:tc>
                <w:tcPr>
                  <w:tcW w:w="675" w:type="pct"/>
                  <w:tcBorders>
                    <w:tl2br w:val="nil"/>
                    <w:tr2bl w:val="nil"/>
                  </w:tcBorders>
                  <w:shd w:val="clear" w:color="auto" w:fill="auto"/>
                  <w:vAlign w:val="center"/>
                </w:tcPr>
                <w:p w14:paraId="5ACDB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38</w:t>
                  </w:r>
                </w:p>
              </w:tc>
              <w:tc>
                <w:tcPr>
                  <w:tcW w:w="648" w:type="pct"/>
                  <w:tcBorders>
                    <w:tl2br w:val="nil"/>
                    <w:tr2bl w:val="nil"/>
                  </w:tcBorders>
                  <w:vAlign w:val="center"/>
                </w:tcPr>
                <w:p w14:paraId="21564E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15307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13</w:t>
                  </w:r>
                </w:p>
              </w:tc>
            </w:tr>
            <w:tr w14:paraId="21AFB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306DFB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2151BF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T</w:t>
                  </w:r>
                  <w:r>
                    <w:rPr>
                      <w:rFonts w:hint="eastAsia" w:ascii="Times New Roman" w:hAnsi="Times New Roman" w:eastAsia="宋体" w:cs="Times New Roman"/>
                      <w:color w:val="auto"/>
                      <w:kern w:val="0"/>
                      <w:sz w:val="21"/>
                      <w:szCs w:val="21"/>
                      <w:highlight w:val="none"/>
                      <w:lang w:val="en-US" w:eastAsia="zh-CN"/>
                    </w:rPr>
                    <w:t>P</w:t>
                  </w:r>
                </w:p>
              </w:tc>
              <w:tc>
                <w:tcPr>
                  <w:tcW w:w="610" w:type="pct"/>
                  <w:tcBorders>
                    <w:tl2br w:val="nil"/>
                    <w:tr2bl w:val="nil"/>
                  </w:tcBorders>
                  <w:shd w:val="clear" w:color="auto" w:fill="auto"/>
                  <w:vAlign w:val="center"/>
                </w:tcPr>
                <w:p w14:paraId="343E5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605" w:type="pct"/>
                  <w:tcBorders>
                    <w:tl2br w:val="nil"/>
                    <w:tr2bl w:val="nil"/>
                  </w:tcBorders>
                  <w:shd w:val="clear" w:color="auto" w:fill="auto"/>
                  <w:vAlign w:val="center"/>
                </w:tcPr>
                <w:p w14:paraId="357FD1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64479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675" w:type="pct"/>
                  <w:tcBorders>
                    <w:tl2br w:val="nil"/>
                    <w:tr2bl w:val="nil"/>
                  </w:tcBorders>
                  <w:shd w:val="clear" w:color="auto" w:fill="auto"/>
                  <w:vAlign w:val="center"/>
                </w:tcPr>
                <w:p w14:paraId="1F270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648" w:type="pct"/>
                  <w:tcBorders>
                    <w:tl2br w:val="nil"/>
                    <w:tr2bl w:val="nil"/>
                  </w:tcBorders>
                  <w:vAlign w:val="center"/>
                </w:tcPr>
                <w:p w14:paraId="4E38FA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076CC4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01</w:t>
                  </w:r>
                </w:p>
              </w:tc>
            </w:tr>
            <w:tr w14:paraId="097E9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restart"/>
                  <w:tcBorders>
                    <w:tl2br w:val="nil"/>
                    <w:tr2bl w:val="nil"/>
                  </w:tcBorders>
                  <w:vAlign w:val="center"/>
                </w:tcPr>
                <w:p w14:paraId="0BADBB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大气污染物</w:t>
                  </w:r>
                </w:p>
              </w:tc>
              <w:tc>
                <w:tcPr>
                  <w:tcW w:w="282" w:type="pct"/>
                  <w:vMerge w:val="restart"/>
                  <w:tcBorders>
                    <w:tl2br w:val="nil"/>
                    <w:tr2bl w:val="nil"/>
                  </w:tcBorders>
                  <w:vAlign w:val="center"/>
                </w:tcPr>
                <w:p w14:paraId="58CFD63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有组织</w:t>
                  </w:r>
                </w:p>
              </w:tc>
              <w:tc>
                <w:tcPr>
                  <w:tcW w:w="613" w:type="pct"/>
                  <w:tcBorders>
                    <w:tl2br w:val="nil"/>
                    <w:tr2bl w:val="nil"/>
                  </w:tcBorders>
                  <w:vAlign w:val="center"/>
                </w:tcPr>
                <w:p w14:paraId="6D73C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sz w:val="21"/>
                      <w:szCs w:val="21"/>
                      <w:highlight w:val="none"/>
                      <w:lang w:val="en-US" w:eastAsia="zh-CN"/>
                    </w:rPr>
                    <w:t>非甲烷总烃</w:t>
                  </w:r>
                </w:p>
              </w:tc>
              <w:tc>
                <w:tcPr>
                  <w:tcW w:w="610" w:type="pct"/>
                  <w:tcBorders>
                    <w:tl2br w:val="nil"/>
                    <w:tr2bl w:val="nil"/>
                  </w:tcBorders>
                  <w:shd w:val="clear" w:color="auto" w:fill="auto"/>
                  <w:vAlign w:val="center"/>
                </w:tcPr>
                <w:p w14:paraId="721EA7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0.6673</w:t>
                  </w:r>
                </w:p>
              </w:tc>
              <w:tc>
                <w:tcPr>
                  <w:tcW w:w="605" w:type="pct"/>
                  <w:tcBorders>
                    <w:tl2br w:val="nil"/>
                    <w:tr2bl w:val="nil"/>
                  </w:tcBorders>
                  <w:shd w:val="clear" w:color="auto" w:fill="auto"/>
                  <w:vAlign w:val="center"/>
                </w:tcPr>
                <w:p w14:paraId="6C6D75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0.6006</w:t>
                  </w:r>
                </w:p>
              </w:tc>
              <w:tc>
                <w:tcPr>
                  <w:tcW w:w="605" w:type="pct"/>
                  <w:tcBorders>
                    <w:tl2br w:val="nil"/>
                    <w:tr2bl w:val="nil"/>
                  </w:tcBorders>
                  <w:shd w:val="clear" w:color="auto" w:fill="auto"/>
                  <w:vAlign w:val="center"/>
                </w:tcPr>
                <w:p w14:paraId="118BDD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0.0667</w:t>
                  </w:r>
                </w:p>
              </w:tc>
              <w:tc>
                <w:tcPr>
                  <w:tcW w:w="675" w:type="pct"/>
                  <w:tcBorders>
                    <w:tl2br w:val="nil"/>
                    <w:tr2bl w:val="nil"/>
                  </w:tcBorders>
                  <w:shd w:val="clear" w:color="auto" w:fill="auto"/>
                  <w:vAlign w:val="center"/>
                </w:tcPr>
                <w:p w14:paraId="494CF0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0.0667</w:t>
                  </w:r>
                </w:p>
              </w:tc>
              <w:tc>
                <w:tcPr>
                  <w:tcW w:w="648" w:type="pct"/>
                  <w:tcBorders>
                    <w:tl2br w:val="nil"/>
                    <w:tr2bl w:val="nil"/>
                  </w:tcBorders>
                  <w:vAlign w:val="center"/>
                </w:tcPr>
                <w:p w14:paraId="4BAF69C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603" w:type="pct"/>
                  <w:tcBorders>
                    <w:tl2br w:val="nil"/>
                    <w:tr2bl w:val="nil"/>
                  </w:tcBorders>
                  <w:shd w:val="clear" w:color="auto" w:fill="auto"/>
                  <w:vAlign w:val="center"/>
                </w:tcPr>
                <w:p w14:paraId="08B270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0.0667</w:t>
                  </w:r>
                </w:p>
              </w:tc>
            </w:tr>
            <w:tr w14:paraId="4F8A5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7DB31A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55E22D5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13" w:type="pct"/>
                  <w:tcBorders>
                    <w:tl2br w:val="nil"/>
                    <w:tr2bl w:val="nil"/>
                  </w:tcBorders>
                  <w:shd w:val="clear" w:color="auto" w:fill="auto"/>
                  <w:vAlign w:val="center"/>
                </w:tcPr>
                <w:p w14:paraId="5173AE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颗粒物</w:t>
                  </w:r>
                </w:p>
              </w:tc>
              <w:tc>
                <w:tcPr>
                  <w:tcW w:w="610" w:type="pct"/>
                  <w:tcBorders>
                    <w:tl2br w:val="nil"/>
                    <w:tr2bl w:val="nil"/>
                  </w:tcBorders>
                  <w:shd w:val="clear" w:color="auto" w:fill="auto"/>
                  <w:vAlign w:val="center"/>
                </w:tcPr>
                <w:p w14:paraId="672258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7.7883</w:t>
                  </w:r>
                </w:p>
              </w:tc>
              <w:tc>
                <w:tcPr>
                  <w:tcW w:w="605" w:type="pct"/>
                  <w:tcBorders>
                    <w:tl2br w:val="nil"/>
                    <w:tr2bl w:val="nil"/>
                  </w:tcBorders>
                  <w:shd w:val="clear" w:color="auto" w:fill="auto"/>
                  <w:vAlign w:val="center"/>
                </w:tcPr>
                <w:p w14:paraId="40A717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7.6850</w:t>
                  </w:r>
                </w:p>
              </w:tc>
              <w:tc>
                <w:tcPr>
                  <w:tcW w:w="605" w:type="pct"/>
                  <w:tcBorders>
                    <w:tl2br w:val="nil"/>
                    <w:tr2bl w:val="nil"/>
                  </w:tcBorders>
                  <w:shd w:val="clear" w:color="auto" w:fill="auto"/>
                  <w:vAlign w:val="center"/>
                </w:tcPr>
                <w:p w14:paraId="1869B8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0.1033</w:t>
                  </w:r>
                </w:p>
              </w:tc>
              <w:tc>
                <w:tcPr>
                  <w:tcW w:w="675" w:type="pct"/>
                  <w:tcBorders>
                    <w:tl2br w:val="nil"/>
                    <w:tr2bl w:val="nil"/>
                  </w:tcBorders>
                  <w:shd w:val="clear" w:color="auto" w:fill="auto"/>
                  <w:vAlign w:val="center"/>
                </w:tcPr>
                <w:p w14:paraId="4EACDF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0.1033</w:t>
                  </w:r>
                </w:p>
              </w:tc>
              <w:tc>
                <w:tcPr>
                  <w:tcW w:w="648" w:type="pct"/>
                  <w:tcBorders>
                    <w:tl2br w:val="nil"/>
                    <w:tr2bl w:val="nil"/>
                  </w:tcBorders>
                  <w:shd w:val="clear" w:color="auto" w:fill="auto"/>
                  <w:vAlign w:val="center"/>
                </w:tcPr>
                <w:p w14:paraId="22B793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c>
                <w:tcPr>
                  <w:tcW w:w="603" w:type="pct"/>
                  <w:tcBorders>
                    <w:tl2br w:val="nil"/>
                    <w:tr2bl w:val="nil"/>
                  </w:tcBorders>
                  <w:shd w:val="clear" w:color="auto" w:fill="auto"/>
                  <w:vAlign w:val="center"/>
                </w:tcPr>
                <w:p w14:paraId="7505AE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0.1033</w:t>
                  </w:r>
                </w:p>
              </w:tc>
            </w:tr>
            <w:tr w14:paraId="1055A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04E1C2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7FC225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13" w:type="pct"/>
                  <w:tcBorders>
                    <w:tl2br w:val="nil"/>
                    <w:tr2bl w:val="nil"/>
                  </w:tcBorders>
                  <w:shd w:val="clear" w:color="auto" w:fill="auto"/>
                  <w:vAlign w:val="center"/>
                </w:tcPr>
                <w:p w14:paraId="1A8C758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SO</w:t>
                  </w:r>
                  <w:r>
                    <w:rPr>
                      <w:rFonts w:hint="eastAsia" w:ascii="Times New Roman" w:hAnsi="Times New Roman" w:eastAsia="宋体" w:cs="Times New Roman"/>
                      <w:color w:val="auto"/>
                      <w:kern w:val="2"/>
                      <w:sz w:val="21"/>
                      <w:szCs w:val="21"/>
                      <w:highlight w:val="none"/>
                      <w:vertAlign w:val="subscript"/>
                      <w:lang w:val="en-US" w:eastAsia="zh-CN" w:bidi="ar-SA"/>
                    </w:rPr>
                    <w:t>2</w:t>
                  </w:r>
                </w:p>
              </w:tc>
              <w:tc>
                <w:tcPr>
                  <w:tcW w:w="610" w:type="pct"/>
                  <w:tcBorders>
                    <w:tl2br w:val="nil"/>
                    <w:tr2bl w:val="nil"/>
                  </w:tcBorders>
                  <w:shd w:val="clear" w:color="auto" w:fill="auto"/>
                  <w:vAlign w:val="center"/>
                </w:tcPr>
                <w:p w14:paraId="52950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w:t>
                  </w:r>
                  <w:r>
                    <w:rPr>
                      <w:rFonts w:hint="eastAsia" w:ascii="Times New Roman" w:hAnsi="Times New Roman" w:eastAsia="宋体" w:cs="Times New Roman"/>
                      <w:color w:val="auto"/>
                      <w:kern w:val="0"/>
                      <w:sz w:val="21"/>
                      <w:szCs w:val="21"/>
                      <w:highlight w:val="none"/>
                      <w:lang w:val="en-US" w:eastAsia="zh-CN"/>
                    </w:rPr>
                    <w:t>36</w:t>
                  </w:r>
                </w:p>
              </w:tc>
              <w:tc>
                <w:tcPr>
                  <w:tcW w:w="605" w:type="pct"/>
                  <w:tcBorders>
                    <w:tl2br w:val="nil"/>
                    <w:tr2bl w:val="nil"/>
                  </w:tcBorders>
                  <w:shd w:val="clear" w:color="auto" w:fill="auto"/>
                  <w:vAlign w:val="center"/>
                </w:tcPr>
                <w:p w14:paraId="2A41598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2EC3F0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675" w:type="pct"/>
                  <w:tcBorders>
                    <w:tl2br w:val="nil"/>
                    <w:tr2bl w:val="nil"/>
                  </w:tcBorders>
                  <w:shd w:val="clear" w:color="auto" w:fill="auto"/>
                  <w:vAlign w:val="center"/>
                </w:tcPr>
                <w:p w14:paraId="54E66C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648" w:type="pct"/>
                  <w:tcBorders>
                    <w:tl2br w:val="nil"/>
                    <w:tr2bl w:val="nil"/>
                  </w:tcBorders>
                  <w:shd w:val="clear" w:color="auto" w:fill="auto"/>
                  <w:vAlign w:val="center"/>
                </w:tcPr>
                <w:p w14:paraId="23D5A74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62DAE8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r>
            <w:tr w14:paraId="5E8C3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4C3096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0FCCA1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p>
              </w:tc>
              <w:tc>
                <w:tcPr>
                  <w:tcW w:w="613" w:type="pct"/>
                  <w:tcBorders>
                    <w:tl2br w:val="nil"/>
                    <w:tr2bl w:val="nil"/>
                  </w:tcBorders>
                  <w:shd w:val="clear" w:color="auto" w:fill="auto"/>
                  <w:vAlign w:val="center"/>
                </w:tcPr>
                <w:p w14:paraId="358D578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NOx</w:t>
                  </w:r>
                </w:p>
              </w:tc>
              <w:tc>
                <w:tcPr>
                  <w:tcW w:w="610" w:type="pct"/>
                  <w:tcBorders>
                    <w:tl2br w:val="nil"/>
                    <w:tr2bl w:val="nil"/>
                  </w:tcBorders>
                  <w:shd w:val="clear" w:color="auto" w:fill="auto"/>
                  <w:vAlign w:val="center"/>
                </w:tcPr>
                <w:p w14:paraId="5AE0D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0.1683</w:t>
                  </w:r>
                </w:p>
              </w:tc>
              <w:tc>
                <w:tcPr>
                  <w:tcW w:w="605" w:type="pct"/>
                  <w:tcBorders>
                    <w:tl2br w:val="nil"/>
                    <w:tr2bl w:val="nil"/>
                  </w:tcBorders>
                  <w:shd w:val="clear" w:color="auto" w:fill="auto"/>
                  <w:vAlign w:val="center"/>
                </w:tcPr>
                <w:p w14:paraId="4175A0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0.0841</w:t>
                  </w:r>
                </w:p>
              </w:tc>
              <w:tc>
                <w:tcPr>
                  <w:tcW w:w="605" w:type="pct"/>
                  <w:tcBorders>
                    <w:tl2br w:val="nil"/>
                    <w:tr2bl w:val="nil"/>
                  </w:tcBorders>
                  <w:shd w:val="clear" w:color="auto" w:fill="auto"/>
                  <w:vAlign w:val="center"/>
                </w:tcPr>
                <w:p w14:paraId="6DB55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c>
                <w:tcPr>
                  <w:tcW w:w="675" w:type="pct"/>
                  <w:tcBorders>
                    <w:tl2br w:val="nil"/>
                    <w:tr2bl w:val="nil"/>
                  </w:tcBorders>
                  <w:shd w:val="clear" w:color="auto" w:fill="auto"/>
                  <w:vAlign w:val="center"/>
                </w:tcPr>
                <w:p w14:paraId="20903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c>
                <w:tcPr>
                  <w:tcW w:w="648" w:type="pct"/>
                  <w:tcBorders>
                    <w:tl2br w:val="nil"/>
                    <w:tr2bl w:val="nil"/>
                  </w:tcBorders>
                  <w:shd w:val="clear" w:color="auto" w:fill="auto"/>
                  <w:vAlign w:val="center"/>
                </w:tcPr>
                <w:p w14:paraId="12FB09E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66933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r>
            <w:tr w14:paraId="7DFC5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6D0EA3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restart"/>
                  <w:tcBorders>
                    <w:tl2br w:val="nil"/>
                    <w:tr2bl w:val="nil"/>
                  </w:tcBorders>
                  <w:vAlign w:val="center"/>
                </w:tcPr>
                <w:p w14:paraId="7E2314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无组织</w:t>
                  </w:r>
                </w:p>
              </w:tc>
              <w:tc>
                <w:tcPr>
                  <w:tcW w:w="613" w:type="pct"/>
                  <w:tcBorders>
                    <w:tl2br w:val="nil"/>
                    <w:tr2bl w:val="nil"/>
                  </w:tcBorders>
                  <w:vAlign w:val="center"/>
                </w:tcPr>
                <w:p w14:paraId="0C5CF8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sz w:val="21"/>
                      <w:szCs w:val="21"/>
                      <w:highlight w:val="none"/>
                      <w:lang w:val="en-US" w:eastAsia="zh-CN"/>
                    </w:rPr>
                    <w:t>非甲烷总烃</w:t>
                  </w:r>
                </w:p>
              </w:tc>
              <w:tc>
                <w:tcPr>
                  <w:tcW w:w="610" w:type="pct"/>
                  <w:tcBorders>
                    <w:tl2br w:val="nil"/>
                    <w:tr2bl w:val="nil"/>
                  </w:tcBorders>
                  <w:vAlign w:val="center"/>
                </w:tcPr>
                <w:p w14:paraId="5BFABF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c>
                <w:tcPr>
                  <w:tcW w:w="605" w:type="pct"/>
                  <w:tcBorders>
                    <w:tl2br w:val="nil"/>
                    <w:tr2bl w:val="nil"/>
                  </w:tcBorders>
                  <w:vAlign w:val="center"/>
                </w:tcPr>
                <w:p w14:paraId="7DBE42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vAlign w:val="center"/>
                </w:tcPr>
                <w:p w14:paraId="7B6BC20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c>
                <w:tcPr>
                  <w:tcW w:w="675" w:type="pct"/>
                  <w:tcBorders>
                    <w:tl2br w:val="nil"/>
                    <w:tr2bl w:val="nil"/>
                  </w:tcBorders>
                  <w:vAlign w:val="center"/>
                </w:tcPr>
                <w:p w14:paraId="59FBE4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c>
                <w:tcPr>
                  <w:tcW w:w="648" w:type="pct"/>
                  <w:tcBorders>
                    <w:tl2br w:val="nil"/>
                    <w:tr2bl w:val="nil"/>
                  </w:tcBorders>
                  <w:vAlign w:val="center"/>
                </w:tcPr>
                <w:p w14:paraId="49D628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3F7E08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r>
            <w:tr w14:paraId="375DD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3AE5BD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00E44F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53D3780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颗粒物</w:t>
                  </w:r>
                </w:p>
              </w:tc>
              <w:tc>
                <w:tcPr>
                  <w:tcW w:w="610" w:type="pct"/>
                  <w:tcBorders>
                    <w:tl2br w:val="nil"/>
                    <w:tr2bl w:val="nil"/>
                  </w:tcBorders>
                  <w:vAlign w:val="center"/>
                </w:tcPr>
                <w:p w14:paraId="716234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0.2168</w:t>
                  </w:r>
                </w:p>
              </w:tc>
              <w:tc>
                <w:tcPr>
                  <w:tcW w:w="605" w:type="pct"/>
                  <w:tcBorders>
                    <w:tl2br w:val="nil"/>
                    <w:tr2bl w:val="nil"/>
                  </w:tcBorders>
                  <w:vAlign w:val="center"/>
                </w:tcPr>
                <w:p w14:paraId="15B18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0.0397</w:t>
                  </w:r>
                </w:p>
              </w:tc>
              <w:tc>
                <w:tcPr>
                  <w:tcW w:w="605" w:type="pct"/>
                  <w:tcBorders>
                    <w:tl2br w:val="nil"/>
                    <w:tr2bl w:val="nil"/>
                  </w:tcBorders>
                  <w:vAlign w:val="center"/>
                </w:tcPr>
                <w:p w14:paraId="169BDD4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0.1771</w:t>
                  </w:r>
                </w:p>
              </w:tc>
              <w:tc>
                <w:tcPr>
                  <w:tcW w:w="675" w:type="pct"/>
                  <w:tcBorders>
                    <w:tl2br w:val="nil"/>
                    <w:tr2bl w:val="nil"/>
                  </w:tcBorders>
                  <w:vAlign w:val="center"/>
                </w:tcPr>
                <w:p w14:paraId="57AC6DE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0.1771</w:t>
                  </w:r>
                </w:p>
              </w:tc>
              <w:tc>
                <w:tcPr>
                  <w:tcW w:w="648" w:type="pct"/>
                  <w:tcBorders>
                    <w:tl2br w:val="nil"/>
                    <w:tr2bl w:val="nil"/>
                  </w:tcBorders>
                  <w:vAlign w:val="center"/>
                </w:tcPr>
                <w:p w14:paraId="7DE278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5694E49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0.1771</w:t>
                  </w:r>
                </w:p>
              </w:tc>
            </w:tr>
            <w:tr w14:paraId="7C8C4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vMerge w:val="continue"/>
                  <w:tcBorders>
                    <w:tl2br w:val="nil"/>
                    <w:tr2bl w:val="nil"/>
                  </w:tcBorders>
                  <w:vAlign w:val="center"/>
                </w:tcPr>
                <w:p w14:paraId="1482F7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1E2651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shd w:val="clear" w:color="auto" w:fill="auto"/>
                  <w:vAlign w:val="center"/>
                </w:tcPr>
                <w:p w14:paraId="63287C8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SO</w:t>
                  </w:r>
                  <w:r>
                    <w:rPr>
                      <w:rFonts w:hint="eastAsia" w:ascii="Times New Roman" w:hAnsi="Times New Roman" w:eastAsia="宋体" w:cs="Times New Roman"/>
                      <w:color w:val="auto"/>
                      <w:kern w:val="2"/>
                      <w:sz w:val="21"/>
                      <w:szCs w:val="21"/>
                      <w:highlight w:val="none"/>
                      <w:vertAlign w:val="subscript"/>
                      <w:lang w:val="en-US" w:eastAsia="zh-CN" w:bidi="ar-SA"/>
                    </w:rPr>
                    <w:t>2</w:t>
                  </w:r>
                </w:p>
              </w:tc>
              <w:tc>
                <w:tcPr>
                  <w:tcW w:w="610" w:type="pct"/>
                  <w:tcBorders>
                    <w:tl2br w:val="nil"/>
                    <w:tr2bl w:val="nil"/>
                  </w:tcBorders>
                  <w:vAlign w:val="center"/>
                </w:tcPr>
                <w:p w14:paraId="3CE91E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0.0004</w:t>
                  </w:r>
                </w:p>
              </w:tc>
              <w:tc>
                <w:tcPr>
                  <w:tcW w:w="605" w:type="pct"/>
                  <w:tcBorders>
                    <w:tl2br w:val="nil"/>
                    <w:tr2bl w:val="nil"/>
                  </w:tcBorders>
                  <w:shd w:val="clear" w:color="auto" w:fill="auto"/>
                  <w:vAlign w:val="center"/>
                </w:tcPr>
                <w:p w14:paraId="728224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072A37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0.0004</w:t>
                  </w:r>
                </w:p>
              </w:tc>
              <w:tc>
                <w:tcPr>
                  <w:tcW w:w="675" w:type="pct"/>
                  <w:tcBorders>
                    <w:tl2br w:val="nil"/>
                    <w:tr2bl w:val="nil"/>
                  </w:tcBorders>
                  <w:shd w:val="clear" w:color="auto" w:fill="auto"/>
                  <w:vAlign w:val="center"/>
                </w:tcPr>
                <w:p w14:paraId="41321A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0.0004</w:t>
                  </w:r>
                </w:p>
              </w:tc>
              <w:tc>
                <w:tcPr>
                  <w:tcW w:w="648" w:type="pct"/>
                  <w:tcBorders>
                    <w:tl2br w:val="nil"/>
                    <w:tr2bl w:val="nil"/>
                  </w:tcBorders>
                  <w:shd w:val="clear" w:color="auto" w:fill="auto"/>
                  <w:vAlign w:val="center"/>
                </w:tcPr>
                <w:p w14:paraId="27C525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6EC349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0.0004</w:t>
                  </w:r>
                </w:p>
              </w:tc>
            </w:tr>
            <w:tr w14:paraId="19D74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 w:type="pct"/>
                  <w:vMerge w:val="continue"/>
                  <w:tcBorders>
                    <w:tl2br w:val="nil"/>
                    <w:tr2bl w:val="nil"/>
                  </w:tcBorders>
                  <w:vAlign w:val="center"/>
                </w:tcPr>
                <w:p w14:paraId="1F543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071C43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shd w:val="clear" w:color="auto" w:fill="auto"/>
                  <w:vAlign w:val="center"/>
                </w:tcPr>
                <w:p w14:paraId="090189D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NOx</w:t>
                  </w:r>
                </w:p>
              </w:tc>
              <w:tc>
                <w:tcPr>
                  <w:tcW w:w="610" w:type="pct"/>
                  <w:tcBorders>
                    <w:tl2br w:val="nil"/>
                    <w:tr2bl w:val="nil"/>
                  </w:tcBorders>
                  <w:vAlign w:val="center"/>
                </w:tcPr>
                <w:p w14:paraId="4B00ED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0.0094</w:t>
                  </w:r>
                </w:p>
              </w:tc>
              <w:tc>
                <w:tcPr>
                  <w:tcW w:w="605" w:type="pct"/>
                  <w:tcBorders>
                    <w:tl2br w:val="nil"/>
                    <w:tr2bl w:val="nil"/>
                  </w:tcBorders>
                  <w:shd w:val="clear" w:color="auto" w:fill="auto"/>
                  <w:vAlign w:val="center"/>
                </w:tcPr>
                <w:p w14:paraId="6135AD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1C7969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0.0094</w:t>
                  </w:r>
                </w:p>
              </w:tc>
              <w:tc>
                <w:tcPr>
                  <w:tcW w:w="675" w:type="pct"/>
                  <w:tcBorders>
                    <w:tl2br w:val="nil"/>
                    <w:tr2bl w:val="nil"/>
                  </w:tcBorders>
                  <w:shd w:val="clear" w:color="auto" w:fill="auto"/>
                  <w:vAlign w:val="center"/>
                </w:tcPr>
                <w:p w14:paraId="5A92EA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0.0094</w:t>
                  </w:r>
                </w:p>
              </w:tc>
              <w:tc>
                <w:tcPr>
                  <w:tcW w:w="648" w:type="pct"/>
                  <w:tcBorders>
                    <w:tl2br w:val="nil"/>
                    <w:tr2bl w:val="nil"/>
                  </w:tcBorders>
                  <w:shd w:val="clear" w:color="auto" w:fill="auto"/>
                  <w:vAlign w:val="center"/>
                </w:tcPr>
                <w:p w14:paraId="6B4503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556314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0.0094</w:t>
                  </w:r>
                </w:p>
              </w:tc>
            </w:tr>
            <w:tr w14:paraId="79A50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38" w:type="pct"/>
                  <w:gridSpan w:val="2"/>
                  <w:vMerge w:val="restart"/>
                  <w:tcBorders>
                    <w:tl2br w:val="nil"/>
                    <w:tr2bl w:val="nil"/>
                  </w:tcBorders>
                  <w:vAlign w:val="center"/>
                </w:tcPr>
                <w:p w14:paraId="576A69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613" w:type="pct"/>
                  <w:tcBorders>
                    <w:tl2br w:val="nil"/>
                    <w:tr2bl w:val="nil"/>
                  </w:tcBorders>
                  <w:vAlign w:val="center"/>
                </w:tcPr>
                <w:p w14:paraId="50266F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危险固废</w:t>
                  </w:r>
                </w:p>
              </w:tc>
              <w:tc>
                <w:tcPr>
                  <w:tcW w:w="610" w:type="pct"/>
                  <w:tcBorders>
                    <w:tl2br w:val="nil"/>
                    <w:tr2bl w:val="nil"/>
                  </w:tcBorders>
                  <w:shd w:val="clear" w:color="auto" w:fill="auto"/>
                  <w:vAlign w:val="center"/>
                </w:tcPr>
                <w:p w14:paraId="12498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17.728</w:t>
                  </w:r>
                </w:p>
              </w:tc>
              <w:tc>
                <w:tcPr>
                  <w:tcW w:w="605" w:type="pct"/>
                  <w:tcBorders>
                    <w:tl2br w:val="nil"/>
                    <w:tr2bl w:val="nil"/>
                  </w:tcBorders>
                  <w:shd w:val="clear" w:color="auto" w:fill="auto"/>
                  <w:vAlign w:val="center"/>
                </w:tcPr>
                <w:p w14:paraId="237C7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17.728</w:t>
                  </w:r>
                </w:p>
              </w:tc>
              <w:tc>
                <w:tcPr>
                  <w:tcW w:w="605" w:type="pct"/>
                  <w:tcBorders>
                    <w:tl2br w:val="nil"/>
                    <w:tr2bl w:val="nil"/>
                  </w:tcBorders>
                  <w:vAlign w:val="center"/>
                </w:tcPr>
                <w:p w14:paraId="79A30B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vAlign w:val="center"/>
                </w:tcPr>
                <w:p w14:paraId="30F89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1F260D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66F6D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14:paraId="33B42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3F7567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186ACE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一般固废</w:t>
                  </w:r>
                </w:p>
              </w:tc>
              <w:tc>
                <w:tcPr>
                  <w:tcW w:w="610" w:type="pct"/>
                  <w:tcBorders>
                    <w:tl2br w:val="nil"/>
                    <w:tr2bl w:val="nil"/>
                  </w:tcBorders>
                  <w:shd w:val="clear" w:color="auto" w:fill="auto"/>
                  <w:vAlign w:val="center"/>
                </w:tcPr>
                <w:p w14:paraId="58FE7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3.78</w:t>
                  </w:r>
                </w:p>
              </w:tc>
              <w:tc>
                <w:tcPr>
                  <w:tcW w:w="605" w:type="pct"/>
                  <w:tcBorders>
                    <w:tl2br w:val="nil"/>
                    <w:tr2bl w:val="nil"/>
                  </w:tcBorders>
                  <w:shd w:val="clear" w:color="auto" w:fill="auto"/>
                  <w:vAlign w:val="center"/>
                </w:tcPr>
                <w:p w14:paraId="48646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3.78</w:t>
                  </w:r>
                </w:p>
              </w:tc>
              <w:tc>
                <w:tcPr>
                  <w:tcW w:w="605" w:type="pct"/>
                  <w:tcBorders>
                    <w:tl2br w:val="nil"/>
                    <w:tr2bl w:val="nil"/>
                  </w:tcBorders>
                  <w:vAlign w:val="center"/>
                </w:tcPr>
                <w:p w14:paraId="5BC101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vAlign w:val="center"/>
                </w:tcPr>
                <w:p w14:paraId="0D3930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0027EB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46ED49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14:paraId="4286F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26FF10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0F65394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610" w:type="pct"/>
                  <w:tcBorders>
                    <w:tl2br w:val="nil"/>
                    <w:tr2bl w:val="nil"/>
                  </w:tcBorders>
                  <w:shd w:val="clear" w:color="auto" w:fill="auto"/>
                  <w:vAlign w:val="center"/>
                </w:tcPr>
                <w:p w14:paraId="4E94C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mallCaps w:val="0"/>
                      <w:color w:val="auto"/>
                      <w:spacing w:val="0"/>
                      <w:kern w:val="0"/>
                      <w:sz w:val="21"/>
                      <w:szCs w:val="21"/>
                      <w:highlight w:val="none"/>
                      <w:lang w:val="en-US" w:eastAsia="zh-CN" w:bidi="ar-SA"/>
                    </w:rPr>
                  </w:pPr>
                  <w:r>
                    <w:rPr>
                      <w:rFonts w:hint="eastAsia" w:ascii="Times New Roman" w:hAnsi="Times New Roman" w:cs="Times New Roman"/>
                      <w:smallCaps w:val="0"/>
                      <w:color w:val="auto"/>
                      <w:spacing w:val="0"/>
                      <w:kern w:val="0"/>
                      <w:sz w:val="21"/>
                      <w:szCs w:val="21"/>
                      <w:highlight w:val="none"/>
                      <w:lang w:val="en-US" w:eastAsia="zh-CN"/>
                    </w:rPr>
                    <w:t>6.75</w:t>
                  </w:r>
                </w:p>
              </w:tc>
              <w:tc>
                <w:tcPr>
                  <w:tcW w:w="605" w:type="pct"/>
                  <w:tcBorders>
                    <w:tl2br w:val="nil"/>
                    <w:tr2bl w:val="nil"/>
                  </w:tcBorders>
                  <w:shd w:val="clear" w:color="auto" w:fill="auto"/>
                  <w:vAlign w:val="center"/>
                </w:tcPr>
                <w:p w14:paraId="186D0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mallCaps w:val="0"/>
                      <w:color w:val="auto"/>
                      <w:spacing w:val="0"/>
                      <w:kern w:val="0"/>
                      <w:sz w:val="21"/>
                      <w:szCs w:val="21"/>
                      <w:highlight w:val="none"/>
                      <w:lang w:val="en-US" w:eastAsia="zh-CN" w:bidi="ar-SA"/>
                    </w:rPr>
                  </w:pPr>
                  <w:r>
                    <w:rPr>
                      <w:rFonts w:hint="eastAsia" w:ascii="Times New Roman" w:hAnsi="Times New Roman" w:cs="Times New Roman"/>
                      <w:smallCaps w:val="0"/>
                      <w:color w:val="auto"/>
                      <w:spacing w:val="0"/>
                      <w:kern w:val="0"/>
                      <w:sz w:val="21"/>
                      <w:szCs w:val="21"/>
                      <w:highlight w:val="none"/>
                      <w:lang w:val="en-US" w:eastAsia="zh-CN"/>
                    </w:rPr>
                    <w:t>6.75</w:t>
                  </w:r>
                </w:p>
              </w:tc>
              <w:tc>
                <w:tcPr>
                  <w:tcW w:w="605" w:type="pct"/>
                  <w:tcBorders>
                    <w:tl2br w:val="nil"/>
                    <w:tr2bl w:val="nil"/>
                  </w:tcBorders>
                  <w:vAlign w:val="center"/>
                </w:tcPr>
                <w:p w14:paraId="0CF61B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vAlign w:val="center"/>
                </w:tcPr>
                <w:p w14:paraId="457325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3EE9A0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2C7271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bl>
          <w:p w14:paraId="2323030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、总量平衡方案</w:t>
            </w:r>
          </w:p>
          <w:p w14:paraId="0217B83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（1）大气污染物</w:t>
            </w:r>
          </w:p>
          <w:p w14:paraId="2B03414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本项目大气污染物总量控制因子为非甲烷总烃</w:t>
            </w:r>
            <w:r>
              <w:rPr>
                <w:rFonts w:hint="eastAsia" w:ascii="Times New Roman" w:hAnsi="Times New Roman" w:eastAsia="宋体" w:cs="Times New Roman"/>
                <w:color w:val="auto"/>
                <w:sz w:val="24"/>
                <w:szCs w:val="24"/>
                <w:highlight w:val="none"/>
                <w:lang w:val="en-US" w:eastAsia="zh-CN"/>
              </w:rPr>
              <w:t>、颗粒物、</w:t>
            </w:r>
            <w:r>
              <w:rPr>
                <w:rFonts w:hint="eastAsia" w:ascii="Times New Roman" w:hAnsi="Times New Roman" w:eastAsia="宋体" w:cs="Times New Roman"/>
                <w:color w:val="auto"/>
                <w:kern w:val="2"/>
                <w:sz w:val="24"/>
                <w:szCs w:val="24"/>
                <w:highlight w:val="none"/>
                <w:lang w:val="en-US" w:eastAsia="zh-CN" w:bidi="ar-SA"/>
              </w:rPr>
              <w:t>SO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NOx</w:t>
            </w:r>
            <w:r>
              <w:rPr>
                <w:rFonts w:hint="default" w:ascii="Times New Roman" w:hAnsi="Times New Roman" w:eastAsia="宋体" w:cs="Times New Roman"/>
                <w:color w:val="auto"/>
                <w:sz w:val="24"/>
                <w:szCs w:val="24"/>
                <w:highlight w:val="none"/>
                <w:lang w:val="en-US" w:eastAsia="zh-CN"/>
              </w:rPr>
              <w:t>。非甲烷总烃排放量0.</w:t>
            </w:r>
            <w:r>
              <w:rPr>
                <w:rFonts w:hint="eastAsia" w:ascii="Times New Roman" w:hAnsi="Times New Roman" w:eastAsia="宋体" w:cs="Times New Roman"/>
                <w:color w:val="auto"/>
                <w:sz w:val="24"/>
                <w:szCs w:val="24"/>
                <w:highlight w:val="none"/>
                <w:lang w:val="en-US" w:eastAsia="zh-CN"/>
              </w:rPr>
              <w:t>1334</w:t>
            </w:r>
            <w:r>
              <w:rPr>
                <w:rFonts w:hint="default" w:ascii="Times New Roman" w:hAnsi="Times New Roman" w:eastAsia="宋体" w:cs="Times New Roman"/>
                <w:color w:val="auto"/>
                <w:sz w:val="24"/>
                <w:szCs w:val="24"/>
                <w:highlight w:val="none"/>
                <w:lang w:val="en-US" w:eastAsia="zh-CN"/>
              </w:rPr>
              <w:t>t/a，其中有组织排放量</w:t>
            </w:r>
            <w:r>
              <w:rPr>
                <w:rFonts w:hint="eastAsia" w:ascii="Times New Roman" w:hAnsi="Times New Roman" w:eastAsia="宋体" w:cs="Times New Roman"/>
                <w:color w:val="auto"/>
                <w:sz w:val="24"/>
                <w:szCs w:val="24"/>
                <w:highlight w:val="none"/>
                <w:lang w:val="en-US" w:eastAsia="zh-CN"/>
              </w:rPr>
              <w:t>为0.0667</w:t>
            </w:r>
            <w:r>
              <w:rPr>
                <w:rFonts w:hint="default" w:ascii="Times New Roman" w:hAnsi="Times New Roman" w:eastAsia="宋体" w:cs="Times New Roman"/>
                <w:color w:val="auto"/>
                <w:sz w:val="24"/>
                <w:szCs w:val="24"/>
                <w:highlight w:val="none"/>
                <w:lang w:val="en-US" w:eastAsia="zh-CN"/>
              </w:rPr>
              <w:t>t/a，无组织排放量</w:t>
            </w:r>
            <w:r>
              <w:rPr>
                <w:rFonts w:hint="eastAsia" w:ascii="Times New Roman" w:hAnsi="Times New Roman" w:eastAsia="宋体" w:cs="Times New Roman"/>
                <w:color w:val="auto"/>
                <w:sz w:val="24"/>
                <w:szCs w:val="24"/>
                <w:highlight w:val="none"/>
                <w:lang w:val="en-US" w:eastAsia="zh-CN"/>
              </w:rPr>
              <w:t>为0.0667</w:t>
            </w:r>
            <w:r>
              <w:rPr>
                <w:rFonts w:hint="default" w:ascii="Times New Roman" w:hAnsi="Times New Roman" w:eastAsia="宋体" w:cs="Times New Roman"/>
                <w:color w:val="auto"/>
                <w:sz w:val="24"/>
                <w:szCs w:val="24"/>
                <w:highlight w:val="none"/>
                <w:lang w:val="en-US" w:eastAsia="zh-CN"/>
              </w:rPr>
              <w:t>t/a；颗粒物排放量</w:t>
            </w:r>
            <w:r>
              <w:rPr>
                <w:rFonts w:hint="eastAsia" w:ascii="Times New Roman" w:hAnsi="Times New Roman" w:eastAsia="宋体" w:cs="Times New Roman"/>
                <w:color w:val="auto"/>
                <w:sz w:val="24"/>
                <w:szCs w:val="24"/>
                <w:highlight w:val="none"/>
                <w:lang w:val="en-US" w:eastAsia="zh-CN"/>
              </w:rPr>
              <w:t>0.2804</w:t>
            </w:r>
            <w:r>
              <w:rPr>
                <w:rFonts w:hint="default" w:ascii="Times New Roman" w:hAnsi="Times New Roman" w:eastAsia="宋体" w:cs="Times New Roman"/>
                <w:color w:val="auto"/>
                <w:sz w:val="24"/>
                <w:szCs w:val="24"/>
                <w:highlight w:val="none"/>
                <w:lang w:val="en-US" w:eastAsia="zh-CN"/>
              </w:rPr>
              <w:t>t/a，其中有组织排放量</w:t>
            </w:r>
            <w:r>
              <w:rPr>
                <w:rFonts w:hint="eastAsia" w:ascii="Times New Roman" w:hAnsi="Times New Roman" w:eastAsia="宋体" w:cs="Times New Roman"/>
                <w:color w:val="auto"/>
                <w:sz w:val="24"/>
                <w:szCs w:val="24"/>
                <w:highlight w:val="none"/>
                <w:lang w:val="en-US" w:eastAsia="zh-CN"/>
              </w:rPr>
              <w:t>为0.1033</w:t>
            </w:r>
            <w:r>
              <w:rPr>
                <w:rFonts w:hint="default" w:ascii="Times New Roman" w:hAnsi="Times New Roman" w:eastAsia="宋体" w:cs="Times New Roman"/>
                <w:color w:val="auto"/>
                <w:sz w:val="24"/>
                <w:szCs w:val="24"/>
                <w:highlight w:val="none"/>
                <w:lang w:val="en-US" w:eastAsia="zh-CN"/>
              </w:rPr>
              <w:t>t/a，无组织排放量</w:t>
            </w:r>
            <w:r>
              <w:rPr>
                <w:rFonts w:hint="eastAsia"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smallCaps w:val="0"/>
                <w:color w:val="auto"/>
                <w:spacing w:val="0"/>
                <w:sz w:val="24"/>
                <w:szCs w:val="24"/>
                <w:highlight w:val="none"/>
                <w:lang w:val="en-US" w:eastAsia="zh-CN"/>
              </w:rPr>
              <w:t>0.1771</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SO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lang w:val="en-US" w:eastAsia="zh-CN"/>
              </w:rPr>
              <w:t>排放量0.</w:t>
            </w:r>
            <w:r>
              <w:rPr>
                <w:rFonts w:hint="eastAsia" w:ascii="Times New Roman" w:hAnsi="Times New Roman" w:eastAsia="宋体" w:cs="Times New Roman"/>
                <w:color w:val="auto"/>
                <w:sz w:val="24"/>
                <w:szCs w:val="24"/>
                <w:highlight w:val="none"/>
                <w:lang w:val="en-US" w:eastAsia="zh-CN"/>
              </w:rPr>
              <w:t>004</w:t>
            </w:r>
            <w:r>
              <w:rPr>
                <w:rFonts w:hint="default" w:ascii="Times New Roman" w:hAnsi="Times New Roman" w:eastAsia="宋体" w:cs="Times New Roman"/>
                <w:color w:val="auto"/>
                <w:sz w:val="24"/>
                <w:szCs w:val="24"/>
                <w:highlight w:val="none"/>
                <w:lang w:val="en-US" w:eastAsia="zh-CN"/>
              </w:rPr>
              <w:t>t/a，其中有组织排放量</w:t>
            </w:r>
            <w:r>
              <w:rPr>
                <w:rFonts w:hint="eastAsia" w:ascii="Times New Roman" w:hAnsi="Times New Roman" w:eastAsia="宋体" w:cs="Times New Roman"/>
                <w:color w:val="auto"/>
                <w:sz w:val="24"/>
                <w:szCs w:val="24"/>
                <w:highlight w:val="none"/>
                <w:lang w:val="en-US" w:eastAsia="zh-CN"/>
              </w:rPr>
              <w:t>为0.0036</w:t>
            </w:r>
            <w:r>
              <w:rPr>
                <w:rFonts w:hint="default" w:ascii="Times New Roman" w:hAnsi="Times New Roman" w:eastAsia="宋体" w:cs="Times New Roman"/>
                <w:color w:val="auto"/>
                <w:sz w:val="24"/>
                <w:szCs w:val="24"/>
                <w:highlight w:val="none"/>
                <w:lang w:val="en-US" w:eastAsia="zh-CN"/>
              </w:rPr>
              <w:t>t/a，无组织排放量</w:t>
            </w:r>
            <w:r>
              <w:rPr>
                <w:rFonts w:hint="eastAsia"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smallCaps w:val="0"/>
                <w:color w:val="auto"/>
                <w:spacing w:val="0"/>
                <w:sz w:val="24"/>
                <w:szCs w:val="24"/>
                <w:highlight w:val="none"/>
                <w:lang w:val="en-US" w:eastAsia="zh-CN"/>
              </w:rPr>
              <w:t>0.0004</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NOx</w:t>
            </w:r>
            <w:r>
              <w:rPr>
                <w:rFonts w:hint="default" w:ascii="Times New Roman" w:hAnsi="Times New Roman" w:eastAsia="宋体" w:cs="Times New Roman"/>
                <w:color w:val="auto"/>
                <w:sz w:val="24"/>
                <w:szCs w:val="24"/>
                <w:highlight w:val="none"/>
                <w:lang w:val="en-US" w:eastAsia="zh-CN"/>
              </w:rPr>
              <w:t>排放量0.</w:t>
            </w:r>
            <w:r>
              <w:rPr>
                <w:rFonts w:hint="eastAsia" w:ascii="Times New Roman" w:hAnsi="Times New Roman" w:eastAsia="宋体" w:cs="Times New Roman"/>
                <w:color w:val="auto"/>
                <w:sz w:val="24"/>
                <w:szCs w:val="24"/>
                <w:highlight w:val="none"/>
                <w:lang w:val="en-US" w:eastAsia="zh-CN"/>
              </w:rPr>
              <w:t>0936</w:t>
            </w:r>
            <w:r>
              <w:rPr>
                <w:rFonts w:hint="default" w:ascii="Times New Roman" w:hAnsi="Times New Roman" w:eastAsia="宋体" w:cs="Times New Roman"/>
                <w:color w:val="auto"/>
                <w:sz w:val="24"/>
                <w:szCs w:val="24"/>
                <w:highlight w:val="none"/>
                <w:lang w:val="en-US" w:eastAsia="zh-CN"/>
              </w:rPr>
              <w:t>t/a，其中有组织排放量</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0.0842t/a，无组织排放量</w:t>
            </w:r>
            <w:r>
              <w:rPr>
                <w:rFonts w:hint="eastAsia"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smallCaps w:val="0"/>
                <w:color w:val="auto"/>
                <w:spacing w:val="0"/>
                <w:sz w:val="24"/>
                <w:szCs w:val="24"/>
                <w:highlight w:val="none"/>
                <w:lang w:val="en-US" w:eastAsia="zh-CN"/>
              </w:rPr>
              <w:t>0.0094</w:t>
            </w:r>
            <w:r>
              <w:rPr>
                <w:rFonts w:hint="default" w:ascii="Times New Roman" w:hAnsi="Times New Roman" w:eastAsia="宋体" w:cs="Times New Roman"/>
                <w:color w:val="auto"/>
                <w:sz w:val="24"/>
                <w:szCs w:val="24"/>
                <w:highlight w:val="none"/>
                <w:lang w:val="en-US" w:eastAsia="zh-CN"/>
              </w:rPr>
              <w:t>t/a。</w:t>
            </w:r>
          </w:p>
          <w:p w14:paraId="77D679B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（2）水污染物</w:t>
            </w:r>
          </w:p>
          <w:p w14:paraId="060D46A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color w:val="auto"/>
                <w:sz w:val="24"/>
                <w:highlight w:val="none"/>
                <w:lang w:val="en-US" w:eastAsia="zh-CN"/>
              </w:rPr>
              <w:t>常州市金坛区第二污水厂集中处理</w:t>
            </w:r>
            <w:r>
              <w:rPr>
                <w:rFonts w:hint="eastAsia" w:ascii="Times New Roman" w:hAnsi="Times New Roman" w:eastAsia="宋体" w:cs="Times New Roman"/>
                <w:color w:val="auto"/>
                <w:sz w:val="24"/>
                <w:highlight w:val="none"/>
                <w:lang w:val="en-US" w:eastAsia="zh-CN"/>
              </w:rPr>
              <w:t>，生产废水经厂区污水处理站处理后回用于前处理工艺，不外排</w:t>
            </w:r>
            <w:r>
              <w:rPr>
                <w:rFonts w:hint="default" w:ascii="Times New Roman" w:hAnsi="Times New Roman" w:eastAsia="宋体" w:cs="Times New Roman"/>
                <w:color w:val="auto"/>
                <w:sz w:val="24"/>
                <w:highlight w:val="none"/>
                <w:lang w:val="en-US" w:eastAsia="zh-CN"/>
              </w:rPr>
              <w:t>。项目建成后全厂废水排放总量为</w:t>
            </w:r>
            <w:r>
              <w:rPr>
                <w:rFonts w:hint="eastAsia" w:ascii="Times New Roman" w:hAnsi="Times New Roman" w:eastAsia="宋体" w:cs="Times New Roman"/>
                <w:color w:val="auto"/>
                <w:sz w:val="24"/>
                <w:highlight w:val="none"/>
                <w:lang w:val="en-US" w:eastAsia="zh-CN"/>
              </w:rPr>
              <w:t>1080</w:t>
            </w:r>
            <w:r>
              <w:rPr>
                <w:rFonts w:hint="default" w:ascii="Times New Roman" w:hAnsi="Times New Roman" w:eastAsia="宋体" w:cs="Times New Roman"/>
                <w:color w:val="auto"/>
                <w:sz w:val="24"/>
                <w:highlight w:val="none"/>
                <w:lang w:val="en-US" w:eastAsia="zh-CN"/>
              </w:rPr>
              <w:t>t/a，水污染物排放总量在常州市金坛区第二污水厂内平衡。</w:t>
            </w:r>
          </w:p>
          <w:p w14:paraId="05DCEAC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（3）固体废弃物</w:t>
            </w:r>
          </w:p>
          <w:p w14:paraId="33FAB65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本项目固体废弃物全部“零”排放，不会产生二次污染，故不申请总量。</w:t>
            </w:r>
          </w:p>
        </w:tc>
      </w:tr>
    </w:tbl>
    <w:p w14:paraId="11FEDD45">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DBE9151">
      <w:pPr>
        <w:pStyle w:val="4"/>
        <w:numPr>
          <w:ilvl w:val="0"/>
          <w:numId w:val="3"/>
        </w:numPr>
        <w:ind w:left="42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主要环境影响和保护措施</w:t>
      </w:r>
    </w:p>
    <w:tbl>
      <w:tblPr>
        <w:tblStyle w:val="27"/>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577"/>
      </w:tblGrid>
      <w:tr w14:paraId="52FFF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noWrap w:val="0"/>
            <w:tcMar>
              <w:left w:w="28" w:type="dxa"/>
              <w:right w:w="28" w:type="dxa"/>
            </w:tcMar>
            <w:vAlign w:val="center"/>
          </w:tcPr>
          <w:p w14:paraId="298EC313">
            <w:pPr>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val="0"/>
                <w:color w:val="auto"/>
                <w:sz w:val="24"/>
                <w:highlight w:val="none"/>
              </w:rPr>
              <w:t>运营期环境影响和保护措施</w:t>
            </w:r>
          </w:p>
        </w:tc>
        <w:tc>
          <w:tcPr>
            <w:tcW w:w="8577" w:type="dxa"/>
            <w:noWrap w:val="0"/>
            <w:vAlign w:val="center"/>
          </w:tcPr>
          <w:p w14:paraId="79B2EDA2">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一、废气</w:t>
            </w:r>
          </w:p>
          <w:p w14:paraId="013647E0">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大气污染物产生情况</w:t>
            </w:r>
          </w:p>
          <w:p w14:paraId="4F334D3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有组织废气</w:t>
            </w:r>
          </w:p>
          <w:p w14:paraId="73EFAF70">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①打磨粉尘</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3</w:t>
            </w:r>
          </w:p>
          <w:p w14:paraId="4C2851E6">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焊接过后需要对焊接部位进行打磨，打磨过程产生打磨粉尘</w:t>
            </w:r>
            <w:r>
              <w:rPr>
                <w:rFonts w:hint="eastAsia" w:ascii="Times New Roman" w:hAnsi="Times New Roman" w:eastAsia="宋体" w:cs="Times New Roman"/>
                <w:color w:val="auto"/>
                <w:kern w:val="0"/>
                <w:sz w:val="24"/>
                <w:szCs w:val="24"/>
                <w:highlight w:val="none"/>
                <w:lang w:val="en-US" w:eastAsia="zh-CN"/>
              </w:rPr>
              <w:t>。根据《排放源统计调查产排污核算方法和系数手册》中机械行业系数手册—预处理—打磨，颗粒物产污系数为2.19kg/t，本项目需打磨的原料用量约为总原料使用量（300t/a）的5%，即15t/a，则打磨粉尘产生量为0.033t/a。打磨粉尘</w:t>
            </w:r>
            <w:r>
              <w:rPr>
                <w:rFonts w:hint="eastAsia" w:ascii="Times New Roman" w:hAnsi="Times New Roman" w:eastAsia="宋体" w:cs="Times New Roman"/>
                <w:color w:val="auto"/>
                <w:sz w:val="24"/>
                <w:szCs w:val="24"/>
                <w:highlight w:val="none"/>
                <w:lang w:val="en-US" w:eastAsia="zh-CN"/>
              </w:rPr>
              <w:t>在打磨房内密闭</w:t>
            </w:r>
            <w:r>
              <w:rPr>
                <w:rFonts w:hint="default" w:ascii="Times New Roman" w:hAnsi="Times New Roman" w:eastAsia="宋体" w:cs="Times New Roman"/>
                <w:color w:val="auto"/>
                <w:sz w:val="24"/>
                <w:szCs w:val="24"/>
                <w:highlight w:val="none"/>
              </w:rPr>
              <w:t>收集后由</w:t>
            </w:r>
            <w:r>
              <w:rPr>
                <w:rFonts w:hint="eastAsia" w:ascii="Times New Roman" w:hAnsi="Times New Roman" w:eastAsia="宋体" w:cs="Times New Roman"/>
                <w:color w:val="auto"/>
                <w:sz w:val="24"/>
                <w:szCs w:val="24"/>
                <w:highlight w:val="none"/>
                <w:lang w:val="en-US" w:eastAsia="zh-CN"/>
              </w:rPr>
              <w:t>1#旋风除尘器+滤筒除尘器</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5米高</w:t>
            </w:r>
            <w:r>
              <w:rPr>
                <w:rFonts w:hint="eastAsia" w:ascii="Times New Roman" w:hAnsi="Times New Roman" w:eastAsia="宋体" w:cs="Times New Roman"/>
                <w:color w:val="auto"/>
                <w:sz w:val="24"/>
                <w:szCs w:val="24"/>
                <w:highlight w:val="none"/>
                <w:lang w:eastAsia="zh-CN"/>
              </w:rPr>
              <w:t>排气筒FQ-1</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95</w:t>
            </w:r>
            <w:r>
              <w:rPr>
                <w:rFonts w:hint="default" w:ascii="Times New Roman" w:hAnsi="Times New Roman" w:eastAsia="宋体" w:cs="Times New Roman"/>
                <w:color w:val="auto"/>
                <w:sz w:val="24"/>
                <w:szCs w:val="24"/>
                <w:highlight w:val="none"/>
              </w:rPr>
              <w:t>%，旋风除尘器、滤筒除尘器</w:t>
            </w:r>
            <w:r>
              <w:rPr>
                <w:rFonts w:hint="eastAsia" w:ascii="Times New Roman" w:hAnsi="Times New Roman" w:eastAsia="宋体" w:cs="Times New Roman"/>
                <w:color w:val="auto"/>
                <w:sz w:val="24"/>
                <w:szCs w:val="24"/>
                <w:highlight w:val="none"/>
                <w:lang w:val="en-US" w:eastAsia="zh-CN"/>
              </w:rPr>
              <w:t>的去除率均为90%，总</w:t>
            </w:r>
            <w:r>
              <w:rPr>
                <w:rFonts w:hint="default" w:ascii="Times New Roman" w:hAnsi="Times New Roman" w:eastAsia="宋体" w:cs="Times New Roman"/>
                <w:color w:val="auto"/>
                <w:sz w:val="24"/>
                <w:szCs w:val="24"/>
                <w:highlight w:val="none"/>
              </w:rPr>
              <w:t>去除率</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color w:val="auto"/>
                <w:sz w:val="24"/>
                <w:szCs w:val="24"/>
                <w:highlight w:val="none"/>
                <w:lang w:val="en-US" w:eastAsia="zh-CN"/>
              </w:rPr>
              <w:t>0.0313</w:t>
            </w:r>
            <w:r>
              <w:rPr>
                <w:rFonts w:hint="default" w:ascii="Times New Roman" w:hAnsi="Times New Roman" w:eastAsia="宋体" w:cs="Times New Roman"/>
                <w:color w:val="auto"/>
                <w:sz w:val="24"/>
                <w:szCs w:val="24"/>
                <w:highlight w:val="none"/>
              </w:rPr>
              <w:t>t/a，有组织排放量为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0003</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514511B5">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②喷砂粉尘G4</w:t>
            </w:r>
          </w:p>
          <w:p w14:paraId="1490D86A">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喷砂过程中有粉尘产生。根据《排放源统计调查产排污核算方法和系数手册》中机械行业系数手册—预处理—喷砂，颗粒物产污系数为2.19kg/t。本项目约20%原材料需进行喷砂处理，预计喷砂量约60t/a，则产生颗粒物约0.131t/a。喷砂粉尘</w:t>
            </w:r>
            <w:r>
              <w:rPr>
                <w:rFonts w:hint="eastAsia" w:ascii="Times New Roman" w:hAnsi="Times New Roman" w:eastAsia="宋体" w:cs="Times New Roman"/>
                <w:color w:val="auto"/>
                <w:sz w:val="24"/>
                <w:szCs w:val="24"/>
                <w:highlight w:val="none"/>
                <w:lang w:val="en-US" w:eastAsia="zh-CN"/>
              </w:rPr>
              <w:t>在设备内密闭</w:t>
            </w:r>
            <w:r>
              <w:rPr>
                <w:rFonts w:hint="default" w:ascii="Times New Roman" w:hAnsi="Times New Roman" w:eastAsia="宋体" w:cs="Times New Roman"/>
                <w:color w:val="auto"/>
                <w:sz w:val="24"/>
                <w:szCs w:val="24"/>
                <w:highlight w:val="none"/>
              </w:rPr>
              <w:t>收集后由</w:t>
            </w:r>
            <w:r>
              <w:rPr>
                <w:rFonts w:hint="eastAsia" w:ascii="Times New Roman" w:hAnsi="Times New Roman" w:eastAsia="宋体" w:cs="Times New Roman"/>
                <w:color w:val="auto"/>
                <w:sz w:val="24"/>
                <w:szCs w:val="24"/>
                <w:highlight w:val="none"/>
                <w:lang w:val="en-US" w:eastAsia="zh-CN"/>
              </w:rPr>
              <w:t>旋风除尘器+滤筒除尘器</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eastAsia" w:ascii="Times New Roman" w:hAnsi="Times New Roman" w:eastAsia="宋体" w:cs="Times New Roman"/>
                <w:color w:val="auto"/>
                <w:sz w:val="24"/>
                <w:szCs w:val="24"/>
                <w:highlight w:val="none"/>
                <w:lang w:eastAsia="zh-CN"/>
              </w:rPr>
              <w:t>25m高排气筒FQ-1</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rPr>
              <w:t>%，旋风除尘器、滤筒除尘器</w:t>
            </w:r>
            <w:r>
              <w:rPr>
                <w:rFonts w:hint="eastAsia" w:ascii="Times New Roman" w:hAnsi="Times New Roman" w:eastAsia="宋体" w:cs="Times New Roman"/>
                <w:color w:val="auto"/>
                <w:sz w:val="24"/>
                <w:szCs w:val="24"/>
                <w:highlight w:val="none"/>
                <w:lang w:val="en-US" w:eastAsia="zh-CN"/>
              </w:rPr>
              <w:t>的去除率均为90%，总</w:t>
            </w:r>
            <w:r>
              <w:rPr>
                <w:rFonts w:hint="default" w:ascii="Times New Roman" w:hAnsi="Times New Roman" w:eastAsia="宋体" w:cs="Times New Roman"/>
                <w:color w:val="auto"/>
                <w:sz w:val="24"/>
                <w:szCs w:val="24"/>
                <w:highlight w:val="none"/>
              </w:rPr>
              <w:t>去除率</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color w:val="auto"/>
                <w:sz w:val="24"/>
                <w:szCs w:val="24"/>
                <w:highlight w:val="none"/>
                <w:lang w:val="en-US" w:eastAsia="zh-CN"/>
              </w:rPr>
              <w:t>0.1284</w:t>
            </w:r>
            <w:r>
              <w:rPr>
                <w:rFonts w:hint="default" w:ascii="Times New Roman" w:hAnsi="Times New Roman" w:eastAsia="宋体" w:cs="Times New Roman"/>
                <w:color w:val="auto"/>
                <w:sz w:val="24"/>
                <w:szCs w:val="24"/>
                <w:highlight w:val="none"/>
              </w:rPr>
              <w:t>t/a，有组织排放量为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0013</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448CC22B">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③喷粉废气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5、G6</w:t>
            </w:r>
          </w:p>
          <w:p w14:paraId="5E428027">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本项目设1个手工喷粉室和1个全自动喷粉室，喷粉过程产生粉尘。手工喷粉的附着效率以75%计，自动喷粉的附着效率以85%计，其余塑粉在喷粉室内形成粉尘。本项目塑粉的年用量约为</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0t/a</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手工喷粉用量为</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自</w:t>
            </w:r>
            <w:r>
              <w:rPr>
                <w:rFonts w:hint="default" w:ascii="Times New Roman" w:hAnsi="Times New Roman" w:eastAsia="宋体" w:cs="Times New Roman"/>
                <w:color w:val="auto"/>
                <w:kern w:val="0"/>
                <w:sz w:val="24"/>
                <w:szCs w:val="24"/>
                <w:highlight w:val="none"/>
                <w:lang w:val="en-US" w:eastAsia="zh-CN"/>
              </w:rPr>
              <w:t>动喷粉用量为</w:t>
            </w:r>
            <w:r>
              <w:rPr>
                <w:rFonts w:hint="eastAsia" w:ascii="Times New Roman" w:hAnsi="Times New Roman" w:eastAsia="宋体" w:cs="Times New Roman"/>
                <w:color w:val="auto"/>
                <w:kern w:val="0"/>
                <w:sz w:val="24"/>
                <w:szCs w:val="24"/>
                <w:highlight w:val="none"/>
                <w:lang w:val="en-US" w:eastAsia="zh-CN"/>
              </w:rPr>
              <w:t>45</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，因此手工喷粉废气和自动喷粉废气中颗粒物的产生量分别为</w:t>
            </w:r>
            <w:r>
              <w:rPr>
                <w:rFonts w:hint="eastAsia" w:ascii="Times New Roman" w:hAnsi="Times New Roman" w:eastAsia="宋体" w:cs="Times New Roman"/>
                <w:color w:val="auto"/>
                <w:kern w:val="0"/>
                <w:sz w:val="24"/>
                <w:szCs w:val="24"/>
                <w:highlight w:val="none"/>
                <w:lang w:val="en-US" w:eastAsia="zh-CN"/>
              </w:rPr>
              <w:t>1.25</w:t>
            </w:r>
            <w:r>
              <w:rPr>
                <w:rFonts w:hint="default" w:ascii="Times New Roman" w:hAnsi="Times New Roman" w:eastAsia="宋体" w:cs="Times New Roman"/>
                <w:color w:val="auto"/>
                <w:kern w:val="0"/>
                <w:sz w:val="24"/>
                <w:szCs w:val="24"/>
                <w:highlight w:val="none"/>
                <w:lang w:val="en-US" w:eastAsia="zh-CN"/>
              </w:rPr>
              <w:t xml:space="preserve">t/a、 </w:t>
            </w:r>
            <w:r>
              <w:rPr>
                <w:rFonts w:hint="eastAsia" w:ascii="Times New Roman" w:hAnsi="Times New Roman" w:eastAsia="宋体" w:cs="Times New Roman"/>
                <w:color w:val="auto"/>
                <w:kern w:val="0"/>
                <w:sz w:val="24"/>
                <w:szCs w:val="24"/>
                <w:highlight w:val="none"/>
                <w:lang w:val="en-US" w:eastAsia="zh-CN"/>
              </w:rPr>
              <w:t>6.75</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手工喷粉废气经下吸风收集后通过2#旋风除尘器+滤筒除尘器处理，自动喷粉废气经下吸风收集后通过3#旋风除尘器+滤筒除尘器处理，两股废气一并由一根25m高的排气筒FQ-1排放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捕集率为9</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旋风除尘器、滤筒除尘器</w:t>
            </w:r>
            <w:r>
              <w:rPr>
                <w:rFonts w:hint="eastAsia" w:ascii="Times New Roman" w:hAnsi="Times New Roman" w:eastAsia="宋体" w:cs="Times New Roman"/>
                <w:color w:val="auto"/>
                <w:sz w:val="24"/>
                <w:szCs w:val="24"/>
                <w:highlight w:val="none"/>
                <w:lang w:val="en-US" w:eastAsia="zh-CN"/>
              </w:rPr>
              <w:t>的去除率均为90%，总</w:t>
            </w:r>
            <w:r>
              <w:rPr>
                <w:rFonts w:hint="default" w:ascii="Times New Roman" w:hAnsi="Times New Roman" w:eastAsia="宋体" w:cs="Times New Roman"/>
                <w:color w:val="auto"/>
                <w:sz w:val="24"/>
                <w:szCs w:val="24"/>
                <w:highlight w:val="none"/>
              </w:rPr>
              <w:t>去除率</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color w:val="auto"/>
                <w:sz w:val="24"/>
                <w:szCs w:val="24"/>
                <w:highlight w:val="none"/>
                <w:lang w:val="en-US" w:eastAsia="zh-CN"/>
              </w:rPr>
              <w:t>7.6</w:t>
            </w:r>
            <w:r>
              <w:rPr>
                <w:rFonts w:hint="default" w:ascii="Times New Roman" w:hAnsi="Times New Roman" w:eastAsia="宋体" w:cs="Times New Roman"/>
                <w:color w:val="auto"/>
                <w:sz w:val="24"/>
                <w:szCs w:val="24"/>
                <w:highlight w:val="none"/>
              </w:rPr>
              <w:t>t/a，有组织排放量为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076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221A57FA">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③固化废气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7</w:t>
            </w:r>
          </w:p>
          <w:p w14:paraId="676F68F1">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项目固化工段温度控制在1</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-220</w:t>
            </w:r>
            <w:r>
              <w:rPr>
                <w:rFonts w:hint="default" w:ascii="Times New Roman" w:hAnsi="Times New Roman" w:eastAsia="宋体" w:cs="Times New Roman"/>
                <w:color w:val="auto"/>
                <w:kern w:val="0"/>
                <w:sz w:val="24"/>
                <w:szCs w:val="24"/>
                <w:highlight w:val="none"/>
                <w:lang w:val="en-US" w:eastAsia="zh-CN"/>
              </w:rPr>
              <w:t>℃左右，塑粉内聚酯树脂的热分解温度在300℃以上，因此固化工段仅考虑产生少量有机废气，以非甲烷总烃计。</w:t>
            </w:r>
            <w:r>
              <w:rPr>
                <w:rFonts w:hint="eastAsia" w:ascii="Times New Roman" w:hAnsi="Times New Roman" w:eastAsia="宋体" w:cs="Times New Roman"/>
                <w:color w:val="auto"/>
                <w:kern w:val="0"/>
                <w:sz w:val="24"/>
                <w:szCs w:val="24"/>
                <w:highlight w:val="none"/>
                <w:lang w:val="en-US" w:eastAsia="zh-CN"/>
              </w:rPr>
              <w:t>固化非甲烷总烃产</w:t>
            </w:r>
            <w:r>
              <w:rPr>
                <w:rFonts w:hint="default" w:ascii="Times New Roman" w:hAnsi="Times New Roman" w:eastAsia="宋体" w:cs="Times New Roman"/>
                <w:color w:val="auto"/>
                <w:kern w:val="0"/>
                <w:sz w:val="24"/>
                <w:szCs w:val="24"/>
                <w:highlight w:val="none"/>
                <w:lang w:val="en-US" w:eastAsia="zh-CN"/>
              </w:rPr>
              <w:t>生量根据已批已验的《常州市汇兴精密钣金制造有限公司新建精密零配件制造项目》进行核算，</w:t>
            </w:r>
            <w:r>
              <w:rPr>
                <w:rFonts w:hint="eastAsia" w:ascii="Times New Roman" w:hAnsi="Times New Roman" w:eastAsia="宋体" w:cs="Times New Roman"/>
                <w:color w:val="auto"/>
                <w:kern w:val="0"/>
                <w:sz w:val="24"/>
                <w:szCs w:val="24"/>
                <w:highlight w:val="none"/>
                <w:lang w:val="en-US" w:eastAsia="zh-CN"/>
              </w:rPr>
              <w:t>非甲烷总烃的</w:t>
            </w:r>
            <w:r>
              <w:rPr>
                <w:rFonts w:hint="default" w:ascii="Times New Roman" w:hAnsi="Times New Roman" w:eastAsia="宋体" w:cs="Times New Roman"/>
                <w:color w:val="auto"/>
                <w:kern w:val="0"/>
                <w:sz w:val="24"/>
                <w:szCs w:val="24"/>
                <w:highlight w:val="none"/>
                <w:lang w:val="en-US" w:eastAsia="zh-CN"/>
              </w:rPr>
              <w:t>产生量约占</w:t>
            </w:r>
            <w:r>
              <w:rPr>
                <w:rFonts w:hint="eastAsia" w:ascii="Times New Roman" w:hAnsi="Times New Roman" w:eastAsia="宋体" w:cs="Times New Roman"/>
                <w:color w:val="auto"/>
                <w:kern w:val="0"/>
                <w:sz w:val="24"/>
                <w:szCs w:val="24"/>
                <w:highlight w:val="none"/>
                <w:lang w:val="en-US" w:eastAsia="zh-CN"/>
              </w:rPr>
              <w:t>塑粉使用量</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lang w:val="en-US" w:eastAsia="zh-CN"/>
              </w:rPr>
              <w:t>%，本项目</w:t>
            </w:r>
            <w:r>
              <w:rPr>
                <w:rFonts w:hint="eastAsia" w:ascii="Times New Roman" w:hAnsi="Times New Roman" w:eastAsia="宋体" w:cs="Times New Roman"/>
                <w:color w:val="auto"/>
                <w:kern w:val="0"/>
                <w:sz w:val="24"/>
                <w:szCs w:val="24"/>
                <w:highlight w:val="none"/>
                <w:lang w:val="en-US" w:eastAsia="zh-CN"/>
              </w:rPr>
              <w:t>塑粉使用</w:t>
            </w:r>
            <w:r>
              <w:rPr>
                <w:rFonts w:hint="default" w:ascii="Times New Roman" w:hAnsi="Times New Roman" w:eastAsia="宋体" w:cs="Times New Roman"/>
                <w:color w:val="auto"/>
                <w:kern w:val="0"/>
                <w:sz w:val="24"/>
                <w:szCs w:val="24"/>
                <w:highlight w:val="none"/>
                <w:lang w:val="en-US" w:eastAsia="zh-CN"/>
              </w:rPr>
              <w:t>量为</w:t>
            </w:r>
            <w:r>
              <w:rPr>
                <w:rFonts w:hint="eastAsia" w:ascii="Times New Roman" w:hAnsi="Times New Roman" w:eastAsia="宋体" w:cs="Times New Roman"/>
                <w:color w:val="auto"/>
                <w:kern w:val="0"/>
                <w:sz w:val="24"/>
                <w:szCs w:val="24"/>
                <w:highlight w:val="none"/>
                <w:lang w:val="en-US" w:eastAsia="zh-CN"/>
              </w:rPr>
              <w:t>50</w:t>
            </w:r>
            <w:r>
              <w:rPr>
                <w:rFonts w:hint="default" w:ascii="Times New Roman" w:hAnsi="Times New Roman" w:eastAsia="宋体" w:cs="Times New Roman"/>
                <w:color w:val="auto"/>
                <w:kern w:val="0"/>
                <w:sz w:val="24"/>
                <w:szCs w:val="24"/>
                <w:highlight w:val="none"/>
                <w:lang w:val="en-US" w:eastAsia="zh-CN"/>
              </w:rPr>
              <w:t>t/a，则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lang w:val="en-US" w:eastAsia="zh-CN"/>
              </w:rPr>
              <w:t>产生量为</w:t>
            </w:r>
            <w:r>
              <w:rPr>
                <w:rFonts w:hint="eastAsia" w:ascii="Times New Roman" w:hAnsi="Times New Roman" w:eastAsia="宋体" w:cs="Times New Roman"/>
                <w:color w:val="auto"/>
                <w:kern w:val="0"/>
                <w:sz w:val="24"/>
                <w:szCs w:val="24"/>
                <w:highlight w:val="none"/>
                <w:lang w:val="en-US" w:eastAsia="zh-CN"/>
              </w:rPr>
              <w:t>0.6</w:t>
            </w:r>
            <w:r>
              <w:rPr>
                <w:rFonts w:hint="default" w:ascii="Times New Roman" w:hAnsi="Times New Roman" w:eastAsia="宋体" w:cs="Times New Roman"/>
                <w:color w:val="auto"/>
                <w:kern w:val="0"/>
                <w:sz w:val="24"/>
                <w:szCs w:val="24"/>
                <w:highlight w:val="none"/>
                <w:lang w:val="en-US" w:eastAsia="zh-CN"/>
              </w:rPr>
              <w:t>t/a。固化</w:t>
            </w:r>
            <w:r>
              <w:rPr>
                <w:rFonts w:hint="eastAsia" w:ascii="Times New Roman" w:hAnsi="Times New Roman" w:eastAsia="宋体" w:cs="Times New Roman"/>
                <w:color w:val="auto"/>
                <w:kern w:val="0"/>
                <w:sz w:val="24"/>
                <w:szCs w:val="24"/>
                <w:highlight w:val="none"/>
                <w:lang w:val="en-US" w:eastAsia="zh-CN"/>
              </w:rPr>
              <w:t>废气通过烘道两端设置的集气罩收集，通</w:t>
            </w:r>
            <w:r>
              <w:rPr>
                <w:rFonts w:hint="default" w:ascii="Times New Roman" w:hAnsi="Times New Roman" w:eastAsia="宋体" w:cs="Times New Roman"/>
                <w:color w:val="auto"/>
                <w:kern w:val="0"/>
                <w:sz w:val="24"/>
                <w:szCs w:val="24"/>
                <w:highlight w:val="none"/>
                <w:lang w:val="en-US" w:eastAsia="zh-CN"/>
              </w:rPr>
              <w:t>过</w:t>
            </w:r>
            <w:r>
              <w:rPr>
                <w:rFonts w:hint="eastAsia" w:ascii="Times New Roman" w:hAnsi="Times New Roman" w:eastAsia="宋体" w:cs="Times New Roman"/>
                <w:color w:val="auto"/>
                <w:kern w:val="0"/>
                <w:sz w:val="24"/>
                <w:szCs w:val="24"/>
                <w:highlight w:val="none"/>
                <w:lang w:val="en-US" w:eastAsia="zh-CN"/>
              </w:rPr>
              <w:t>1#二级活性炭</w:t>
            </w:r>
            <w:r>
              <w:rPr>
                <w:rFonts w:hint="default" w:ascii="Times New Roman" w:hAnsi="Times New Roman" w:eastAsia="宋体" w:cs="Times New Roman"/>
                <w:color w:val="auto"/>
                <w:kern w:val="0"/>
                <w:sz w:val="24"/>
                <w:szCs w:val="24"/>
                <w:highlight w:val="none"/>
                <w:lang w:val="en-US" w:eastAsia="zh-CN"/>
              </w:rPr>
              <w:t>吸附装置处理，由一根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排气筒FQ-2</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捕集率为9</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%，去除率为</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color w:val="auto"/>
                <w:sz w:val="24"/>
                <w:szCs w:val="24"/>
                <w:highlight w:val="none"/>
                <w:lang w:val="en-US" w:eastAsia="zh-CN"/>
              </w:rPr>
              <w:t>0.54</w:t>
            </w:r>
            <w:r>
              <w:rPr>
                <w:rFonts w:hint="default" w:ascii="Times New Roman" w:hAnsi="Times New Roman" w:eastAsia="宋体" w:cs="Times New Roman"/>
                <w:color w:val="auto"/>
                <w:sz w:val="24"/>
                <w:szCs w:val="24"/>
                <w:highlight w:val="none"/>
              </w:rPr>
              <w:t>t/a，有组织排放量为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054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1E18329E">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④天然气燃烧废气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8、G10</w:t>
            </w:r>
          </w:p>
          <w:p w14:paraId="54480935">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固化工段</w:t>
            </w:r>
            <w:r>
              <w:rPr>
                <w:rFonts w:hint="eastAsia" w:ascii="Times New Roman" w:hAnsi="Times New Roman" w:eastAsia="宋体" w:cs="Times New Roman"/>
                <w:color w:val="auto"/>
                <w:kern w:val="0"/>
                <w:sz w:val="24"/>
                <w:szCs w:val="24"/>
                <w:highlight w:val="none"/>
                <w:lang w:val="en-US" w:eastAsia="zh-CN"/>
              </w:rPr>
              <w:t>、烘干工段</w:t>
            </w:r>
            <w:r>
              <w:rPr>
                <w:rFonts w:hint="default" w:ascii="Times New Roman" w:hAnsi="Times New Roman" w:eastAsia="宋体" w:cs="Times New Roman"/>
                <w:color w:val="auto"/>
                <w:kern w:val="0"/>
                <w:sz w:val="24"/>
                <w:szCs w:val="24"/>
                <w:highlight w:val="none"/>
                <w:lang w:val="en-US" w:eastAsia="zh-CN"/>
              </w:rPr>
              <w:t>采用天然气</w:t>
            </w:r>
            <w:r>
              <w:rPr>
                <w:rFonts w:hint="eastAsia" w:ascii="Times New Roman" w:hAnsi="Times New Roman" w:eastAsia="宋体" w:cs="Times New Roman"/>
                <w:color w:val="auto"/>
                <w:kern w:val="0"/>
                <w:sz w:val="24"/>
                <w:szCs w:val="24"/>
                <w:highlight w:val="none"/>
                <w:lang w:val="en-US" w:eastAsia="zh-CN"/>
              </w:rPr>
              <w:t>直接</w:t>
            </w:r>
            <w:r>
              <w:rPr>
                <w:rFonts w:hint="default" w:ascii="Times New Roman" w:hAnsi="Times New Roman" w:eastAsia="宋体" w:cs="Times New Roman"/>
                <w:color w:val="auto"/>
                <w:kern w:val="0"/>
                <w:sz w:val="24"/>
                <w:szCs w:val="24"/>
                <w:highlight w:val="none"/>
                <w:lang w:val="en-US" w:eastAsia="zh-CN"/>
              </w:rPr>
              <w:t>加热，</w:t>
            </w:r>
            <w:r>
              <w:rPr>
                <w:rFonts w:hint="eastAsia" w:ascii="Times New Roman" w:hAnsi="Times New Roman" w:eastAsia="宋体" w:cs="Times New Roman"/>
                <w:color w:val="auto"/>
                <w:kern w:val="0"/>
                <w:sz w:val="24"/>
                <w:szCs w:val="24"/>
                <w:highlight w:val="none"/>
                <w:lang w:val="en-US" w:eastAsia="zh-CN"/>
              </w:rPr>
              <w:t>天然气燃烧</w:t>
            </w:r>
            <w:r>
              <w:rPr>
                <w:rFonts w:hint="default" w:ascii="Times New Roman" w:hAnsi="Times New Roman" w:eastAsia="宋体" w:cs="Times New Roman"/>
                <w:color w:val="auto"/>
                <w:kern w:val="0"/>
                <w:sz w:val="24"/>
                <w:szCs w:val="24"/>
                <w:highlight w:val="none"/>
                <w:lang w:val="en-US" w:eastAsia="zh-CN"/>
              </w:rPr>
              <w:t>产生燃烧废气</w:t>
            </w:r>
            <w:r>
              <w:rPr>
                <w:rFonts w:hint="eastAsia" w:ascii="Times New Roman" w:hAnsi="Times New Roman" w:eastAsia="宋体" w:cs="Times New Roman"/>
                <w:color w:val="auto"/>
                <w:kern w:val="0"/>
                <w:sz w:val="24"/>
                <w:szCs w:val="24"/>
                <w:highlight w:val="none"/>
                <w:lang w:val="en-US" w:eastAsia="zh-CN"/>
              </w:rPr>
              <w:t>进入烘道</w:t>
            </w:r>
            <w:r>
              <w:rPr>
                <w:rFonts w:hint="default" w:ascii="Times New Roman" w:hAnsi="Times New Roman" w:eastAsia="宋体" w:cs="Times New Roman"/>
                <w:color w:val="auto"/>
                <w:kern w:val="0"/>
                <w:sz w:val="24"/>
                <w:szCs w:val="24"/>
                <w:highlight w:val="none"/>
                <w:lang w:val="en-US" w:eastAsia="zh-CN"/>
              </w:rPr>
              <w:t>。根据厂方提供资料，天然气年用量共</w:t>
            </w:r>
            <w:r>
              <w:rPr>
                <w:rFonts w:hint="eastAsia"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en-US" w:eastAsia="zh-CN"/>
              </w:rPr>
              <w:t>万Nm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/a。天然气废气源强根据《排放源统计调查产排污核算方法和系数手册》中机械行业系数手册—涂装—天然气工业炉窑，每燃烧1立方米天然气产生0.000286kg烟尘，0.000002SkgSO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（天然气中S收到基硫分取</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0），0.00187kgNOx，则污染物烟尘、SO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、NO</w:t>
            </w:r>
            <w:r>
              <w:rPr>
                <w:rFonts w:hint="eastAsia" w:ascii="Times New Roman" w:hAnsi="Times New Roman" w:eastAsia="宋体" w:cs="Times New Roman"/>
                <w:color w:val="auto"/>
                <w:kern w:val="0"/>
                <w:sz w:val="24"/>
                <w:szCs w:val="24"/>
                <w:highlight w:val="none"/>
                <w:lang w:val="en-US" w:eastAsia="zh-CN"/>
              </w:rPr>
              <w:t>x</w:t>
            </w:r>
            <w:r>
              <w:rPr>
                <w:rFonts w:hint="default" w:ascii="Times New Roman" w:hAnsi="Times New Roman" w:eastAsia="宋体" w:cs="Times New Roman"/>
                <w:color w:val="auto"/>
                <w:kern w:val="0"/>
                <w:sz w:val="24"/>
                <w:szCs w:val="24"/>
                <w:highlight w:val="none"/>
                <w:lang w:val="en-US" w:eastAsia="zh-CN"/>
              </w:rPr>
              <w:t>总产生量分别为0.</w:t>
            </w:r>
            <w:r>
              <w:rPr>
                <w:rFonts w:hint="eastAsia" w:ascii="Times New Roman" w:hAnsi="Times New Roman" w:eastAsia="宋体" w:cs="Times New Roman"/>
                <w:color w:val="auto"/>
                <w:kern w:val="0"/>
                <w:sz w:val="24"/>
                <w:szCs w:val="24"/>
                <w:highlight w:val="none"/>
                <w:lang w:val="en-US" w:eastAsia="zh-CN"/>
              </w:rPr>
              <w:t>0286</w:t>
            </w:r>
            <w:r>
              <w:rPr>
                <w:rFonts w:hint="default" w:ascii="Times New Roman" w:hAnsi="Times New Roman" w:eastAsia="宋体" w:cs="Times New Roman"/>
                <w:color w:val="auto"/>
                <w:kern w:val="0"/>
                <w:sz w:val="24"/>
                <w:szCs w:val="24"/>
                <w:highlight w:val="none"/>
                <w:lang w:val="en-US" w:eastAsia="zh-CN"/>
              </w:rPr>
              <w:t>t/a、0.</w:t>
            </w:r>
            <w:r>
              <w:rPr>
                <w:rFonts w:hint="eastAsia" w:ascii="Times New Roman" w:hAnsi="Times New Roman" w:eastAsia="宋体" w:cs="Times New Roman"/>
                <w:color w:val="auto"/>
                <w:kern w:val="0"/>
                <w:sz w:val="24"/>
                <w:szCs w:val="24"/>
                <w:highlight w:val="none"/>
                <w:lang w:val="en-US" w:eastAsia="zh-CN"/>
              </w:rPr>
              <w:t>004</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0.187</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，天然气燃烧装置采用低氮燃烧器（</w:t>
            </w:r>
            <w:r>
              <w:rPr>
                <w:rFonts w:hint="default" w:ascii="Times New Roman" w:hAnsi="Times New Roman" w:eastAsia="宋体" w:cs="Times New Roman"/>
                <w:color w:val="auto"/>
                <w:sz w:val="24"/>
                <w:szCs w:val="24"/>
                <w:highlight w:val="none"/>
                <w:lang w:val="en-US" w:eastAsia="zh-CN"/>
              </w:rPr>
              <w:t>对NOx的去除率为50%</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，则NOx经过处理后的产生量为0.0935t/a，燃烧废气通过烘道两端设置的集气罩收集，通过1#二级活性炭吸附装置，</w:t>
            </w:r>
            <w:r>
              <w:rPr>
                <w:rFonts w:hint="default" w:ascii="Times New Roman" w:hAnsi="Times New Roman" w:eastAsia="宋体" w:cs="Times New Roman"/>
                <w:color w:val="auto"/>
                <w:kern w:val="0"/>
                <w:sz w:val="24"/>
                <w:szCs w:val="24"/>
                <w:highlight w:val="none"/>
                <w:lang w:val="en-US" w:eastAsia="zh-CN"/>
              </w:rPr>
              <w:t>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排气筒FQ-2</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eastAsia" w:ascii="Times New Roman" w:hAnsi="Times New Roman" w:eastAsia="宋体" w:cs="Times New Roman"/>
                <w:color w:val="auto"/>
                <w:sz w:val="24"/>
                <w:szCs w:val="24"/>
                <w:highlight w:val="none"/>
                <w:lang w:val="en-US" w:eastAsia="zh-CN"/>
              </w:rPr>
              <w:t>烟尘</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、NO</w:t>
            </w:r>
            <w:r>
              <w:rPr>
                <w:rFonts w:hint="eastAsia" w:ascii="Times New Roman" w:hAnsi="Times New Roman" w:eastAsia="宋体" w:cs="Times New Roman"/>
                <w:color w:val="auto"/>
                <w:kern w:val="0"/>
                <w:sz w:val="24"/>
                <w:szCs w:val="24"/>
                <w:highlight w:val="none"/>
                <w:lang w:val="en-US" w:eastAsia="zh-CN"/>
              </w:rPr>
              <w:t>x的有组织</w:t>
            </w:r>
            <w:r>
              <w:rPr>
                <w:rFonts w:hint="default" w:ascii="Times New Roman" w:hAnsi="Times New Roman" w:eastAsia="宋体" w:cs="Times New Roman"/>
                <w:color w:val="auto"/>
                <w:sz w:val="24"/>
                <w:szCs w:val="24"/>
                <w:highlight w:val="none"/>
              </w:rPr>
              <w:t>排放量</w:t>
            </w:r>
            <w:r>
              <w:rPr>
                <w:rFonts w:hint="eastAsia"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0257</w:t>
            </w:r>
            <w:r>
              <w:rPr>
                <w:rFonts w:hint="default" w:ascii="Times New Roman" w:hAnsi="Times New Roman" w:eastAsia="宋体" w:cs="Times New Roman"/>
                <w:color w:val="auto"/>
                <w:kern w:val="0"/>
                <w:sz w:val="24"/>
                <w:szCs w:val="24"/>
                <w:highlight w:val="none"/>
                <w:lang w:val="en-US" w:eastAsia="zh-CN"/>
              </w:rPr>
              <w:t>t/a、0.</w:t>
            </w:r>
            <w:r>
              <w:rPr>
                <w:rFonts w:hint="eastAsia" w:ascii="Times New Roman" w:hAnsi="Times New Roman" w:eastAsia="宋体" w:cs="Times New Roman"/>
                <w:color w:val="auto"/>
                <w:kern w:val="0"/>
                <w:sz w:val="24"/>
                <w:szCs w:val="24"/>
                <w:highlight w:val="none"/>
                <w:lang w:val="en-US" w:eastAsia="zh-CN"/>
              </w:rPr>
              <w:t>0036</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0.0842</w:t>
            </w:r>
            <w:r>
              <w:rPr>
                <w:rFonts w:hint="default" w:ascii="Times New Roman" w:hAnsi="Times New Roman" w:eastAsia="宋体" w:cs="Times New Roman"/>
                <w:color w:val="auto"/>
                <w:kern w:val="0"/>
                <w:sz w:val="24"/>
                <w:szCs w:val="24"/>
                <w:highlight w:val="none"/>
                <w:lang w:val="en-US" w:eastAsia="zh-CN"/>
              </w:rPr>
              <w:t>t/a</w:t>
            </w:r>
            <w:r>
              <w:rPr>
                <w:rFonts w:hint="default" w:ascii="Times New Roman" w:hAnsi="Times New Roman" w:eastAsia="宋体" w:cs="Times New Roman"/>
                <w:color w:val="auto"/>
                <w:kern w:val="0"/>
                <w:sz w:val="24"/>
                <w:szCs w:val="24"/>
                <w:highlight w:val="none"/>
              </w:rPr>
              <w:t>。</w:t>
            </w:r>
          </w:p>
          <w:p w14:paraId="12AB3982">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⑤打胶废气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7</w:t>
            </w:r>
          </w:p>
          <w:p w14:paraId="1D78C53A">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本项目打胶、晾干在密闭打胶房内进行，房内拟设</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台打胶机，上胶、晾干工序产生的有机废气，视为同一股废气。根据水性胶</w:t>
            </w:r>
            <w:r>
              <w:rPr>
                <w:rFonts w:hint="eastAsia" w:ascii="Times New Roman" w:hAnsi="Times New Roman" w:eastAsia="宋体" w:cs="Times New Roman"/>
                <w:color w:val="auto"/>
                <w:kern w:val="0"/>
                <w:sz w:val="24"/>
                <w:szCs w:val="24"/>
                <w:highlight w:val="none"/>
                <w:lang w:val="en-US" w:eastAsia="zh-CN"/>
              </w:rPr>
              <w:t>VOCs检测报告</w:t>
            </w:r>
            <w:r>
              <w:rPr>
                <w:rFonts w:hint="default" w:ascii="Times New Roman" w:hAnsi="Times New Roman" w:eastAsia="宋体" w:cs="Times New Roman"/>
                <w:color w:val="auto"/>
                <w:kern w:val="0"/>
                <w:sz w:val="24"/>
                <w:szCs w:val="24"/>
                <w:highlight w:val="none"/>
                <w:lang w:val="en-US" w:eastAsia="zh-CN"/>
              </w:rPr>
              <w:t>，挥发性有机物组分占比约为6.686g/L</w:t>
            </w:r>
            <w:r>
              <w:rPr>
                <w:rFonts w:hint="eastAsia" w:ascii="Times New Roman" w:hAnsi="Times New Roman" w:eastAsia="宋体" w:cs="Times New Roman"/>
                <w:color w:val="auto"/>
                <w:kern w:val="0"/>
                <w:sz w:val="24"/>
                <w:szCs w:val="24"/>
                <w:highlight w:val="none"/>
                <w:lang w:val="en-US" w:eastAsia="zh-CN"/>
              </w:rPr>
              <w:t>，水性胶用量为20000L/a</w:t>
            </w:r>
            <w:r>
              <w:rPr>
                <w:rFonts w:hint="default" w:ascii="Times New Roman" w:hAnsi="Times New Roman" w:eastAsia="宋体" w:cs="Times New Roman"/>
                <w:color w:val="auto"/>
                <w:kern w:val="0"/>
                <w:sz w:val="24"/>
                <w:szCs w:val="24"/>
                <w:highlight w:val="none"/>
                <w:lang w:val="en-US" w:eastAsia="zh-CN"/>
              </w:rPr>
              <w:t>，使用过程中不需要调配，考虑最不利情况以其全部挥发核算</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产生的有机废气以</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lang w:val="en-US" w:eastAsia="zh-CN"/>
              </w:rPr>
              <w:t>计，则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lang w:val="en-US" w:eastAsia="zh-CN"/>
              </w:rPr>
              <w:t>产生量为</w:t>
            </w:r>
            <w:r>
              <w:rPr>
                <w:rFonts w:hint="eastAsia" w:ascii="Times New Roman" w:hAnsi="Times New Roman" w:eastAsia="宋体" w:cs="Times New Roman"/>
                <w:color w:val="auto"/>
                <w:kern w:val="0"/>
                <w:sz w:val="24"/>
                <w:szCs w:val="24"/>
                <w:highlight w:val="none"/>
                <w:lang w:val="en-US" w:eastAsia="zh-CN"/>
              </w:rPr>
              <w:t>0.134</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打胶废气在打胶房密闭</w:t>
            </w:r>
            <w:r>
              <w:rPr>
                <w:rFonts w:hint="default" w:ascii="Times New Roman" w:hAnsi="Times New Roman" w:eastAsia="宋体" w:cs="Times New Roman"/>
                <w:color w:val="auto"/>
                <w:kern w:val="0"/>
                <w:sz w:val="24"/>
                <w:szCs w:val="24"/>
                <w:highlight w:val="none"/>
                <w:lang w:val="en-US" w:eastAsia="zh-CN"/>
              </w:rPr>
              <w:t>收集后通过</w:t>
            </w:r>
            <w:r>
              <w:rPr>
                <w:rFonts w:hint="eastAsia" w:ascii="Times New Roman" w:hAnsi="Times New Roman" w:eastAsia="宋体" w:cs="Times New Roman"/>
                <w:color w:val="auto"/>
                <w:kern w:val="0"/>
                <w:sz w:val="24"/>
                <w:szCs w:val="24"/>
                <w:highlight w:val="none"/>
                <w:lang w:val="en-US" w:eastAsia="zh-CN"/>
              </w:rPr>
              <w:t>2#二级活性炭</w:t>
            </w:r>
            <w:r>
              <w:rPr>
                <w:rFonts w:hint="default" w:ascii="Times New Roman" w:hAnsi="Times New Roman" w:eastAsia="宋体" w:cs="Times New Roman"/>
                <w:color w:val="auto"/>
                <w:kern w:val="0"/>
                <w:sz w:val="24"/>
                <w:szCs w:val="24"/>
                <w:highlight w:val="none"/>
                <w:lang w:val="en-US" w:eastAsia="zh-CN"/>
              </w:rPr>
              <w:t>吸附装置处理，由一根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排气筒FQ-3</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95</w:t>
            </w:r>
            <w:r>
              <w:rPr>
                <w:rFonts w:hint="default" w:ascii="Times New Roman" w:hAnsi="Times New Roman" w:eastAsia="宋体" w:cs="Times New Roman"/>
                <w:color w:val="auto"/>
                <w:sz w:val="24"/>
                <w:szCs w:val="24"/>
                <w:highlight w:val="none"/>
              </w:rPr>
              <w:t>%，去除率为</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color w:val="auto"/>
                <w:sz w:val="24"/>
                <w:szCs w:val="24"/>
                <w:highlight w:val="none"/>
                <w:lang w:val="en-US" w:eastAsia="zh-CN"/>
              </w:rPr>
              <w:t>0.1273</w:t>
            </w:r>
            <w:r>
              <w:rPr>
                <w:rFonts w:hint="default" w:ascii="Times New Roman" w:hAnsi="Times New Roman" w:eastAsia="宋体" w:cs="Times New Roman"/>
                <w:color w:val="auto"/>
                <w:sz w:val="24"/>
                <w:szCs w:val="24"/>
                <w:highlight w:val="none"/>
              </w:rPr>
              <w:t>t/a，有组织排放量为</w:t>
            </w:r>
            <w:r>
              <w:rPr>
                <w:rFonts w:hint="eastAsia" w:ascii="Times New Roman" w:hAnsi="Times New Roman" w:eastAsia="宋体" w:cs="Times New Roman"/>
                <w:color w:val="auto"/>
                <w:sz w:val="24"/>
                <w:szCs w:val="24"/>
                <w:highlight w:val="none"/>
                <w:lang w:val="en-US" w:eastAsia="zh-CN"/>
              </w:rPr>
              <w:t>0.0127</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7CE0DB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无组织废气</w:t>
            </w:r>
          </w:p>
          <w:p w14:paraId="23CD87D2">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w:t>
            </w:r>
            <w:r>
              <w:rPr>
                <w:rFonts w:hint="eastAsia" w:ascii="Times New Roman" w:hAnsi="Times New Roman" w:eastAsia="宋体" w:cs="Times New Roman"/>
                <w:color w:val="auto"/>
                <w:kern w:val="0"/>
                <w:sz w:val="24"/>
                <w:szCs w:val="24"/>
                <w:highlight w:val="none"/>
                <w:lang w:val="en-US" w:eastAsia="zh-CN"/>
              </w:rPr>
              <w:t>切割烟尘</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1</w:t>
            </w:r>
          </w:p>
          <w:p w14:paraId="7A877F34">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本项目钢材进行切割过程中产生一定量的金属烟尘。根据《激光切割烟尘分析及除尘系统》(王志刚,汪立新,李振光著)文献资料,每台激光切割设备产污系数为39.6g/h,本项目拟设两台激光切割设备，年作业时间约为</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00h，则切割烟尘中颗粒物年产生量约0.0</w:t>
            </w:r>
            <w:r>
              <w:rPr>
                <w:rFonts w:hint="eastAsia" w:ascii="Times New Roman" w:hAnsi="Times New Roman" w:eastAsia="宋体" w:cs="Times New Roman"/>
                <w:color w:val="auto"/>
                <w:kern w:val="0"/>
                <w:sz w:val="24"/>
                <w:szCs w:val="24"/>
                <w:highlight w:val="none"/>
                <w:lang w:val="en-US" w:eastAsia="zh-CN"/>
              </w:rPr>
              <w:t>356</w:t>
            </w:r>
            <w:r>
              <w:rPr>
                <w:rFonts w:hint="default" w:ascii="Times New Roman" w:hAnsi="Times New Roman" w:eastAsia="宋体" w:cs="Times New Roman"/>
                <w:color w:val="auto"/>
                <w:kern w:val="0"/>
                <w:sz w:val="24"/>
                <w:szCs w:val="24"/>
                <w:highlight w:val="none"/>
                <w:lang w:val="en-US" w:eastAsia="zh-CN"/>
              </w:rPr>
              <w:t>t/a。切割烟尘经移动式烟尘净化器捕集净化后无组织排放</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综合去除</w:t>
            </w:r>
            <w:r>
              <w:rPr>
                <w:rFonts w:hint="default" w:ascii="Times New Roman" w:hAnsi="Times New Roman" w:eastAsia="宋体" w:cs="Times New Roman"/>
                <w:color w:val="auto"/>
                <w:sz w:val="24"/>
                <w:szCs w:val="24"/>
                <w:highlight w:val="none"/>
              </w:rPr>
              <w:t>率为</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，则切割烟尘中颗粒物的排放量约为0.0</w:t>
            </w:r>
            <w:r>
              <w:rPr>
                <w:rFonts w:hint="eastAsia" w:ascii="Times New Roman" w:hAnsi="Times New Roman" w:eastAsia="宋体" w:cs="Times New Roman"/>
                <w:color w:val="auto"/>
                <w:kern w:val="0"/>
                <w:sz w:val="24"/>
                <w:szCs w:val="24"/>
                <w:highlight w:val="none"/>
                <w:lang w:val="en-US" w:eastAsia="zh-CN"/>
              </w:rPr>
              <w:t>071</w:t>
            </w:r>
            <w:r>
              <w:rPr>
                <w:rFonts w:hint="default" w:ascii="Times New Roman" w:hAnsi="Times New Roman" w:eastAsia="宋体" w:cs="Times New Roman"/>
                <w:color w:val="auto"/>
                <w:kern w:val="0"/>
                <w:sz w:val="24"/>
                <w:szCs w:val="24"/>
                <w:highlight w:val="none"/>
                <w:lang w:val="en-US" w:eastAsia="zh-CN"/>
              </w:rPr>
              <w:t>t/a。</w:t>
            </w:r>
          </w:p>
          <w:p w14:paraId="361804D1">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②焊接烟尘</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2</w:t>
            </w:r>
          </w:p>
          <w:p w14:paraId="1767CDF5">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焊接过程会产生焊接烟尘，根据《焊接工程师手册》（机械工业版社，2002 年版），常规焊接烟尘产尘系数5~8g/kg焊丝</w:t>
            </w:r>
            <w:r>
              <w:rPr>
                <w:rFonts w:hint="eastAsia" w:ascii="Times New Roman" w:hAnsi="Times New Roman" w:eastAsia="宋体" w:cs="Times New Roman"/>
                <w:color w:val="auto"/>
                <w:kern w:val="0"/>
                <w:sz w:val="24"/>
                <w:szCs w:val="24"/>
                <w:highlight w:val="none"/>
                <w:lang w:val="en-US" w:eastAsia="zh-CN"/>
              </w:rPr>
              <w:t>（本次取7</w:t>
            </w:r>
            <w:r>
              <w:rPr>
                <w:rFonts w:hint="default" w:ascii="Times New Roman" w:hAnsi="Times New Roman" w:eastAsia="宋体" w:cs="Times New Roman"/>
                <w:color w:val="auto"/>
                <w:kern w:val="0"/>
                <w:sz w:val="24"/>
                <w:szCs w:val="24"/>
                <w:highlight w:val="none"/>
                <w:lang w:val="en-US" w:eastAsia="zh-CN"/>
              </w:rPr>
              <w:t>g/kg</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，本项目焊丝用量为</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t/a，不含铅，则焊接烟尘产生量为0.0</w:t>
            </w:r>
            <w:r>
              <w:rPr>
                <w:rFonts w:hint="eastAsia" w:ascii="Times New Roman" w:hAnsi="Times New Roman" w:eastAsia="宋体" w:cs="Times New Roman"/>
                <w:color w:val="auto"/>
                <w:kern w:val="0"/>
                <w:sz w:val="24"/>
                <w:szCs w:val="24"/>
                <w:highlight w:val="none"/>
                <w:lang w:val="en-US" w:eastAsia="zh-CN"/>
              </w:rPr>
              <w:t>14</w:t>
            </w:r>
            <w:r>
              <w:rPr>
                <w:rFonts w:hint="default" w:ascii="Times New Roman" w:hAnsi="Times New Roman" w:eastAsia="宋体" w:cs="Times New Roman"/>
                <w:color w:val="auto"/>
                <w:kern w:val="0"/>
                <w:sz w:val="24"/>
                <w:szCs w:val="24"/>
                <w:highlight w:val="none"/>
                <w:lang w:val="en-US" w:eastAsia="zh-CN"/>
              </w:rPr>
              <w:t>t/a</w:t>
            </w:r>
            <w:r>
              <w:rPr>
                <w:rFonts w:hint="eastAsia" w:ascii="Times New Roman" w:hAnsi="Times New Roman" w:eastAsia="宋体" w:cs="Times New Roman"/>
                <w:color w:val="auto"/>
                <w:kern w:val="0"/>
                <w:sz w:val="24"/>
                <w:szCs w:val="24"/>
                <w:highlight w:val="none"/>
                <w:lang w:val="en-US" w:eastAsia="zh-CN"/>
              </w:rPr>
              <w:t>。焊接</w:t>
            </w:r>
            <w:r>
              <w:rPr>
                <w:rFonts w:hint="default" w:ascii="Times New Roman" w:hAnsi="Times New Roman" w:eastAsia="宋体" w:cs="Times New Roman"/>
                <w:color w:val="auto"/>
                <w:kern w:val="0"/>
                <w:sz w:val="24"/>
                <w:szCs w:val="24"/>
                <w:highlight w:val="none"/>
                <w:lang w:val="en-US" w:eastAsia="zh-CN"/>
              </w:rPr>
              <w:t>烟尘</w:t>
            </w:r>
            <w:r>
              <w:rPr>
                <w:rFonts w:hint="default" w:ascii="Times New Roman" w:hAnsi="Times New Roman" w:eastAsia="宋体" w:cs="Times New Roman"/>
                <w:color w:val="auto"/>
                <w:sz w:val="24"/>
                <w:szCs w:val="24"/>
                <w:highlight w:val="none"/>
              </w:rPr>
              <w:t>经移动式烟尘净化器捕集净化后无组织排放</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综合去除</w:t>
            </w:r>
            <w:r>
              <w:rPr>
                <w:rFonts w:hint="default" w:ascii="Times New Roman" w:hAnsi="Times New Roman" w:eastAsia="宋体" w:cs="Times New Roman"/>
                <w:color w:val="auto"/>
                <w:sz w:val="24"/>
                <w:szCs w:val="24"/>
                <w:highlight w:val="none"/>
              </w:rPr>
              <w:t>率为</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w:t>
            </w:r>
            <w:r>
              <w:rPr>
                <w:rFonts w:hint="eastAsia" w:ascii="Times New Roman" w:hAnsi="Times New Roman" w:eastAsia="宋体" w:cs="Times New Roman"/>
                <w:color w:val="auto"/>
                <w:sz w:val="24"/>
                <w:szCs w:val="24"/>
                <w:highlight w:val="none"/>
                <w:lang w:val="en-US" w:eastAsia="zh-CN"/>
              </w:rPr>
              <w:t>焊接</w:t>
            </w:r>
            <w:r>
              <w:rPr>
                <w:rFonts w:hint="default" w:ascii="Times New Roman" w:hAnsi="Times New Roman" w:eastAsia="宋体" w:cs="Times New Roman"/>
                <w:color w:val="auto"/>
                <w:sz w:val="24"/>
                <w:szCs w:val="24"/>
                <w:highlight w:val="none"/>
              </w:rPr>
              <w:t>烟尘中颗粒物的排放量约为</w:t>
            </w:r>
            <w:r>
              <w:rPr>
                <w:rFonts w:hint="eastAsia" w:ascii="Times New Roman" w:hAnsi="Times New Roman" w:eastAsia="宋体" w:cs="Times New Roman"/>
                <w:color w:val="auto"/>
                <w:sz w:val="24"/>
                <w:szCs w:val="24"/>
                <w:highlight w:val="none"/>
                <w:lang w:eastAsia="zh-CN"/>
              </w:rPr>
              <w:t>0.0</w:t>
            </w:r>
            <w:r>
              <w:rPr>
                <w:rFonts w:hint="eastAsia" w:ascii="Times New Roman" w:hAnsi="Times New Roman" w:eastAsia="宋体" w:cs="Times New Roman"/>
                <w:color w:val="auto"/>
                <w:sz w:val="24"/>
                <w:szCs w:val="24"/>
                <w:highlight w:val="none"/>
                <w:lang w:val="en-US" w:eastAsia="zh-CN"/>
              </w:rPr>
              <w:t>028</w:t>
            </w:r>
            <w:r>
              <w:rPr>
                <w:rFonts w:hint="default" w:ascii="Times New Roman" w:hAnsi="Times New Roman" w:eastAsia="宋体" w:cs="Times New Roman"/>
                <w:color w:val="auto"/>
                <w:sz w:val="24"/>
                <w:szCs w:val="24"/>
                <w:highlight w:val="none"/>
              </w:rPr>
              <w:t>t/a。</w:t>
            </w:r>
          </w:p>
          <w:p w14:paraId="50DA7302">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打磨粉尘</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3’</w:t>
            </w:r>
          </w:p>
          <w:p w14:paraId="1752A371">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%，则</w:t>
            </w: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0017</w:t>
            </w:r>
            <w:r>
              <w:rPr>
                <w:rFonts w:hint="default" w:ascii="Times New Roman" w:hAnsi="Times New Roman" w:eastAsia="宋体" w:cs="Times New Roman"/>
                <w:color w:val="auto"/>
                <w:kern w:val="0"/>
                <w:sz w:val="24"/>
                <w:szCs w:val="24"/>
                <w:highlight w:val="none"/>
              </w:rPr>
              <w:t>t/a。</w:t>
            </w:r>
          </w:p>
          <w:p w14:paraId="58D1B608">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喷砂粉尘</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4’</w:t>
            </w:r>
          </w:p>
          <w:p w14:paraId="30B46A7A">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rPr>
              <w:t>%，则</w:t>
            </w: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0026</w:t>
            </w:r>
            <w:r>
              <w:rPr>
                <w:rFonts w:hint="default" w:ascii="Times New Roman" w:hAnsi="Times New Roman" w:eastAsia="宋体" w:cs="Times New Roman"/>
                <w:color w:val="auto"/>
                <w:kern w:val="0"/>
                <w:sz w:val="24"/>
                <w:szCs w:val="24"/>
                <w:highlight w:val="none"/>
              </w:rPr>
              <w:t>t/a。</w:t>
            </w:r>
          </w:p>
          <w:p w14:paraId="315F53B9">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⑤</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喷粉废气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5’、G6’</w:t>
            </w:r>
          </w:p>
          <w:p w14:paraId="37D3785D">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%，则</w:t>
            </w: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kern w:val="0"/>
                <w:sz w:val="24"/>
                <w:szCs w:val="24"/>
                <w:highlight w:val="none"/>
              </w:rPr>
              <w:t>无组织</w:t>
            </w:r>
            <w:r>
              <w:rPr>
                <w:rFonts w:hint="eastAsia" w:ascii="Times New Roman" w:hAnsi="Times New Roman" w:eastAsia="宋体" w:cs="Times New Roman"/>
                <w:color w:val="auto"/>
                <w:kern w:val="0"/>
                <w:sz w:val="24"/>
                <w:szCs w:val="24"/>
                <w:highlight w:val="none"/>
                <w:lang w:val="en-US" w:eastAsia="zh-CN"/>
              </w:rPr>
              <w:t>产生</w:t>
            </w:r>
            <w:r>
              <w:rPr>
                <w:rFonts w:hint="default" w:ascii="Times New Roman" w:hAnsi="Times New Roman" w:eastAsia="宋体" w:cs="Times New Roman"/>
                <w:color w:val="auto"/>
                <w:kern w:val="0"/>
                <w:sz w:val="24"/>
                <w:szCs w:val="24"/>
                <w:highlight w:val="none"/>
              </w:rPr>
              <w:t>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val="en-US" w:eastAsia="zh-CN"/>
              </w:rPr>
              <w:t>预计60%的颗粒物（0.24t）</w:t>
            </w:r>
            <w:r>
              <w:rPr>
                <w:rFonts w:hint="default" w:ascii="Times New Roman" w:hAnsi="Times New Roman" w:eastAsia="宋体" w:cs="Times New Roman"/>
                <w:color w:val="auto"/>
                <w:kern w:val="0"/>
                <w:sz w:val="24"/>
                <w:szCs w:val="24"/>
                <w:highlight w:val="none"/>
                <w:lang w:val="en-US" w:eastAsia="zh-CN"/>
              </w:rPr>
              <w:t>由于重力作用</w:t>
            </w:r>
            <w:r>
              <w:rPr>
                <w:rFonts w:hint="eastAsia" w:ascii="Times New Roman" w:hAnsi="Times New Roman" w:eastAsia="宋体" w:cs="Times New Roman"/>
                <w:color w:val="auto"/>
                <w:kern w:val="0"/>
                <w:sz w:val="24"/>
                <w:szCs w:val="24"/>
                <w:highlight w:val="none"/>
                <w:lang w:val="en-US" w:eastAsia="zh-CN"/>
              </w:rPr>
              <w:t>在喷道内自然沉降，剩余40%（0.16t）</w:t>
            </w:r>
            <w:r>
              <w:rPr>
                <w:rFonts w:hint="default" w:ascii="Times New Roman" w:hAnsi="Times New Roman" w:eastAsia="宋体" w:cs="Times New Roman"/>
                <w:color w:val="auto"/>
                <w:kern w:val="0"/>
                <w:sz w:val="24"/>
                <w:szCs w:val="24"/>
                <w:highlight w:val="none"/>
                <w:lang w:val="en-US" w:eastAsia="zh-CN"/>
              </w:rPr>
              <w:t>则可能长时间悬浮在空气中，</w:t>
            </w:r>
            <w:r>
              <w:rPr>
                <w:rFonts w:hint="eastAsia" w:ascii="Times New Roman" w:hAnsi="Times New Roman" w:eastAsia="宋体" w:cs="Times New Roman"/>
                <w:color w:val="auto"/>
                <w:kern w:val="0"/>
                <w:sz w:val="24"/>
                <w:szCs w:val="24"/>
                <w:highlight w:val="none"/>
                <w:lang w:val="en-US" w:eastAsia="zh-CN"/>
              </w:rPr>
              <w:t>随气流扩散至车间。</w:t>
            </w:r>
            <w:r>
              <w:rPr>
                <w:rFonts w:hint="default" w:ascii="Times New Roman" w:hAnsi="Times New Roman" w:eastAsia="宋体" w:cs="Times New Roman"/>
                <w:color w:val="auto"/>
                <w:kern w:val="0"/>
                <w:sz w:val="24"/>
                <w:szCs w:val="24"/>
                <w:highlight w:val="none"/>
              </w:rPr>
              <w:t>则</w:t>
            </w: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16</w:t>
            </w:r>
            <w:r>
              <w:rPr>
                <w:rFonts w:hint="default" w:ascii="Times New Roman" w:hAnsi="Times New Roman" w:eastAsia="宋体" w:cs="Times New Roman"/>
                <w:color w:val="auto"/>
                <w:kern w:val="0"/>
                <w:sz w:val="24"/>
                <w:szCs w:val="24"/>
                <w:highlight w:val="none"/>
              </w:rPr>
              <w:t>t/a。</w:t>
            </w:r>
          </w:p>
          <w:p w14:paraId="0E1E6A67">
            <w:pPr>
              <w:pStyle w:val="81"/>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⑥</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固化废气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7’</w:t>
            </w:r>
          </w:p>
          <w:p w14:paraId="499ED135">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06</w:t>
            </w:r>
            <w:r>
              <w:rPr>
                <w:rFonts w:hint="default" w:ascii="Times New Roman" w:hAnsi="Times New Roman" w:eastAsia="宋体" w:cs="Times New Roman"/>
                <w:color w:val="auto"/>
                <w:kern w:val="0"/>
                <w:sz w:val="24"/>
                <w:szCs w:val="24"/>
                <w:highlight w:val="none"/>
              </w:rPr>
              <w:t>t/a。</w:t>
            </w:r>
          </w:p>
          <w:p w14:paraId="7BF1CC08">
            <w:pPr>
              <w:adjustRightInd w:val="0"/>
              <w:snapToGrid w:val="0"/>
              <w:spacing w:beforeLines="0" w:afterLines="0" w:line="500" w:lineRule="exact"/>
              <w:ind w:firstLine="480"/>
              <w:rPr>
                <w:rFonts w:hint="eastAsia"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⑦未补集的天然气燃烧废气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8’、G10’</w:t>
            </w:r>
          </w:p>
          <w:p w14:paraId="0D11A43C">
            <w:pPr>
              <w:pStyle w:val="81"/>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%，则</w:t>
            </w:r>
            <w:r>
              <w:rPr>
                <w:rFonts w:hint="eastAsia" w:ascii="Times New Roman" w:hAnsi="Times New Roman" w:eastAsia="宋体" w:cs="Times New Roman"/>
                <w:color w:val="auto"/>
                <w:kern w:val="0"/>
                <w:sz w:val="24"/>
                <w:szCs w:val="24"/>
                <w:highlight w:val="none"/>
                <w:lang w:val="en-US" w:eastAsia="zh-CN"/>
              </w:rPr>
              <w:t>颗粒物、SO</w:t>
            </w:r>
            <w:r>
              <w:rPr>
                <w:rFonts w:hint="eastAsia" w:ascii="Times New Roman" w:hAnsi="Times New Roman" w:eastAsia="宋体" w:cs="Times New Roman"/>
                <w:color w:val="auto"/>
                <w:kern w:val="0"/>
                <w:sz w:val="24"/>
                <w:szCs w:val="24"/>
                <w:highlight w:val="none"/>
                <w:vertAlign w:val="subscript"/>
                <w:lang w:val="en-US" w:eastAsia="zh-CN"/>
              </w:rPr>
              <w:t>2</w:t>
            </w:r>
            <w:r>
              <w:rPr>
                <w:rFonts w:hint="eastAsia" w:ascii="Times New Roman" w:hAnsi="Times New Roman" w:eastAsia="宋体" w:cs="Times New Roman"/>
                <w:color w:val="auto"/>
                <w:kern w:val="0"/>
                <w:sz w:val="24"/>
                <w:szCs w:val="24"/>
                <w:highlight w:val="none"/>
                <w:lang w:val="en-US" w:eastAsia="zh-CN"/>
              </w:rPr>
              <w:t>、NOx的</w:t>
            </w:r>
            <w:r>
              <w:rPr>
                <w:rFonts w:hint="default" w:ascii="Times New Roman" w:hAnsi="Times New Roman" w:eastAsia="宋体" w:cs="Times New Roman"/>
                <w:color w:val="auto"/>
                <w:kern w:val="0"/>
                <w:sz w:val="24"/>
                <w:szCs w:val="24"/>
                <w:highlight w:val="none"/>
              </w:rPr>
              <w:t>无组织排放量</w:t>
            </w:r>
            <w:r>
              <w:rPr>
                <w:rFonts w:hint="eastAsia" w:ascii="Times New Roman" w:hAnsi="Times New Roman" w:eastAsia="宋体" w:cs="Times New Roman"/>
                <w:color w:val="auto"/>
                <w:kern w:val="0"/>
                <w:sz w:val="24"/>
                <w:szCs w:val="24"/>
                <w:highlight w:val="none"/>
                <w:lang w:val="en-US" w:eastAsia="zh-CN"/>
              </w:rPr>
              <w:t>分别</w:t>
            </w:r>
            <w:r>
              <w:rPr>
                <w:rFonts w:hint="default" w:ascii="Times New Roman" w:hAnsi="Times New Roman" w:eastAsia="宋体" w:cs="Times New Roman"/>
                <w:color w:val="auto"/>
                <w:kern w:val="0"/>
                <w:sz w:val="24"/>
                <w:szCs w:val="24"/>
                <w:highlight w:val="none"/>
              </w:rPr>
              <w:t>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0029</w:t>
            </w:r>
            <w:r>
              <w:rPr>
                <w:rFonts w:hint="default"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0004</w:t>
            </w:r>
            <w:r>
              <w:rPr>
                <w:rFonts w:hint="default"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0.0094</w:t>
            </w:r>
            <w:r>
              <w:rPr>
                <w:rFonts w:hint="default" w:ascii="Times New Roman" w:hAnsi="Times New Roman" w:eastAsia="宋体" w:cs="Times New Roman"/>
                <w:color w:val="auto"/>
                <w:kern w:val="0"/>
                <w:sz w:val="24"/>
                <w:szCs w:val="24"/>
                <w:highlight w:val="none"/>
              </w:rPr>
              <w:t>t/a。</w:t>
            </w:r>
          </w:p>
          <w:p w14:paraId="1F7FA71F">
            <w:pPr>
              <w:adjustRightInd w:val="0"/>
              <w:snapToGrid w:val="0"/>
              <w:spacing w:beforeLines="0" w:afterLines="0" w:line="500" w:lineRule="exact"/>
              <w:ind w:firstLine="48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⑧未补集的</w:t>
            </w:r>
            <w:r>
              <w:rPr>
                <w:rFonts w:hint="eastAsia" w:ascii="Times New Roman" w:hAnsi="Times New Roman" w:eastAsia="宋体" w:cs="Times New Roman"/>
                <w:color w:val="auto"/>
                <w:kern w:val="0"/>
                <w:sz w:val="24"/>
                <w:szCs w:val="24"/>
                <w:highlight w:val="none"/>
                <w:lang w:val="en-US" w:eastAsia="zh-CN"/>
              </w:rPr>
              <w:t>打胶废气</w:t>
            </w:r>
            <w:r>
              <w:rPr>
                <w:rFonts w:hint="default" w:ascii="Times New Roman" w:hAnsi="Times New Roman" w:eastAsia="宋体" w:cs="Times New Roman"/>
                <w:color w:val="auto"/>
                <w:kern w:val="0"/>
                <w:sz w:val="24"/>
                <w:szCs w:val="24"/>
                <w:highlight w:val="none"/>
                <w:lang w:val="en-US" w:eastAsia="zh-CN"/>
              </w:rPr>
              <w:t>G</w:t>
            </w:r>
            <w:r>
              <w:rPr>
                <w:rFonts w:hint="eastAsia" w:ascii="Times New Roman" w:hAnsi="Times New Roman" w:eastAsia="宋体" w:cs="Times New Roman"/>
                <w:color w:val="auto"/>
                <w:kern w:val="0"/>
                <w:sz w:val="24"/>
                <w:szCs w:val="24"/>
                <w:highlight w:val="none"/>
                <w:lang w:val="en-US" w:eastAsia="zh-CN"/>
              </w:rPr>
              <w:t>9’</w:t>
            </w:r>
          </w:p>
          <w:p w14:paraId="26272B82">
            <w:pPr>
              <w:adjustRightInd w:val="0"/>
              <w:snapToGrid w:val="0"/>
              <w:spacing w:beforeLines="0" w:afterLines="0" w:line="500" w:lineRule="exact"/>
              <w:ind w:firstLine="480"/>
              <w:rPr>
                <w:rFonts w:hint="eastAsia"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因收集效率为9</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0067</w:t>
            </w:r>
            <w:r>
              <w:rPr>
                <w:rFonts w:hint="default" w:ascii="Times New Roman" w:hAnsi="Times New Roman" w:eastAsia="宋体" w:cs="Times New Roman"/>
                <w:color w:val="auto"/>
                <w:kern w:val="0"/>
                <w:sz w:val="24"/>
                <w:szCs w:val="24"/>
                <w:highlight w:val="none"/>
              </w:rPr>
              <w:t>t/a。</w:t>
            </w:r>
          </w:p>
          <w:p w14:paraId="32077A3B">
            <w:pPr>
              <w:adjustRightInd w:val="0"/>
              <w:snapToGrid w:val="0"/>
              <w:spacing w:beforeLines="0" w:afterLines="0" w:line="500" w:lineRule="exact"/>
              <w:ind w:firstLine="480"/>
              <w:rPr>
                <w:rFonts w:hint="eastAsia"/>
                <w:b/>
                <w:color w:val="auto"/>
                <w:kern w:val="0"/>
                <w:sz w:val="24"/>
                <w:szCs w:val="24"/>
                <w:highlight w:val="none"/>
              </w:rPr>
            </w:pPr>
            <w:r>
              <w:rPr>
                <w:rFonts w:hint="eastAsia" w:ascii="Times New Roman" w:hAnsi="Times New Roman" w:eastAsia="宋体" w:cs="Times New Roman"/>
                <w:b w:val="0"/>
                <w:bCs/>
                <w:color w:val="auto"/>
                <w:kern w:val="0"/>
                <w:sz w:val="24"/>
                <w:szCs w:val="24"/>
                <w:highlight w:val="none"/>
                <w:lang w:val="en-US" w:eastAsia="zh-CN"/>
              </w:rPr>
              <w:t>⑨</w:t>
            </w:r>
            <w:r>
              <w:rPr>
                <w:rFonts w:hint="default" w:ascii="Times New Roman" w:hAnsi="Times New Roman" w:eastAsia="宋体" w:cs="Times New Roman"/>
                <w:b w:val="0"/>
                <w:bCs/>
                <w:color w:val="auto"/>
                <w:kern w:val="0"/>
                <w:sz w:val="24"/>
                <w:szCs w:val="24"/>
                <w:highlight w:val="none"/>
              </w:rPr>
              <w:t>危废</w:t>
            </w:r>
            <w:r>
              <w:rPr>
                <w:rFonts w:hint="eastAsia" w:ascii="Times New Roman" w:hAnsi="Times New Roman" w:eastAsia="宋体" w:cs="Times New Roman"/>
                <w:b w:val="0"/>
                <w:bCs/>
                <w:color w:val="auto"/>
                <w:kern w:val="0"/>
                <w:sz w:val="24"/>
                <w:szCs w:val="24"/>
                <w:highlight w:val="none"/>
                <w:lang w:val="en-US" w:eastAsia="zh-CN"/>
              </w:rPr>
              <w:t>库</w:t>
            </w:r>
            <w:r>
              <w:rPr>
                <w:rFonts w:hint="default" w:ascii="Times New Roman" w:hAnsi="Times New Roman" w:eastAsia="宋体" w:cs="Times New Roman"/>
                <w:b w:val="0"/>
                <w:bCs/>
                <w:color w:val="auto"/>
                <w:kern w:val="0"/>
                <w:sz w:val="24"/>
                <w:szCs w:val="24"/>
                <w:highlight w:val="none"/>
              </w:rPr>
              <w:t>废气</w:t>
            </w:r>
          </w:p>
          <w:p w14:paraId="11DE153B">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根据《危险废物贮存污染控制标准》（GB 18597-2023）中6.2.3要求： 贮存易产生粉尘、VOCs、酸雾、有毒有害大气污染物和刺激性气味气体的危险废物贮存库，应设置气体收集装置和气体净化设施；气体净化设施的排气筒高度应符合 GB 16297 要求。全厂危险废物为</w:t>
            </w:r>
            <w:r>
              <w:rPr>
                <w:rFonts w:hint="default" w:ascii="Times New Roman" w:hAnsi="Times New Roman" w:eastAsia="宋体" w:cs="Times New Roman"/>
                <w:b w:val="0"/>
                <w:bCs/>
                <w:color w:val="auto"/>
                <w:sz w:val="24"/>
                <w:highlight w:val="none"/>
              </w:rPr>
              <w:t>含胶废物</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废包装物</w:t>
            </w:r>
            <w:r>
              <w:rPr>
                <w:rFonts w:hint="eastAsia" w:ascii="Times New Roman" w:hAnsi="Times New Roman" w:eastAsia="宋体" w:cs="Times New Roman"/>
                <w:b w:val="0"/>
                <w:bCs/>
                <w:color w:val="auto"/>
                <w:sz w:val="24"/>
                <w:highlight w:val="none"/>
                <w:lang w:eastAsia="zh-CN"/>
              </w:rPr>
              <w:t>、含油废抹布手套、废活性炭、污泥、污水处理站浓水</w:t>
            </w:r>
            <w:r>
              <w:rPr>
                <w:rFonts w:hint="eastAsia" w:ascii="Times New Roman" w:hAnsi="Times New Roman" w:eastAsia="宋体" w:cs="Times New Roman"/>
                <w:b w:val="0"/>
                <w:bCs/>
                <w:color w:val="auto"/>
                <w:sz w:val="24"/>
                <w:highlight w:val="none"/>
                <w:lang w:val="en-US" w:eastAsia="zh-CN"/>
              </w:rPr>
              <w:t>等</w:t>
            </w:r>
            <w:r>
              <w:rPr>
                <w:rFonts w:hint="default" w:ascii="Times New Roman" w:hAnsi="Times New Roman" w:eastAsia="宋体" w:cs="Times New Roman"/>
                <w:color w:val="auto"/>
                <w:kern w:val="2"/>
                <w:sz w:val="24"/>
                <w:szCs w:val="24"/>
                <w:highlight w:val="none"/>
                <w:lang w:val="en-US" w:eastAsia="zh-CN" w:bidi="ar-SA"/>
              </w:rPr>
              <w:t>，贮存过程中会产生少量的有机废气，本项目固态危险废物产生后由现场立即用塑料缠绕膜进行缠绕打包称量，并采用桶/袋密封后贮存至危废仓库内，液态危废装入桶内密封后贮存至危废仓库内，因此贮存过程中有机废气产生量极少，不定量分析。</w:t>
            </w:r>
          </w:p>
          <w:p w14:paraId="6F3ED924">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废气治理措施</w:t>
            </w:r>
          </w:p>
          <w:p w14:paraId="578E98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（1）有组织废气</w:t>
            </w:r>
          </w:p>
          <w:p w14:paraId="0ABBA8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①废气收集及治理方案</w:t>
            </w:r>
          </w:p>
          <w:p w14:paraId="4EBF4F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打磨</w:t>
            </w:r>
            <w:r>
              <w:rPr>
                <w:rFonts w:hint="default" w:ascii="Times New Roman" w:hAnsi="Times New Roman" w:eastAsia="宋体" w:cs="Times New Roman"/>
                <w:b/>
                <w:bCs/>
                <w:color w:val="auto"/>
                <w:sz w:val="24"/>
                <w:szCs w:val="24"/>
                <w:highlight w:val="none"/>
                <w:lang w:val="en-US" w:eastAsia="zh-CN" w:bidi="ar"/>
              </w:rPr>
              <w:t>工序：</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将</w:t>
            </w:r>
            <w:r>
              <w:rPr>
                <w:rFonts w:hint="eastAsia" w:ascii="Times New Roman" w:hAnsi="Times New Roman" w:eastAsia="宋体" w:cs="Times New Roman"/>
                <w:color w:val="auto"/>
                <w:sz w:val="24"/>
                <w:szCs w:val="24"/>
                <w:highlight w:val="none"/>
                <w:lang w:val="en-US" w:eastAsia="zh-CN" w:bidi="ar"/>
              </w:rPr>
              <w:t>打磨</w:t>
            </w:r>
            <w:r>
              <w:rPr>
                <w:rFonts w:hint="default" w:ascii="Times New Roman" w:hAnsi="Times New Roman" w:eastAsia="宋体" w:cs="Times New Roman"/>
                <w:color w:val="auto"/>
                <w:sz w:val="24"/>
                <w:szCs w:val="24"/>
                <w:highlight w:val="none"/>
                <w:lang w:val="en-US" w:eastAsia="zh-CN" w:bidi="ar"/>
              </w:rPr>
              <w:t>工序产生的</w:t>
            </w:r>
            <w:r>
              <w:rPr>
                <w:rFonts w:hint="eastAsia" w:ascii="Times New Roman" w:hAnsi="Times New Roman" w:eastAsia="宋体" w:cs="Times New Roman"/>
                <w:color w:val="auto"/>
                <w:sz w:val="24"/>
                <w:szCs w:val="24"/>
                <w:highlight w:val="none"/>
                <w:lang w:val="en-US" w:eastAsia="zh-CN" w:bidi="ar"/>
              </w:rPr>
              <w:t>颗粒物在打磨室内密闭</w:t>
            </w:r>
            <w:r>
              <w:rPr>
                <w:rFonts w:hint="default" w:ascii="Times New Roman" w:hAnsi="Times New Roman" w:eastAsia="宋体" w:cs="Times New Roman"/>
                <w:color w:val="auto"/>
                <w:sz w:val="24"/>
                <w:szCs w:val="24"/>
                <w:highlight w:val="none"/>
                <w:lang w:val="en-US" w:eastAsia="zh-CN" w:bidi="ar"/>
              </w:rPr>
              <w:t>收集至</w:t>
            </w:r>
            <w:r>
              <w:rPr>
                <w:rFonts w:hint="eastAsia" w:ascii="Times New Roman" w:hAnsi="Times New Roman" w:eastAsia="宋体" w:cs="Times New Roman"/>
                <w:color w:val="auto"/>
                <w:sz w:val="24"/>
                <w:szCs w:val="24"/>
                <w:highlight w:val="none"/>
                <w:lang w:val="en-US" w:eastAsia="zh-CN" w:bidi="ar"/>
              </w:rPr>
              <w:t>1#旋风除尘器+滤筒除尘器</w:t>
            </w:r>
            <w:r>
              <w:rPr>
                <w:rFonts w:hint="default" w:ascii="Times New Roman" w:hAnsi="Times New Roman" w:eastAsia="宋体" w:cs="Times New Roman"/>
                <w:color w:val="auto"/>
                <w:sz w:val="24"/>
                <w:szCs w:val="24"/>
                <w:highlight w:val="none"/>
                <w:lang w:val="en-US" w:eastAsia="zh-CN" w:bidi="ar"/>
              </w:rPr>
              <w:t>处理后通过</w:t>
            </w:r>
            <w:r>
              <w:rPr>
                <w:rFonts w:hint="eastAsia" w:ascii="Times New Roman" w:hAnsi="Times New Roman" w:eastAsia="宋体" w:cs="Times New Roman"/>
                <w:color w:val="auto"/>
                <w:sz w:val="24"/>
                <w:szCs w:val="24"/>
                <w:highlight w:val="none"/>
                <w:lang w:val="en-US" w:eastAsia="zh-CN" w:bidi="ar"/>
              </w:rPr>
              <w:t>25m高</w:t>
            </w:r>
            <w:r>
              <w:rPr>
                <w:rFonts w:hint="eastAsia" w:ascii="Times New Roman" w:hAnsi="Times New Roman" w:eastAsia="宋体" w:cs="Times New Roman"/>
                <w:color w:val="auto"/>
                <w:sz w:val="24"/>
                <w:szCs w:val="24"/>
                <w:highlight w:val="none"/>
                <w:lang w:eastAsia="zh-CN" w:bidi="ar"/>
              </w:rPr>
              <w:t>排气筒FQ-1</w:t>
            </w:r>
            <w:r>
              <w:rPr>
                <w:rFonts w:hint="default" w:ascii="Times New Roman" w:hAnsi="Times New Roman" w:eastAsia="宋体" w:cs="Times New Roman"/>
                <w:color w:val="auto"/>
                <w:sz w:val="24"/>
                <w:szCs w:val="24"/>
                <w:highlight w:val="none"/>
                <w:lang w:bidi="ar"/>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收集率</w:t>
            </w:r>
            <w:r>
              <w:rPr>
                <w:rFonts w:hint="eastAsia" w:ascii="Times New Roman" w:hAnsi="Times New Roman" w:eastAsia="宋体" w:cs="Times New Roman"/>
                <w:color w:val="auto"/>
                <w:sz w:val="24"/>
                <w:szCs w:val="24"/>
                <w:highlight w:val="none"/>
                <w:lang w:val="en-US" w:eastAsia="zh-CN" w:bidi="ar"/>
              </w:rPr>
              <w:t>95</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去除效率为9</w:t>
            </w:r>
            <w:r>
              <w:rPr>
                <w:rFonts w:hint="eastAsia"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sz w:val="24"/>
                <w:szCs w:val="24"/>
                <w:highlight w:val="none"/>
                <w:lang w:bidi="ar"/>
              </w:rPr>
              <w:t>。</w:t>
            </w:r>
          </w:p>
          <w:p w14:paraId="26BD9C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喷砂</w:t>
            </w:r>
            <w:r>
              <w:rPr>
                <w:rFonts w:hint="default" w:ascii="Times New Roman" w:hAnsi="Times New Roman" w:eastAsia="宋体" w:cs="Times New Roman"/>
                <w:b/>
                <w:bCs/>
                <w:color w:val="auto"/>
                <w:sz w:val="24"/>
                <w:szCs w:val="24"/>
                <w:highlight w:val="none"/>
                <w:lang w:val="en-US" w:eastAsia="zh-CN" w:bidi="ar"/>
              </w:rPr>
              <w:t>工序：</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将</w:t>
            </w:r>
            <w:r>
              <w:rPr>
                <w:rFonts w:hint="eastAsia" w:ascii="Times New Roman" w:hAnsi="Times New Roman" w:eastAsia="宋体" w:cs="Times New Roman"/>
                <w:color w:val="auto"/>
                <w:sz w:val="24"/>
                <w:szCs w:val="24"/>
                <w:highlight w:val="none"/>
                <w:lang w:val="en-US" w:eastAsia="zh-CN" w:bidi="ar"/>
              </w:rPr>
              <w:t>喷砂</w:t>
            </w:r>
            <w:r>
              <w:rPr>
                <w:rFonts w:hint="default" w:ascii="Times New Roman" w:hAnsi="Times New Roman" w:eastAsia="宋体" w:cs="Times New Roman"/>
                <w:color w:val="auto"/>
                <w:sz w:val="24"/>
                <w:szCs w:val="24"/>
                <w:highlight w:val="none"/>
                <w:lang w:val="en-US" w:eastAsia="zh-CN" w:bidi="ar"/>
              </w:rPr>
              <w:t>工序产生的</w:t>
            </w:r>
            <w:r>
              <w:rPr>
                <w:rFonts w:hint="eastAsia" w:ascii="Times New Roman" w:hAnsi="Times New Roman" w:eastAsia="宋体" w:cs="Times New Roman"/>
                <w:color w:val="auto"/>
                <w:sz w:val="24"/>
                <w:szCs w:val="24"/>
                <w:highlight w:val="none"/>
                <w:lang w:val="en-US" w:eastAsia="zh-CN" w:bidi="ar"/>
              </w:rPr>
              <w:t>颗粒物在设备内密闭</w:t>
            </w:r>
            <w:r>
              <w:rPr>
                <w:rFonts w:hint="default" w:ascii="Times New Roman" w:hAnsi="Times New Roman" w:eastAsia="宋体" w:cs="Times New Roman"/>
                <w:color w:val="auto"/>
                <w:sz w:val="24"/>
                <w:szCs w:val="24"/>
                <w:highlight w:val="none"/>
                <w:lang w:val="en-US" w:eastAsia="zh-CN" w:bidi="ar"/>
              </w:rPr>
              <w:t>收集至</w:t>
            </w:r>
            <w:r>
              <w:rPr>
                <w:rFonts w:hint="eastAsia" w:ascii="Times New Roman" w:hAnsi="Times New Roman" w:eastAsia="宋体" w:cs="Times New Roman"/>
                <w:color w:val="auto"/>
                <w:sz w:val="24"/>
                <w:szCs w:val="24"/>
                <w:highlight w:val="none"/>
                <w:lang w:val="en-US" w:eastAsia="zh-CN" w:bidi="ar"/>
              </w:rPr>
              <w:t>1#旋风除尘器+滤筒除尘器</w:t>
            </w:r>
            <w:r>
              <w:rPr>
                <w:rFonts w:hint="default" w:ascii="Times New Roman" w:hAnsi="Times New Roman" w:eastAsia="宋体" w:cs="Times New Roman"/>
                <w:color w:val="auto"/>
                <w:sz w:val="24"/>
                <w:szCs w:val="24"/>
                <w:highlight w:val="none"/>
                <w:lang w:val="en-US" w:eastAsia="zh-CN" w:bidi="ar"/>
              </w:rPr>
              <w:t>处理后通过</w:t>
            </w:r>
            <w:r>
              <w:rPr>
                <w:rFonts w:hint="eastAsia" w:ascii="Times New Roman" w:hAnsi="Times New Roman" w:eastAsia="宋体" w:cs="Times New Roman"/>
                <w:color w:val="auto"/>
                <w:sz w:val="24"/>
                <w:szCs w:val="24"/>
                <w:highlight w:val="none"/>
                <w:lang w:val="en-US" w:eastAsia="zh-CN" w:bidi="ar"/>
              </w:rPr>
              <w:t>25m高</w:t>
            </w:r>
            <w:r>
              <w:rPr>
                <w:rFonts w:hint="eastAsia" w:ascii="Times New Roman" w:hAnsi="Times New Roman" w:eastAsia="宋体" w:cs="Times New Roman"/>
                <w:color w:val="auto"/>
                <w:sz w:val="24"/>
                <w:szCs w:val="24"/>
                <w:highlight w:val="none"/>
                <w:lang w:eastAsia="zh-CN" w:bidi="ar"/>
              </w:rPr>
              <w:t>排气筒FQ-1</w:t>
            </w:r>
            <w:r>
              <w:rPr>
                <w:rFonts w:hint="default" w:ascii="Times New Roman" w:hAnsi="Times New Roman" w:eastAsia="宋体" w:cs="Times New Roman"/>
                <w:color w:val="auto"/>
                <w:sz w:val="24"/>
                <w:szCs w:val="24"/>
                <w:highlight w:val="none"/>
                <w:lang w:bidi="ar"/>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收集率</w:t>
            </w:r>
            <w:r>
              <w:rPr>
                <w:rFonts w:hint="eastAsia" w:ascii="Times New Roman" w:hAnsi="Times New Roman" w:eastAsia="宋体" w:cs="Times New Roman"/>
                <w:color w:val="auto"/>
                <w:sz w:val="24"/>
                <w:szCs w:val="24"/>
                <w:highlight w:val="none"/>
                <w:lang w:val="en-US" w:eastAsia="zh-CN" w:bidi="ar"/>
              </w:rPr>
              <w:t>98</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去除效率为9</w:t>
            </w:r>
            <w:r>
              <w:rPr>
                <w:rFonts w:hint="eastAsia"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sz w:val="24"/>
                <w:szCs w:val="24"/>
                <w:highlight w:val="none"/>
                <w:lang w:bidi="ar"/>
              </w:rPr>
              <w:t>。</w:t>
            </w:r>
          </w:p>
          <w:p w14:paraId="4EA5061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喷粉</w:t>
            </w:r>
            <w:r>
              <w:rPr>
                <w:rFonts w:hint="default" w:ascii="Times New Roman" w:hAnsi="Times New Roman" w:eastAsia="宋体" w:cs="Times New Roman"/>
                <w:b/>
                <w:bCs/>
                <w:color w:val="auto"/>
                <w:sz w:val="24"/>
                <w:szCs w:val="24"/>
                <w:highlight w:val="none"/>
                <w:lang w:val="en-US" w:eastAsia="zh-CN" w:bidi="ar"/>
              </w:rPr>
              <w:t>工序：</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在</w:t>
            </w:r>
            <w:r>
              <w:rPr>
                <w:rFonts w:hint="eastAsia" w:ascii="Times New Roman" w:hAnsi="Times New Roman" w:eastAsia="宋体" w:cs="Times New Roman"/>
                <w:color w:val="auto"/>
                <w:sz w:val="24"/>
                <w:szCs w:val="24"/>
                <w:highlight w:val="none"/>
                <w:lang w:val="en-US" w:eastAsia="zh-CN" w:bidi="ar"/>
              </w:rPr>
              <w:t>喷粉室</w:t>
            </w:r>
            <w:r>
              <w:rPr>
                <w:rFonts w:hint="default" w:ascii="Times New Roman" w:hAnsi="Times New Roman" w:eastAsia="宋体" w:cs="Times New Roman"/>
                <w:color w:val="auto"/>
                <w:sz w:val="24"/>
                <w:szCs w:val="24"/>
                <w:highlight w:val="none"/>
                <w:lang w:val="en-US" w:eastAsia="zh-CN" w:bidi="ar"/>
              </w:rPr>
              <w:t>设置</w:t>
            </w:r>
            <w:r>
              <w:rPr>
                <w:rFonts w:hint="eastAsia" w:ascii="Times New Roman" w:hAnsi="Times New Roman" w:eastAsia="宋体" w:cs="Times New Roman"/>
                <w:color w:val="auto"/>
                <w:sz w:val="24"/>
                <w:szCs w:val="24"/>
                <w:highlight w:val="none"/>
                <w:lang w:val="en-US" w:eastAsia="zh-CN" w:bidi="ar"/>
              </w:rPr>
              <w:t>下吸风</w:t>
            </w:r>
            <w:r>
              <w:rPr>
                <w:rFonts w:hint="default" w:ascii="Times New Roman" w:hAnsi="Times New Roman" w:eastAsia="宋体" w:cs="Times New Roman"/>
                <w:color w:val="auto"/>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rPr>
              <w:t>手工喷粉产生的颗粒物经下吸风收集后通过一套2#</w:t>
            </w:r>
            <w:r>
              <w:rPr>
                <w:rFonts w:hint="eastAsia" w:ascii="Times New Roman" w:hAnsi="Times New Roman" w:eastAsia="宋体" w:cs="Times New Roman"/>
                <w:color w:val="auto"/>
                <w:sz w:val="24"/>
                <w:szCs w:val="24"/>
                <w:highlight w:val="none"/>
                <w:lang w:val="en-US" w:eastAsia="zh-CN" w:bidi="ar"/>
              </w:rPr>
              <w:t>旋风除尘器+滤筒除尘器</w:t>
            </w:r>
            <w:r>
              <w:rPr>
                <w:rFonts w:hint="eastAsia" w:ascii="Times New Roman" w:hAnsi="Times New Roman" w:eastAsia="宋体" w:cs="Times New Roman"/>
                <w:color w:val="auto"/>
                <w:kern w:val="0"/>
                <w:sz w:val="24"/>
                <w:szCs w:val="24"/>
                <w:highlight w:val="none"/>
                <w:lang w:val="en-US" w:eastAsia="zh-CN"/>
              </w:rPr>
              <w:t>处理，自动喷粉产生的颗粒物经下吸风收集后通过一套3#旋风除尘器+滤筒除尘器处理，两股废气合并由一根25m高的排气筒FQ-1排放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收集率9</w:t>
            </w:r>
            <w:r>
              <w:rPr>
                <w:rFonts w:hint="eastAsia" w:ascii="Times New Roman" w:hAnsi="Times New Roman" w:eastAsia="宋体" w:cs="Times New Roman"/>
                <w:color w:val="auto"/>
                <w:sz w:val="24"/>
                <w:szCs w:val="24"/>
                <w:highlight w:val="none"/>
                <w:lang w:val="en-US" w:eastAsia="zh-CN" w:bidi="ar"/>
              </w:rPr>
              <w:t>5</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去除</w:t>
            </w:r>
            <w:r>
              <w:rPr>
                <w:rFonts w:hint="eastAsia" w:ascii="Times New Roman" w:hAnsi="Times New Roman" w:eastAsia="宋体" w:cs="Times New Roman"/>
                <w:color w:val="auto"/>
                <w:sz w:val="24"/>
                <w:szCs w:val="24"/>
                <w:highlight w:val="none"/>
                <w:lang w:val="en-US" w:eastAsia="zh-CN" w:bidi="ar"/>
              </w:rPr>
              <w:t>效率</w:t>
            </w:r>
            <w:r>
              <w:rPr>
                <w:rFonts w:hint="default" w:ascii="Times New Roman" w:hAnsi="Times New Roman" w:eastAsia="宋体" w:cs="Times New Roman"/>
                <w:color w:val="auto"/>
                <w:sz w:val="24"/>
                <w:szCs w:val="24"/>
                <w:highlight w:val="none"/>
                <w:lang w:val="en-US" w:eastAsia="zh-CN" w:bidi="ar"/>
              </w:rPr>
              <w:t>为99%</w:t>
            </w:r>
            <w:r>
              <w:rPr>
                <w:rFonts w:hint="default" w:ascii="Times New Roman" w:hAnsi="Times New Roman" w:eastAsia="宋体" w:cs="Times New Roman"/>
                <w:color w:val="auto"/>
                <w:sz w:val="24"/>
                <w:szCs w:val="24"/>
                <w:highlight w:val="none"/>
                <w:lang w:bidi="ar"/>
              </w:rPr>
              <w:t>。</w:t>
            </w:r>
          </w:p>
          <w:p w14:paraId="3EB618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固化</w:t>
            </w:r>
            <w:r>
              <w:rPr>
                <w:rFonts w:hint="default" w:ascii="Times New Roman" w:hAnsi="Times New Roman" w:eastAsia="宋体" w:cs="Times New Roman"/>
                <w:b/>
                <w:bCs/>
                <w:color w:val="auto"/>
                <w:sz w:val="24"/>
                <w:szCs w:val="24"/>
                <w:highlight w:val="none"/>
                <w:lang w:val="en-US" w:eastAsia="zh-CN" w:bidi="ar"/>
              </w:rPr>
              <w:t>工序：</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在</w:t>
            </w:r>
            <w:r>
              <w:rPr>
                <w:rFonts w:hint="eastAsia" w:ascii="Times New Roman" w:hAnsi="Times New Roman" w:eastAsia="宋体" w:cs="Times New Roman"/>
                <w:color w:val="auto"/>
                <w:sz w:val="24"/>
                <w:szCs w:val="24"/>
                <w:highlight w:val="none"/>
                <w:lang w:val="en-US" w:eastAsia="zh-CN" w:bidi="ar"/>
              </w:rPr>
              <w:t>固化室</w:t>
            </w:r>
            <w:r>
              <w:rPr>
                <w:rFonts w:hint="eastAsia" w:ascii="Times New Roman" w:hAnsi="Times New Roman" w:eastAsia="宋体" w:cs="Times New Roman"/>
                <w:color w:val="auto"/>
                <w:kern w:val="0"/>
                <w:sz w:val="24"/>
                <w:szCs w:val="24"/>
                <w:highlight w:val="none"/>
                <w:lang w:val="en-US" w:eastAsia="zh-CN"/>
              </w:rPr>
              <w:t>进出口设置集气罩，固化产生的非甲烷总烃，</w:t>
            </w:r>
            <w:r>
              <w:rPr>
                <w:rFonts w:hint="default" w:ascii="Times New Roman" w:hAnsi="Times New Roman" w:eastAsia="宋体" w:cs="Times New Roman"/>
                <w:color w:val="auto"/>
                <w:kern w:val="0"/>
                <w:sz w:val="24"/>
                <w:szCs w:val="24"/>
                <w:highlight w:val="none"/>
                <w:lang w:val="en-US" w:eastAsia="zh-CN"/>
              </w:rPr>
              <w:t>经集气罩收集后通过</w:t>
            </w:r>
            <w:r>
              <w:rPr>
                <w:rFonts w:hint="eastAsia" w:ascii="Times New Roman" w:hAnsi="Times New Roman" w:eastAsia="宋体" w:cs="Times New Roman"/>
                <w:color w:val="auto"/>
                <w:kern w:val="0"/>
                <w:sz w:val="24"/>
                <w:szCs w:val="24"/>
                <w:highlight w:val="none"/>
                <w:lang w:val="en-US" w:eastAsia="zh-CN"/>
              </w:rPr>
              <w:t>2#二级活性炭</w:t>
            </w:r>
            <w:r>
              <w:rPr>
                <w:rFonts w:hint="default" w:ascii="Times New Roman" w:hAnsi="Times New Roman" w:eastAsia="宋体" w:cs="Times New Roman"/>
                <w:color w:val="auto"/>
                <w:kern w:val="0"/>
                <w:sz w:val="24"/>
                <w:szCs w:val="24"/>
                <w:highlight w:val="none"/>
                <w:lang w:val="en-US" w:eastAsia="zh-CN"/>
              </w:rPr>
              <w:t>吸附装置处理，由一根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排气筒FQ-2</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集气罩</w:t>
            </w:r>
            <w:r>
              <w:rPr>
                <w:rFonts w:hint="default" w:ascii="Times New Roman" w:hAnsi="Times New Roman" w:eastAsia="宋体" w:cs="Times New Roman"/>
                <w:color w:val="auto"/>
                <w:sz w:val="24"/>
                <w:szCs w:val="24"/>
                <w:highlight w:val="none"/>
                <w:lang w:bidi="ar"/>
              </w:rPr>
              <w:t>收集率9</w:t>
            </w:r>
            <w:r>
              <w:rPr>
                <w:rFonts w:hint="eastAsia" w:ascii="Times New Roman" w:hAnsi="Times New Roman" w:eastAsia="宋体" w:cs="Times New Roman"/>
                <w:color w:val="auto"/>
                <w:sz w:val="24"/>
                <w:szCs w:val="24"/>
                <w:highlight w:val="none"/>
                <w:lang w:val="en-US" w:eastAsia="zh-CN" w:bidi="ar"/>
              </w:rPr>
              <w:t>0</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去除效率为9</w:t>
            </w:r>
            <w:r>
              <w:rPr>
                <w:rFonts w:hint="eastAsia" w:ascii="Times New Roman" w:hAnsi="Times New Roman" w:eastAsia="宋体" w:cs="Times New Roman"/>
                <w:color w:val="auto"/>
                <w:sz w:val="24"/>
                <w:szCs w:val="24"/>
                <w:highlight w:val="none"/>
                <w:lang w:val="en-US" w:eastAsia="zh-CN" w:bidi="ar"/>
              </w:rPr>
              <w:t>0</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sz w:val="24"/>
                <w:szCs w:val="24"/>
                <w:highlight w:val="none"/>
                <w:lang w:bidi="ar"/>
              </w:rPr>
              <w:t>。</w:t>
            </w:r>
          </w:p>
          <w:p w14:paraId="1E77DFB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天然气燃烧：</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在</w:t>
            </w:r>
            <w:r>
              <w:rPr>
                <w:rFonts w:hint="eastAsia" w:ascii="Times New Roman" w:hAnsi="Times New Roman" w:eastAsia="宋体" w:cs="Times New Roman"/>
                <w:color w:val="auto"/>
                <w:sz w:val="24"/>
                <w:szCs w:val="24"/>
                <w:highlight w:val="none"/>
                <w:lang w:val="en-US" w:eastAsia="zh-CN" w:bidi="ar"/>
              </w:rPr>
              <w:t>固化室、烘干室</w:t>
            </w:r>
            <w:r>
              <w:rPr>
                <w:rFonts w:hint="eastAsia" w:ascii="Times New Roman" w:hAnsi="Times New Roman" w:eastAsia="宋体" w:cs="Times New Roman"/>
                <w:color w:val="auto"/>
                <w:kern w:val="0"/>
                <w:sz w:val="24"/>
                <w:szCs w:val="24"/>
                <w:highlight w:val="none"/>
                <w:lang w:val="en-US" w:eastAsia="zh-CN"/>
              </w:rPr>
              <w:t>进出口设置集气罩，天然气燃烧装置采用低氮燃烧器，燃烧产生的颗粒物、SO</w:t>
            </w:r>
            <w:r>
              <w:rPr>
                <w:rFonts w:hint="eastAsia" w:ascii="Times New Roman" w:hAnsi="Times New Roman" w:eastAsia="宋体" w:cs="Times New Roman"/>
                <w:color w:val="auto"/>
                <w:kern w:val="0"/>
                <w:sz w:val="24"/>
                <w:szCs w:val="24"/>
                <w:highlight w:val="none"/>
                <w:vertAlign w:val="subscript"/>
                <w:lang w:val="en-US" w:eastAsia="zh-CN"/>
              </w:rPr>
              <w:t>2</w:t>
            </w:r>
            <w:r>
              <w:rPr>
                <w:rFonts w:hint="eastAsia" w:ascii="Times New Roman" w:hAnsi="Times New Roman" w:eastAsia="宋体" w:cs="Times New Roman"/>
                <w:color w:val="auto"/>
                <w:kern w:val="0"/>
                <w:sz w:val="24"/>
                <w:szCs w:val="24"/>
                <w:highlight w:val="none"/>
                <w:lang w:val="en-US" w:eastAsia="zh-CN"/>
              </w:rPr>
              <w:t>、NOx</w:t>
            </w:r>
            <w:r>
              <w:rPr>
                <w:rFonts w:hint="default" w:ascii="Times New Roman" w:hAnsi="Times New Roman" w:eastAsia="宋体" w:cs="Times New Roman"/>
                <w:color w:val="auto"/>
                <w:kern w:val="0"/>
                <w:sz w:val="24"/>
                <w:szCs w:val="24"/>
                <w:highlight w:val="none"/>
                <w:lang w:val="en-US" w:eastAsia="zh-CN"/>
              </w:rPr>
              <w:t>经集气罩收集后</w:t>
            </w:r>
            <w:r>
              <w:rPr>
                <w:rFonts w:hint="eastAsia" w:ascii="Times New Roman" w:hAnsi="Times New Roman" w:eastAsia="宋体" w:cs="Times New Roman"/>
                <w:color w:val="auto"/>
                <w:kern w:val="0"/>
                <w:sz w:val="24"/>
                <w:szCs w:val="24"/>
                <w:highlight w:val="none"/>
                <w:lang w:val="en-US" w:eastAsia="zh-CN"/>
              </w:rPr>
              <w:t>通过1#二级活性炭吸附装置，</w:t>
            </w:r>
            <w:r>
              <w:rPr>
                <w:rFonts w:hint="default" w:ascii="Times New Roman" w:hAnsi="Times New Roman" w:eastAsia="宋体" w:cs="Times New Roman"/>
                <w:color w:val="auto"/>
                <w:kern w:val="0"/>
                <w:sz w:val="24"/>
                <w:szCs w:val="24"/>
                <w:highlight w:val="none"/>
                <w:lang w:val="en-US" w:eastAsia="zh-CN"/>
              </w:rPr>
              <w:t>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排气筒FQ-2</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集气罩</w:t>
            </w:r>
            <w:r>
              <w:rPr>
                <w:rFonts w:hint="default" w:ascii="Times New Roman" w:hAnsi="Times New Roman" w:eastAsia="宋体" w:cs="Times New Roman"/>
                <w:color w:val="auto"/>
                <w:sz w:val="24"/>
                <w:szCs w:val="24"/>
                <w:highlight w:val="none"/>
                <w:lang w:bidi="ar"/>
              </w:rPr>
              <w:t>收集率9</w:t>
            </w:r>
            <w:r>
              <w:rPr>
                <w:rFonts w:hint="eastAsia" w:ascii="Times New Roman" w:hAnsi="Times New Roman" w:eastAsia="宋体" w:cs="Times New Roman"/>
                <w:color w:val="auto"/>
                <w:sz w:val="24"/>
                <w:szCs w:val="24"/>
                <w:highlight w:val="none"/>
                <w:lang w:val="en-US" w:eastAsia="zh-CN" w:bidi="ar"/>
              </w:rPr>
              <w:t>0</w:t>
            </w:r>
            <w:r>
              <w:rPr>
                <w:rFonts w:hint="default" w:ascii="Times New Roman" w:hAnsi="Times New Roman" w:eastAsia="宋体" w:cs="Times New Roman"/>
                <w:color w:val="auto"/>
                <w:sz w:val="24"/>
                <w:szCs w:val="24"/>
                <w:highlight w:val="none"/>
                <w:lang w:bidi="ar"/>
              </w:rPr>
              <w:t>%</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对NOx的</w:t>
            </w:r>
            <w:r>
              <w:rPr>
                <w:rFonts w:hint="default" w:ascii="Times New Roman" w:hAnsi="Times New Roman" w:eastAsia="宋体" w:cs="Times New Roman"/>
                <w:color w:val="auto"/>
                <w:sz w:val="24"/>
                <w:szCs w:val="24"/>
                <w:highlight w:val="none"/>
                <w:lang w:val="en-US" w:eastAsia="zh-CN" w:bidi="ar"/>
              </w:rPr>
              <w:t>去除效率为</w:t>
            </w:r>
            <w:r>
              <w:rPr>
                <w:rFonts w:hint="eastAsia" w:ascii="Times New Roman" w:hAnsi="Times New Roman" w:eastAsia="宋体" w:cs="Times New Roman"/>
                <w:color w:val="auto"/>
                <w:sz w:val="24"/>
                <w:szCs w:val="24"/>
                <w:highlight w:val="none"/>
                <w:lang w:val="en-US" w:eastAsia="zh-CN" w:bidi="ar"/>
              </w:rPr>
              <w:t>50</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sz w:val="24"/>
                <w:szCs w:val="24"/>
                <w:highlight w:val="none"/>
                <w:lang w:bidi="ar"/>
              </w:rPr>
              <w:t>。</w:t>
            </w:r>
          </w:p>
          <w:p w14:paraId="1F6485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0"/>
                <w:sz w:val="24"/>
                <w:highlight w:val="none"/>
                <w:lang w:eastAsia="zh-CN"/>
              </w:rPr>
            </w:pPr>
            <w:r>
              <w:rPr>
                <w:rFonts w:hint="eastAsia" w:ascii="Times New Roman" w:hAnsi="Times New Roman" w:eastAsia="宋体" w:cs="Times New Roman"/>
                <w:b/>
                <w:bCs/>
                <w:color w:val="auto"/>
                <w:sz w:val="24"/>
                <w:szCs w:val="24"/>
                <w:highlight w:val="none"/>
                <w:lang w:val="en-US" w:eastAsia="zh-CN" w:bidi="ar"/>
              </w:rPr>
              <w:t>打胶</w:t>
            </w:r>
            <w:r>
              <w:rPr>
                <w:rFonts w:hint="default" w:ascii="Times New Roman" w:hAnsi="Times New Roman" w:eastAsia="宋体" w:cs="Times New Roman"/>
                <w:b/>
                <w:bCs/>
                <w:color w:val="auto"/>
                <w:sz w:val="24"/>
                <w:szCs w:val="24"/>
                <w:highlight w:val="none"/>
                <w:lang w:val="en-US" w:eastAsia="zh-CN" w:bidi="ar"/>
              </w:rPr>
              <w:t>工序：</w:t>
            </w:r>
            <w:r>
              <w:rPr>
                <w:rFonts w:hint="default" w:ascii="Times New Roman" w:hAnsi="Times New Roman" w:eastAsia="宋体" w:cs="Times New Roman"/>
                <w:color w:val="auto"/>
                <w:sz w:val="24"/>
                <w:szCs w:val="24"/>
                <w:highlight w:val="none"/>
                <w:lang w:bidi="ar"/>
              </w:rPr>
              <w:t>本项目</w:t>
            </w:r>
            <w:r>
              <w:rPr>
                <w:rFonts w:hint="default" w:ascii="Times New Roman" w:hAnsi="Times New Roman" w:eastAsia="宋体" w:cs="Times New Roman"/>
                <w:color w:val="auto"/>
                <w:sz w:val="24"/>
                <w:szCs w:val="24"/>
                <w:highlight w:val="none"/>
                <w:lang w:val="en-US" w:eastAsia="zh-CN" w:bidi="ar"/>
              </w:rPr>
              <w:t>在</w:t>
            </w:r>
            <w:r>
              <w:rPr>
                <w:rFonts w:hint="eastAsia" w:ascii="Times New Roman" w:hAnsi="Times New Roman" w:eastAsia="宋体" w:cs="Times New Roman"/>
                <w:color w:val="auto"/>
                <w:sz w:val="24"/>
                <w:szCs w:val="24"/>
                <w:highlight w:val="none"/>
                <w:lang w:val="en-US" w:eastAsia="zh-CN" w:bidi="ar"/>
              </w:rPr>
              <w:t>打胶室密闭进行</w:t>
            </w:r>
            <w:r>
              <w:rPr>
                <w:rFonts w:hint="eastAsia" w:ascii="Times New Roman" w:hAnsi="Times New Roman" w:eastAsia="宋体" w:cs="Times New Roman"/>
                <w:color w:val="auto"/>
                <w:kern w:val="0"/>
                <w:sz w:val="24"/>
                <w:szCs w:val="24"/>
                <w:highlight w:val="none"/>
                <w:lang w:val="en-US" w:eastAsia="zh-CN"/>
              </w:rPr>
              <w:t>，打胶产生的</w:t>
            </w:r>
            <w:r>
              <w:rPr>
                <w:rFonts w:hint="eastAsia" w:ascii="Times New Roman" w:hAnsi="Times New Roman" w:eastAsia="宋体" w:cs="Times New Roman"/>
                <w:color w:val="auto"/>
                <w:sz w:val="24"/>
                <w:szCs w:val="24"/>
                <w:highlight w:val="none"/>
                <w:lang w:val="en-US" w:eastAsia="zh-CN" w:bidi="ar"/>
              </w:rPr>
              <w:t>非甲烷总烃</w:t>
            </w:r>
            <w:r>
              <w:rPr>
                <w:rFonts w:hint="default" w:ascii="Times New Roman" w:hAnsi="Times New Roman" w:eastAsia="宋体" w:cs="Times New Roman"/>
                <w:color w:val="auto"/>
                <w:kern w:val="0"/>
                <w:sz w:val="24"/>
                <w:szCs w:val="24"/>
                <w:highlight w:val="none"/>
                <w:lang w:val="en-US" w:eastAsia="zh-CN"/>
              </w:rPr>
              <w:t>收集后通过</w:t>
            </w:r>
            <w:r>
              <w:rPr>
                <w:rFonts w:hint="eastAsia" w:ascii="Times New Roman" w:hAnsi="Times New Roman" w:eastAsia="宋体" w:cs="Times New Roman"/>
                <w:color w:val="auto"/>
                <w:kern w:val="0"/>
                <w:sz w:val="24"/>
                <w:szCs w:val="24"/>
                <w:highlight w:val="none"/>
                <w:lang w:val="en-US" w:eastAsia="zh-CN"/>
              </w:rPr>
              <w:t>2#二级活性炭</w:t>
            </w:r>
            <w:r>
              <w:rPr>
                <w:rFonts w:hint="default" w:ascii="Times New Roman" w:hAnsi="Times New Roman" w:eastAsia="宋体" w:cs="Times New Roman"/>
                <w:color w:val="auto"/>
                <w:kern w:val="0"/>
                <w:sz w:val="24"/>
                <w:szCs w:val="24"/>
                <w:highlight w:val="none"/>
                <w:lang w:val="en-US" w:eastAsia="zh-CN"/>
              </w:rPr>
              <w:t>吸附装置处理，由一根</w:t>
            </w:r>
            <w:r>
              <w:rPr>
                <w:rFonts w:hint="eastAsia" w:ascii="Times New Roman" w:hAnsi="Times New Roman" w:eastAsia="宋体" w:cs="Times New Roman"/>
                <w:color w:val="auto"/>
                <w:kern w:val="0"/>
                <w:sz w:val="24"/>
                <w:szCs w:val="24"/>
                <w:highlight w:val="none"/>
                <w:lang w:val="en-US" w:eastAsia="zh-CN"/>
              </w:rPr>
              <w:t>25m高</w:t>
            </w:r>
            <w:r>
              <w:rPr>
                <w:rFonts w:hint="default" w:ascii="Times New Roman" w:hAnsi="Times New Roman" w:eastAsia="宋体" w:cs="Times New Roman"/>
                <w:color w:val="auto"/>
                <w:kern w:val="0"/>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rPr>
              <w:t>排气筒FQ-3</w:t>
            </w:r>
            <w:r>
              <w:rPr>
                <w:rFonts w:hint="default" w:ascii="Times New Roman" w:hAnsi="Times New Roman" w:eastAsia="宋体" w:cs="Times New Roman"/>
                <w:color w:val="auto"/>
                <w:kern w:val="0"/>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收集率</w:t>
            </w:r>
            <w:r>
              <w:rPr>
                <w:rFonts w:hint="eastAsia" w:ascii="Times New Roman" w:hAnsi="Times New Roman" w:eastAsia="宋体" w:cs="Times New Roman"/>
                <w:color w:val="auto"/>
                <w:sz w:val="24"/>
                <w:szCs w:val="24"/>
                <w:highlight w:val="none"/>
                <w:lang w:val="en-US" w:eastAsia="zh-CN" w:bidi="ar"/>
              </w:rPr>
              <w:t>95</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去除效率为</w:t>
            </w:r>
            <w:r>
              <w:rPr>
                <w:rFonts w:hint="eastAsia" w:ascii="Times New Roman" w:hAnsi="Times New Roman" w:eastAsia="宋体" w:cs="Times New Roman"/>
                <w:color w:val="auto"/>
                <w:sz w:val="24"/>
                <w:szCs w:val="24"/>
                <w:highlight w:val="none"/>
                <w:lang w:val="en-US" w:eastAsia="zh-CN" w:bidi="ar"/>
              </w:rPr>
              <w:t>90</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sz w:val="24"/>
                <w:szCs w:val="24"/>
                <w:highlight w:val="none"/>
                <w:lang w:bidi="ar"/>
              </w:rPr>
              <w:t>。</w:t>
            </w:r>
          </w:p>
          <w:p w14:paraId="7CAF6D4E">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本项目</w:t>
            </w:r>
            <w:r>
              <w:rPr>
                <w:rFonts w:hint="default" w:ascii="Times New Roman" w:hAnsi="Times New Roman" w:eastAsia="宋体" w:cs="Times New Roman"/>
                <w:color w:val="auto"/>
                <w:sz w:val="24"/>
                <w:highlight w:val="none"/>
              </w:rPr>
              <w:t>废气处理措施示意图见图4-</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14:paraId="3988A909">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highlight w:val="none"/>
                <w:lang w:eastAsia="zh-CN"/>
              </w:rPr>
            </w:pPr>
            <w:r>
              <w:rPr>
                <w:rFonts w:hint="default" w:ascii="Times New Roman" w:hAnsi="Times New Roman" w:eastAsia="宋体" w:cs="Times New Roman"/>
                <w:b/>
                <w:bCs/>
                <w:color w:val="auto"/>
                <w:kern w:val="0"/>
                <w:sz w:val="24"/>
                <w:highlight w:val="none"/>
                <w:lang w:eastAsia="zh-CN"/>
              </w:rPr>
              <w:drawing>
                <wp:inline distT="0" distB="0" distL="114300" distR="114300">
                  <wp:extent cx="5313045" cy="4956175"/>
                  <wp:effectExtent l="0" t="0" r="0" b="0"/>
                  <wp:docPr id="14" name="ECB019B1-382A-4266-B25C-5B523AA43C14-8" descr="C:/Users/29147/AppData/Local/Temp/wps.RVGNR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8" descr="C:/Users/29147/AppData/Local/Temp/wps.RVGNRmwps"/>
                          <pic:cNvPicPr>
                            <a:picLocks noChangeAspect="1"/>
                          </pic:cNvPicPr>
                        </pic:nvPicPr>
                        <pic:blipFill>
                          <a:blip r:embed="rId20"/>
                          <a:stretch>
                            <a:fillRect/>
                          </a:stretch>
                        </pic:blipFill>
                        <pic:spPr>
                          <a:xfrm>
                            <a:off x="0" y="0"/>
                            <a:ext cx="5313045" cy="4956175"/>
                          </a:xfrm>
                          <a:prstGeom prst="rect">
                            <a:avLst/>
                          </a:prstGeom>
                        </pic:spPr>
                      </pic:pic>
                    </a:graphicData>
                  </a:graphic>
                </wp:inline>
              </w:drawing>
            </w:r>
          </w:p>
          <w:p w14:paraId="25FE32F3">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图4-</w:t>
            </w:r>
            <w:r>
              <w:rPr>
                <w:rFonts w:hint="default" w:ascii="Times New Roman" w:hAnsi="Times New Roman" w:eastAsia="宋体"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rPr>
              <w:t xml:space="preserve"> </w:t>
            </w:r>
            <w:r>
              <w:rPr>
                <w:rFonts w:hint="default" w:ascii="Times New Roman" w:hAnsi="Times New Roman" w:eastAsia="宋体"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rPr>
              <w:t>废气处理工艺流程</w:t>
            </w:r>
          </w:p>
          <w:p w14:paraId="6E7C5EF7">
            <w:pPr>
              <w:keepNext w:val="0"/>
              <w:keepLines w:val="0"/>
              <w:pageBreakBefore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②</w:t>
            </w:r>
            <w:r>
              <w:rPr>
                <w:rFonts w:hint="default" w:ascii="Times New Roman" w:hAnsi="Times New Roman" w:eastAsia="宋体" w:cs="Times New Roman"/>
                <w:b/>
                <w:bCs/>
                <w:color w:val="auto"/>
                <w:sz w:val="24"/>
                <w:highlight w:val="none"/>
                <w:lang w:eastAsia="zh-CN"/>
              </w:rPr>
              <w:t>废气</w:t>
            </w:r>
            <w:r>
              <w:rPr>
                <w:rFonts w:hint="default" w:ascii="Times New Roman" w:hAnsi="Times New Roman" w:eastAsia="宋体" w:cs="Times New Roman"/>
                <w:b/>
                <w:bCs/>
                <w:color w:val="auto"/>
                <w:sz w:val="24"/>
                <w:highlight w:val="none"/>
                <w:lang w:val="en-US" w:eastAsia="zh-CN"/>
              </w:rPr>
              <w:t>收集系统风量核算</w:t>
            </w:r>
          </w:p>
          <w:p w14:paraId="25EB93B5">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A.FQ-1排气筒</w:t>
            </w:r>
            <w:r>
              <w:rPr>
                <w:rFonts w:hint="default" w:ascii="Times New Roman" w:hAnsi="Times New Roman" w:eastAsia="宋体" w:cs="Times New Roman"/>
                <w:b/>
                <w:bCs/>
                <w:color w:val="auto"/>
                <w:sz w:val="24"/>
                <w:szCs w:val="24"/>
                <w:highlight w:val="none"/>
                <w:lang w:val="en-US" w:eastAsia="zh-CN"/>
              </w:rPr>
              <w:t>风量</w:t>
            </w:r>
          </w:p>
          <w:p w14:paraId="27AD5331">
            <w:pPr>
              <w:keepNext w:val="0"/>
              <w:keepLines w:val="0"/>
              <w:widowControl/>
              <w:numPr>
                <w:ilvl w:val="0"/>
                <w:numId w:val="0"/>
              </w:numPr>
              <w:suppressLineNumbers w:val="0"/>
              <w:adjustRightInd w:val="0"/>
              <w:spacing w:before="0" w:beforeAutospacing="0" w:after="0" w:afterAutospacing="0" w:line="480" w:lineRule="exact"/>
              <w:ind w:right="0" w:rightChars="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pacing w:val="0"/>
                <w:sz w:val="24"/>
                <w:szCs w:val="24"/>
                <w:highlight w:val="none"/>
                <w:lang w:val="en-US" w:eastAsia="zh-CN"/>
              </w:rPr>
              <w:t>a.打磨粉尘</w:t>
            </w:r>
            <w:r>
              <w:rPr>
                <w:rFonts w:hint="default" w:ascii="Times New Roman" w:hAnsi="Times New Roman" w:eastAsia="宋体" w:cs="Times New Roman"/>
                <w:color w:val="auto"/>
                <w:spacing w:val="0"/>
                <w:sz w:val="24"/>
                <w:szCs w:val="24"/>
                <w:highlight w:val="none"/>
                <w:lang w:val="en-US" w:eastAsia="zh-CN"/>
              </w:rPr>
              <w:t>在</w:t>
            </w:r>
            <w:r>
              <w:rPr>
                <w:rFonts w:hint="eastAsia" w:ascii="Times New Roman" w:hAnsi="Times New Roman" w:eastAsia="宋体" w:cs="Times New Roman"/>
                <w:color w:val="auto"/>
                <w:spacing w:val="0"/>
                <w:sz w:val="24"/>
                <w:szCs w:val="24"/>
                <w:highlight w:val="none"/>
                <w:lang w:val="en-US" w:eastAsia="zh-CN"/>
              </w:rPr>
              <w:t>打磨室</w:t>
            </w:r>
            <w:r>
              <w:rPr>
                <w:rFonts w:hint="default" w:ascii="Times New Roman" w:hAnsi="Times New Roman" w:eastAsia="宋体" w:cs="Times New Roman"/>
                <w:color w:val="auto"/>
                <w:spacing w:val="0"/>
                <w:sz w:val="24"/>
                <w:szCs w:val="24"/>
                <w:highlight w:val="none"/>
                <w:lang w:val="en-US" w:eastAsia="zh-CN"/>
              </w:rPr>
              <w:t>内密闭收集，</w:t>
            </w:r>
            <w:r>
              <w:rPr>
                <w:rFonts w:hint="eastAsia" w:ascii="Times New Roman" w:hAnsi="Times New Roman" w:eastAsia="宋体" w:cs="Times New Roman"/>
                <w:color w:val="auto"/>
                <w:spacing w:val="0"/>
                <w:sz w:val="24"/>
                <w:szCs w:val="24"/>
                <w:highlight w:val="none"/>
                <w:lang w:val="en-US" w:eastAsia="zh-CN"/>
              </w:rPr>
              <w:t>喷砂粉尘</w:t>
            </w:r>
            <w:r>
              <w:rPr>
                <w:rFonts w:hint="default" w:ascii="Times New Roman" w:hAnsi="Times New Roman" w:eastAsia="宋体" w:cs="Times New Roman"/>
                <w:color w:val="auto"/>
                <w:spacing w:val="0"/>
                <w:sz w:val="24"/>
                <w:szCs w:val="24"/>
                <w:highlight w:val="none"/>
                <w:lang w:val="en-US" w:eastAsia="zh-CN"/>
              </w:rPr>
              <w:t>在</w:t>
            </w:r>
            <w:r>
              <w:rPr>
                <w:rFonts w:hint="eastAsia" w:ascii="Times New Roman" w:hAnsi="Times New Roman" w:eastAsia="宋体" w:cs="Times New Roman"/>
                <w:color w:val="auto"/>
                <w:spacing w:val="0"/>
                <w:sz w:val="24"/>
                <w:szCs w:val="24"/>
                <w:highlight w:val="none"/>
                <w:lang w:val="en-US" w:eastAsia="zh-CN"/>
              </w:rPr>
              <w:t>设备</w:t>
            </w:r>
            <w:r>
              <w:rPr>
                <w:rFonts w:hint="default" w:ascii="Times New Roman" w:hAnsi="Times New Roman" w:eastAsia="宋体" w:cs="Times New Roman"/>
                <w:color w:val="auto"/>
                <w:spacing w:val="0"/>
                <w:sz w:val="24"/>
                <w:szCs w:val="24"/>
                <w:highlight w:val="none"/>
                <w:lang w:val="en-US" w:eastAsia="zh-CN"/>
              </w:rPr>
              <w:t>内密闭收集，</w:t>
            </w:r>
            <w:r>
              <w:rPr>
                <w:rFonts w:hint="default" w:ascii="Times New Roman" w:hAnsi="Times New Roman" w:eastAsia="宋体" w:cs="Times New Roman"/>
                <w:color w:val="auto"/>
                <w:sz w:val="24"/>
                <w:szCs w:val="24"/>
                <w:highlight w:val="none"/>
              </w:rPr>
              <w:t>主要采用空间密闭整体换风收集方式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空间密闭换风收集排风量 L（m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/h）计算公式为</w:t>
            </w:r>
            <w:r>
              <w:rPr>
                <w:rFonts w:hint="default" w:ascii="Times New Roman" w:hAnsi="Times New Roman" w:eastAsia="宋体" w:cs="Times New Roman"/>
                <w:color w:val="auto"/>
                <w:sz w:val="24"/>
                <w:szCs w:val="24"/>
                <w:highlight w:val="none"/>
                <w:lang w:eastAsia="zh-CN"/>
              </w:rPr>
              <w:t>：</w:t>
            </w:r>
          </w:p>
          <w:p w14:paraId="199F32B5">
            <w:pPr>
              <w:keepNext w:val="0"/>
              <w:keepLines w:val="0"/>
              <w:widowControl/>
              <w:suppressLineNumbers w:val="0"/>
              <w:adjustRightInd w:val="0"/>
              <w:spacing w:before="0" w:beforeAutospacing="0" w:after="0" w:afterAutospacing="0" w:line="480" w:lineRule="exact"/>
              <w:ind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nVf</w:t>
            </w:r>
          </w:p>
          <w:p w14:paraId="5587FE3C">
            <w:pPr>
              <w:keepNext w:val="0"/>
              <w:keepLines w:val="0"/>
              <w:widowControl/>
              <w:suppressLineNumbers w:val="0"/>
              <w:adjustRightInd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式中，L——全面换风量，m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 </w:t>
            </w:r>
          </w:p>
          <w:p w14:paraId="5EFC8FCB">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n——换气次数，1/h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 </w:t>
            </w:r>
          </w:p>
          <w:p w14:paraId="141D6D90">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Vf——通风空间体积，m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p>
          <w:p w14:paraId="1E5EC5AD">
            <w:pPr>
              <w:keepNext w:val="0"/>
              <w:keepLines w:val="0"/>
              <w:suppressLineNumbers w:val="0"/>
              <w:adjustRightInd w:val="0"/>
              <w:snapToGrid w:val="0"/>
              <w:spacing w:before="0" w:beforeAutospacing="0" w:after="0" w:afterAutospacing="0" w:line="500" w:lineRule="exact"/>
              <w:ind w:right="0" w:firstLine="480" w:firstLineChars="200"/>
              <w:rPr>
                <w:rFonts w:hint="default" w:ascii="Times New Roman" w:hAnsi="Times New Roman" w:eastAsia="宋体" w:cs="Times New Roman"/>
                <w:b w:val="0"/>
                <w:bCs/>
                <w:color w:val="auto"/>
                <w:spacing w:val="0"/>
                <w:sz w:val="24"/>
                <w:szCs w:val="24"/>
                <w:highlight w:val="none"/>
                <w:lang w:eastAsia="zh-CN"/>
              </w:rPr>
            </w:pPr>
            <w:r>
              <w:rPr>
                <w:rFonts w:hint="eastAsia" w:ascii="Times New Roman" w:hAnsi="Times New Roman" w:eastAsia="宋体" w:cs="Times New Roman"/>
                <w:b w:val="0"/>
                <w:bCs/>
                <w:color w:val="auto"/>
                <w:spacing w:val="0"/>
                <w:sz w:val="24"/>
                <w:szCs w:val="24"/>
                <w:highlight w:val="none"/>
                <w:lang w:val="en-US" w:eastAsia="zh-CN"/>
              </w:rPr>
              <w:t>打磨室尺寸为：L5.0xW4.0xH3m，室</w:t>
            </w:r>
            <w:r>
              <w:rPr>
                <w:rFonts w:hint="default" w:ascii="Times New Roman" w:hAnsi="Times New Roman" w:eastAsia="宋体" w:cs="Times New Roman"/>
                <w:b w:val="0"/>
                <w:bCs/>
                <w:color w:val="auto"/>
                <w:spacing w:val="0"/>
                <w:sz w:val="24"/>
                <w:szCs w:val="24"/>
                <w:highlight w:val="none"/>
                <w:lang w:eastAsia="zh-CN"/>
              </w:rPr>
              <w:t>内空间</w:t>
            </w:r>
            <w:r>
              <w:rPr>
                <w:rFonts w:hint="eastAsia" w:ascii="Times New Roman" w:hAnsi="Times New Roman" w:eastAsia="宋体" w:cs="Times New Roman"/>
                <w:b w:val="0"/>
                <w:bCs/>
                <w:color w:val="auto"/>
                <w:spacing w:val="0"/>
                <w:sz w:val="24"/>
                <w:szCs w:val="24"/>
                <w:highlight w:val="none"/>
                <w:lang w:val="en-US" w:eastAsia="zh-CN"/>
              </w:rPr>
              <w:t>均</w:t>
            </w:r>
            <w:r>
              <w:rPr>
                <w:rFonts w:hint="default" w:ascii="Times New Roman" w:hAnsi="Times New Roman" w:eastAsia="宋体" w:cs="Times New Roman"/>
                <w:b w:val="0"/>
                <w:bCs/>
                <w:color w:val="auto"/>
                <w:spacing w:val="0"/>
                <w:sz w:val="24"/>
                <w:szCs w:val="24"/>
                <w:highlight w:val="none"/>
                <w:lang w:eastAsia="zh-CN"/>
              </w:rPr>
              <w:t>约</w:t>
            </w:r>
            <w:r>
              <w:rPr>
                <w:rFonts w:hint="eastAsia" w:ascii="Times New Roman" w:hAnsi="Times New Roman" w:eastAsia="宋体" w:cs="Times New Roman"/>
                <w:b w:val="0"/>
                <w:bCs/>
                <w:color w:val="auto"/>
                <w:spacing w:val="0"/>
                <w:sz w:val="24"/>
                <w:szCs w:val="24"/>
                <w:highlight w:val="none"/>
                <w:lang w:val="en-US" w:eastAsia="zh-CN"/>
              </w:rPr>
              <w:t>60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，每小时换风次数为</w:t>
            </w:r>
            <w:r>
              <w:rPr>
                <w:rFonts w:hint="eastAsia" w:ascii="Times New Roman" w:hAnsi="Times New Roman" w:eastAsia="宋体" w:cs="Times New Roman"/>
                <w:b w:val="0"/>
                <w:bCs/>
                <w:color w:val="auto"/>
                <w:spacing w:val="0"/>
                <w:sz w:val="24"/>
                <w:szCs w:val="24"/>
                <w:highlight w:val="none"/>
                <w:lang w:val="en-US" w:eastAsia="zh-CN"/>
              </w:rPr>
              <w:t>4</w:t>
            </w:r>
            <w:r>
              <w:rPr>
                <w:rFonts w:hint="default" w:ascii="Times New Roman" w:hAnsi="Times New Roman" w:eastAsia="宋体" w:cs="Times New Roman"/>
                <w:b w:val="0"/>
                <w:bCs/>
                <w:color w:val="auto"/>
                <w:spacing w:val="0"/>
                <w:sz w:val="24"/>
                <w:szCs w:val="24"/>
                <w:highlight w:val="none"/>
                <w:lang w:eastAsia="zh-CN"/>
              </w:rPr>
              <w:t>0次，则风量为</w:t>
            </w:r>
            <w:r>
              <w:rPr>
                <w:rFonts w:hint="eastAsia" w:ascii="Times New Roman" w:hAnsi="Times New Roman" w:eastAsia="宋体" w:cs="Times New Roman"/>
                <w:b w:val="0"/>
                <w:bCs/>
                <w:color w:val="auto"/>
                <w:spacing w:val="0"/>
                <w:sz w:val="24"/>
                <w:szCs w:val="24"/>
                <w:highlight w:val="none"/>
                <w:lang w:val="en-US" w:eastAsia="zh-CN"/>
              </w:rPr>
              <w:t>2400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r>
              <w:rPr>
                <w:rFonts w:hint="eastAsia" w:ascii="Times New Roman" w:hAnsi="Times New Roman" w:eastAsia="宋体" w:cs="Times New Roman"/>
                <w:b w:val="0"/>
                <w:bCs/>
                <w:color w:val="auto"/>
                <w:spacing w:val="0"/>
                <w:sz w:val="24"/>
                <w:szCs w:val="24"/>
                <w:highlight w:val="none"/>
                <w:lang w:val="en-US" w:eastAsia="zh-CN"/>
              </w:rPr>
              <w:t>喷砂机设备</w:t>
            </w:r>
            <w:r>
              <w:rPr>
                <w:rFonts w:hint="default" w:ascii="Times New Roman" w:hAnsi="Times New Roman" w:eastAsia="宋体" w:cs="Times New Roman"/>
                <w:b w:val="0"/>
                <w:bCs/>
                <w:color w:val="auto"/>
                <w:spacing w:val="0"/>
                <w:sz w:val="24"/>
                <w:szCs w:val="24"/>
                <w:highlight w:val="none"/>
                <w:lang w:eastAsia="zh-CN"/>
              </w:rPr>
              <w:t>内空间</w:t>
            </w:r>
            <w:r>
              <w:rPr>
                <w:rFonts w:hint="eastAsia" w:ascii="Times New Roman" w:hAnsi="Times New Roman" w:eastAsia="宋体" w:cs="Times New Roman"/>
                <w:b w:val="0"/>
                <w:bCs/>
                <w:color w:val="auto"/>
                <w:spacing w:val="0"/>
                <w:sz w:val="24"/>
                <w:szCs w:val="24"/>
                <w:highlight w:val="none"/>
                <w:lang w:val="en-US" w:eastAsia="zh-CN"/>
              </w:rPr>
              <w:t>均</w:t>
            </w:r>
            <w:r>
              <w:rPr>
                <w:rFonts w:hint="default" w:ascii="Times New Roman" w:hAnsi="Times New Roman" w:eastAsia="宋体" w:cs="Times New Roman"/>
                <w:b w:val="0"/>
                <w:bCs/>
                <w:color w:val="auto"/>
                <w:spacing w:val="0"/>
                <w:sz w:val="24"/>
                <w:szCs w:val="24"/>
                <w:highlight w:val="none"/>
                <w:lang w:eastAsia="zh-CN"/>
              </w:rPr>
              <w:t>约</w:t>
            </w:r>
            <w:r>
              <w:rPr>
                <w:rFonts w:hint="eastAsia" w:ascii="Times New Roman" w:hAnsi="Times New Roman" w:eastAsia="宋体" w:cs="Times New Roman"/>
                <w:b w:val="0"/>
                <w:bCs/>
                <w:color w:val="auto"/>
                <w:spacing w:val="0"/>
                <w:sz w:val="24"/>
                <w:szCs w:val="24"/>
                <w:highlight w:val="none"/>
                <w:lang w:val="en-US" w:eastAsia="zh-CN"/>
              </w:rPr>
              <w:t>1</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，每小时换风次数为</w:t>
            </w:r>
            <w:r>
              <w:rPr>
                <w:rFonts w:hint="eastAsia" w:ascii="Times New Roman" w:hAnsi="Times New Roman" w:eastAsia="宋体" w:cs="Times New Roman"/>
                <w:b w:val="0"/>
                <w:bCs/>
                <w:color w:val="auto"/>
                <w:spacing w:val="0"/>
                <w:sz w:val="24"/>
                <w:szCs w:val="24"/>
                <w:highlight w:val="none"/>
                <w:lang w:val="en-US" w:eastAsia="zh-CN"/>
              </w:rPr>
              <w:t>4</w:t>
            </w:r>
            <w:r>
              <w:rPr>
                <w:rFonts w:hint="default" w:ascii="Times New Roman" w:hAnsi="Times New Roman" w:eastAsia="宋体" w:cs="Times New Roman"/>
                <w:b w:val="0"/>
                <w:bCs/>
                <w:color w:val="auto"/>
                <w:spacing w:val="0"/>
                <w:sz w:val="24"/>
                <w:szCs w:val="24"/>
                <w:highlight w:val="none"/>
                <w:lang w:eastAsia="zh-CN"/>
              </w:rPr>
              <w:t>0次，则风量为</w:t>
            </w:r>
            <w:r>
              <w:rPr>
                <w:rFonts w:hint="eastAsia" w:ascii="Times New Roman" w:hAnsi="Times New Roman" w:eastAsia="宋体" w:cs="Times New Roman"/>
                <w:b w:val="0"/>
                <w:bCs/>
                <w:color w:val="auto"/>
                <w:spacing w:val="0"/>
                <w:sz w:val="24"/>
                <w:szCs w:val="24"/>
                <w:highlight w:val="none"/>
                <w:lang w:val="en-US" w:eastAsia="zh-CN"/>
              </w:rPr>
              <w:t>40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p>
          <w:p w14:paraId="64620F96">
            <w:pPr>
              <w:keepNext w:val="0"/>
              <w:keepLines w:val="0"/>
              <w:suppressLineNumbers w:val="0"/>
              <w:adjustRightInd w:val="0"/>
              <w:snapToGrid w:val="0"/>
              <w:spacing w:before="0" w:beforeAutospacing="0" w:after="0" w:afterAutospacing="0" w:line="500" w:lineRule="exact"/>
              <w:ind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根据《涂装作业安全规程粉末静电喷涂工艺安全》(GB15607-2008)附录 A静电喷粉室排放量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抽风量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计算方法，静电喷粉室排风量通常是为了喷粉作业时的安全与操作工人的健康设定的，按下列公式计算。</w:t>
            </w:r>
          </w:p>
          <w:p w14:paraId="2B2D8BB2">
            <w:pPr>
              <w:keepNext w:val="0"/>
              <w:keepLines w:val="0"/>
              <w:suppressLineNumbers w:val="0"/>
              <w:adjustRightInd w:val="0"/>
              <w:snapToGrid w:val="0"/>
              <w:spacing w:before="0" w:beforeAutospacing="0" w:after="0" w:afterAutospacing="0" w:line="500" w:lineRule="exact"/>
              <w:ind w:right="0" w:firstLine="480" w:firstLineChars="200"/>
              <w:rPr>
                <w:rFonts w:hint="default" w:ascii="Times New Roman" w:hAnsi="Times New Roman" w:eastAsia="宋体" w:cs="Times New Roman"/>
                <w:b w:val="0"/>
                <w:bCs/>
                <w:color w:val="auto"/>
                <w:spacing w:val="0"/>
                <w:sz w:val="24"/>
                <w:szCs w:val="24"/>
                <w:highlight w:val="none"/>
                <w:lang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66432" behindDoc="0" locked="0" layoutInCell="1" allowOverlap="1">
                  <wp:simplePos x="0" y="0"/>
                  <wp:positionH relativeFrom="column">
                    <wp:posOffset>488950</wp:posOffset>
                  </wp:positionH>
                  <wp:positionV relativeFrom="paragraph">
                    <wp:posOffset>36830</wp:posOffset>
                  </wp:positionV>
                  <wp:extent cx="4248150" cy="1466850"/>
                  <wp:effectExtent l="0" t="0" r="0" b="0"/>
                  <wp:wrapTopAndBottom/>
                  <wp:docPr id="15" name="图片 15" descr="174059497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0594971800"/>
                          <pic:cNvPicPr>
                            <a:picLocks noChangeAspect="1"/>
                          </pic:cNvPicPr>
                        </pic:nvPicPr>
                        <pic:blipFill>
                          <a:blip r:embed="rId21"/>
                          <a:stretch>
                            <a:fillRect/>
                          </a:stretch>
                        </pic:blipFill>
                        <pic:spPr>
                          <a:xfrm>
                            <a:off x="0" y="0"/>
                            <a:ext cx="4248150" cy="1466850"/>
                          </a:xfrm>
                          <a:prstGeom prst="rect">
                            <a:avLst/>
                          </a:prstGeom>
                        </pic:spPr>
                      </pic:pic>
                    </a:graphicData>
                  </a:graphic>
                </wp:anchor>
              </w:drawing>
            </w:r>
            <w:r>
              <w:rPr>
                <w:rFonts w:hint="default" w:ascii="Times New Roman" w:hAnsi="Times New Roman" w:eastAsia="宋体" w:cs="Times New Roman"/>
                <w:color w:val="auto"/>
                <w:sz w:val="24"/>
                <w:szCs w:val="24"/>
                <w:highlight w:val="none"/>
              </w:rPr>
              <w:t>根据上式计算，手工喷粉室废气量为 Q=3600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0.5=</w:t>
            </w:r>
            <w:r>
              <w:rPr>
                <w:rFonts w:hint="eastAsia" w:ascii="Times New Roman" w:hAnsi="Times New Roman" w:eastAsia="宋体" w:cs="Times New Roman"/>
                <w:color w:val="auto"/>
                <w:sz w:val="24"/>
                <w:szCs w:val="24"/>
                <w:highlight w:val="none"/>
                <w:lang w:val="en-US" w:eastAsia="zh-CN"/>
              </w:rPr>
              <w:t>9360</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/h，全自动喷粉室废气量为 Q=3600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0.5=</w:t>
            </w:r>
            <w:r>
              <w:rPr>
                <w:rFonts w:hint="eastAsia" w:ascii="Times New Roman" w:hAnsi="Times New Roman" w:eastAsia="宋体" w:cs="Times New Roman"/>
                <w:color w:val="auto"/>
                <w:sz w:val="24"/>
                <w:szCs w:val="24"/>
                <w:highlight w:val="none"/>
                <w:lang w:val="en-US" w:eastAsia="zh-CN"/>
              </w:rPr>
              <w:t>9360</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/h。</w:t>
            </w:r>
          </w:p>
          <w:p w14:paraId="39D8D65F">
            <w:pPr>
              <w:keepNext w:val="0"/>
              <w:keepLines w:val="0"/>
              <w:suppressLineNumbers w:val="0"/>
              <w:adjustRightInd w:val="0"/>
              <w:snapToGrid w:val="0"/>
              <w:spacing w:before="0" w:beforeAutospacing="0" w:after="0" w:afterAutospacing="0" w:line="500" w:lineRule="exact"/>
              <w:ind w:right="0" w:firstLine="480" w:firstLineChars="200"/>
              <w:rPr>
                <w:rFonts w:hint="default" w:ascii="Times New Roman" w:hAnsi="Times New Roman" w:eastAsia="宋体" w:cs="Times New Roman"/>
                <w:b w:val="0"/>
                <w:bCs/>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val="en-US" w:eastAsia="zh-CN"/>
              </w:rPr>
              <w:t>综上，</w:t>
            </w:r>
            <w:r>
              <w:rPr>
                <w:rFonts w:hint="eastAsia" w:ascii="Times New Roman" w:hAnsi="Times New Roman" w:eastAsia="宋体" w:cs="Times New Roman"/>
                <w:b w:val="0"/>
                <w:bCs/>
                <w:color w:val="auto"/>
                <w:spacing w:val="0"/>
                <w:sz w:val="24"/>
                <w:szCs w:val="24"/>
                <w:highlight w:val="none"/>
                <w:lang w:val="en-US" w:eastAsia="zh-CN"/>
              </w:rPr>
              <w:t>核算风量为21160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r>
              <w:rPr>
                <w:rFonts w:hint="default" w:ascii="Times New Roman" w:hAnsi="Times New Roman" w:eastAsia="宋体" w:cs="Times New Roman"/>
                <w:color w:val="auto"/>
                <w:spacing w:val="0"/>
                <w:sz w:val="24"/>
                <w:szCs w:val="24"/>
                <w:highlight w:val="none"/>
              </w:rPr>
              <w:t>考虑到风管压损</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本项目</w:t>
            </w:r>
            <w:r>
              <w:rPr>
                <w:rFonts w:hint="eastAsia" w:ascii="Times New Roman" w:hAnsi="Times New Roman" w:eastAsia="宋体" w:cs="Times New Roman"/>
                <w:color w:val="auto"/>
                <w:spacing w:val="0"/>
                <w:sz w:val="24"/>
                <w:szCs w:val="24"/>
                <w:highlight w:val="none"/>
                <w:lang w:val="en-US" w:eastAsia="zh-CN"/>
              </w:rPr>
              <w:t>FQ-1排气筒</w:t>
            </w:r>
            <w:r>
              <w:rPr>
                <w:rFonts w:hint="default" w:ascii="Times New Roman" w:hAnsi="Times New Roman" w:eastAsia="宋体" w:cs="Times New Roman"/>
                <w:color w:val="auto"/>
                <w:spacing w:val="0"/>
                <w:sz w:val="24"/>
                <w:szCs w:val="24"/>
                <w:highlight w:val="none"/>
                <w:lang w:val="en-US" w:eastAsia="zh-CN"/>
              </w:rPr>
              <w:t>设计</w:t>
            </w:r>
            <w:r>
              <w:rPr>
                <w:rFonts w:hint="default" w:ascii="Times New Roman" w:hAnsi="Times New Roman" w:eastAsia="宋体" w:cs="Times New Roman"/>
                <w:color w:val="auto"/>
                <w:spacing w:val="0"/>
                <w:sz w:val="24"/>
                <w:szCs w:val="24"/>
                <w:highlight w:val="none"/>
              </w:rPr>
              <w:t>风量为</w:t>
            </w:r>
            <w:r>
              <w:rPr>
                <w:rFonts w:hint="eastAsia" w:ascii="Times New Roman" w:hAnsi="Times New Roman" w:eastAsia="宋体" w:cs="Times New Roman"/>
                <w:color w:val="auto"/>
                <w:spacing w:val="0"/>
                <w:sz w:val="24"/>
                <w:szCs w:val="24"/>
                <w:highlight w:val="none"/>
                <w:lang w:val="en-US" w:eastAsia="zh-CN"/>
              </w:rPr>
              <w:t>250</w:t>
            </w:r>
            <w:r>
              <w:rPr>
                <w:rFonts w:hint="default" w:ascii="Times New Roman" w:hAnsi="Times New Roman" w:eastAsia="宋体" w:cs="Times New Roman"/>
                <w:color w:val="auto"/>
                <w:spacing w:val="0"/>
                <w:sz w:val="24"/>
                <w:szCs w:val="24"/>
                <w:highlight w:val="none"/>
                <w:lang w:val="en-US" w:eastAsia="zh-CN"/>
              </w:rPr>
              <w:t>00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能够满足该吸风要求。</w:t>
            </w:r>
          </w:p>
          <w:p w14:paraId="24C723DF">
            <w:pPr>
              <w:keepNext w:val="0"/>
              <w:keepLines w:val="0"/>
              <w:suppressLineNumbers w:val="0"/>
              <w:adjustRightInd w:val="0"/>
              <w:snapToGrid w:val="0"/>
              <w:spacing w:before="0" w:beforeAutospacing="0" w:after="0" w:afterAutospacing="0" w:line="500" w:lineRule="exact"/>
              <w:ind w:right="0" w:firstLine="482"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B.FQ-2排气筒</w:t>
            </w:r>
            <w:r>
              <w:rPr>
                <w:rFonts w:hint="default" w:ascii="Times New Roman" w:hAnsi="Times New Roman" w:eastAsia="宋体" w:cs="Times New Roman"/>
                <w:b/>
                <w:bCs/>
                <w:color w:val="auto"/>
                <w:sz w:val="24"/>
                <w:szCs w:val="24"/>
                <w:highlight w:val="none"/>
                <w:lang w:val="en-US" w:eastAsia="zh-CN"/>
              </w:rPr>
              <w:t>风量</w:t>
            </w:r>
          </w:p>
          <w:p w14:paraId="567267C1">
            <w:pPr>
              <w:keepNext w:val="0"/>
              <w:keepLines w:val="0"/>
              <w:suppressLineNumbers w:val="0"/>
              <w:adjustRightInd w:val="0"/>
              <w:snapToGrid w:val="0"/>
              <w:spacing w:before="0" w:beforeAutospacing="0" w:after="0" w:afterAutospacing="0" w:line="500" w:lineRule="exact"/>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val="en-US" w:eastAsia="zh-CN"/>
              </w:rPr>
              <w:t>固化室、烘干室进出口</w:t>
            </w:r>
            <w:r>
              <w:rPr>
                <w:rFonts w:hint="default" w:ascii="Times New Roman" w:hAnsi="Times New Roman" w:eastAsia="宋体" w:cs="Times New Roman"/>
                <w:color w:val="auto"/>
                <w:sz w:val="24"/>
                <w:szCs w:val="24"/>
                <w:highlight w:val="none"/>
              </w:rPr>
              <w:t>设置集气罩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可有效收集废气，</w:t>
            </w:r>
            <w:r>
              <w:rPr>
                <w:rFonts w:hint="default" w:ascii="Times New Roman" w:hAnsi="Times New Roman" w:eastAsia="宋体" w:cs="Times New Roman"/>
                <w:color w:val="auto"/>
                <w:sz w:val="24"/>
                <w:szCs w:val="24"/>
                <w:highlight w:val="none"/>
              </w:rPr>
              <w:t>废气捕集率以90%计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参考《废气处理工程技术手册》（王纯张殿印主编）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上部伞形罩冷态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排气量计算公式计算单个集气罩排气量，过程如下： </w:t>
            </w:r>
          </w:p>
          <w:p w14:paraId="5C5DF809">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Q=K</w:t>
            </w: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Vx ，其中： </w:t>
            </w:r>
          </w:p>
          <w:p w14:paraId="50050DDD">
            <w:pPr>
              <w:keepNext w:val="0"/>
              <w:keepLines w:val="0"/>
              <w:numPr>
                <w:ilvl w:val="0"/>
                <w:numId w:val="4"/>
              </w:numPr>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-设计安全系数，一般取1.1-1.5，本次取1.3；</w:t>
            </w:r>
          </w:p>
          <w:p w14:paraId="637CCFA0">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 xml:space="preserve">--排风罩敞开面的周长，m； </w:t>
            </w:r>
          </w:p>
          <w:p w14:paraId="1CCA035C">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H--污染源至罩口距离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 xml:space="preserve">； </w:t>
            </w:r>
          </w:p>
          <w:p w14:paraId="12258E48">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Vx--操作口空气速度，建议取值 0.25~2.5m/s，本项目取0.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m/s。</w:t>
            </w:r>
          </w:p>
          <w:p w14:paraId="04CFF2BC">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项目建成后全厂废气收集风量计算情况如下：</w:t>
            </w:r>
          </w:p>
          <w:p w14:paraId="4AD33B49">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1</w:t>
            </w:r>
            <w:r>
              <w:rPr>
                <w:rFonts w:hint="default" w:ascii="Times New Roman" w:hAnsi="Times New Roman" w:eastAsia="宋体" w:cs="Times New Roman"/>
                <w:b/>
                <w:color w:val="auto"/>
                <w:kern w:val="0"/>
                <w:sz w:val="24"/>
                <w:szCs w:val="24"/>
                <w:highlight w:val="none"/>
              </w:rPr>
              <w:t xml:space="preserve">  </w:t>
            </w:r>
            <w:r>
              <w:rPr>
                <w:rFonts w:hint="default" w:ascii="Times New Roman" w:hAnsi="Times New Roman" w:eastAsia="宋体" w:cs="Times New Roman"/>
                <w:b/>
                <w:color w:val="auto"/>
                <w:kern w:val="0"/>
                <w:sz w:val="24"/>
                <w:szCs w:val="24"/>
                <w:highlight w:val="none"/>
                <w:lang w:val="en-US" w:eastAsia="zh-CN"/>
              </w:rPr>
              <w:t>本项目</w:t>
            </w:r>
            <w:r>
              <w:rPr>
                <w:rFonts w:hint="default" w:ascii="Times New Roman" w:hAnsi="Times New Roman" w:eastAsia="宋体" w:cs="Times New Roman"/>
                <w:b/>
                <w:color w:val="auto"/>
                <w:kern w:val="0"/>
                <w:sz w:val="24"/>
                <w:szCs w:val="24"/>
                <w:highlight w:val="none"/>
              </w:rPr>
              <w:t>废气收集系统风量核算表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71"/>
              <w:gridCol w:w="1403"/>
              <w:gridCol w:w="1237"/>
              <w:gridCol w:w="2744"/>
              <w:gridCol w:w="967"/>
              <w:gridCol w:w="938"/>
            </w:tblGrid>
            <w:tr w14:paraId="5F448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40" w:type="pct"/>
                  <w:noWrap w:val="0"/>
                  <w:vAlign w:val="center"/>
                </w:tcPr>
                <w:p w14:paraId="2E1A15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系统名称</w:t>
                  </w:r>
                </w:p>
              </w:tc>
              <w:tc>
                <w:tcPr>
                  <w:tcW w:w="839" w:type="pct"/>
                  <w:noWrap w:val="0"/>
                  <w:vAlign w:val="center"/>
                </w:tcPr>
                <w:p w14:paraId="0083EA9A">
                  <w:pPr>
                    <w:pStyle w:val="5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产污设备数量（台/套）</w:t>
                  </w:r>
                </w:p>
              </w:tc>
              <w:tc>
                <w:tcPr>
                  <w:tcW w:w="739" w:type="pct"/>
                  <w:noWrap w:val="0"/>
                  <w:vAlign w:val="center"/>
                </w:tcPr>
                <w:p w14:paraId="46B632F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处理对象</w:t>
                  </w:r>
                </w:p>
              </w:tc>
              <w:tc>
                <w:tcPr>
                  <w:tcW w:w="1641" w:type="pct"/>
                  <w:noWrap w:val="0"/>
                  <w:vAlign w:val="center"/>
                </w:tcPr>
                <w:p w14:paraId="5E5383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计算过程</w:t>
                  </w:r>
                </w:p>
              </w:tc>
              <w:tc>
                <w:tcPr>
                  <w:tcW w:w="578" w:type="pct"/>
                  <w:noWrap w:val="0"/>
                  <w:vAlign w:val="center"/>
                </w:tcPr>
                <w:p w14:paraId="760F72A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核算风量（m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561" w:type="pct"/>
                  <w:noWrap w:val="0"/>
                  <w:vAlign w:val="center"/>
                </w:tcPr>
                <w:p w14:paraId="37EB015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设计风量（m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r>
            <w:tr w14:paraId="0CD72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pct"/>
                  <w:noWrap w:val="0"/>
                  <w:vAlign w:val="center"/>
                </w:tcPr>
                <w:p w14:paraId="386ED1B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w:t>
                  </w:r>
                </w:p>
              </w:tc>
              <w:tc>
                <w:tcPr>
                  <w:tcW w:w="839" w:type="pct"/>
                  <w:noWrap w:val="0"/>
                  <w:vAlign w:val="center"/>
                </w:tcPr>
                <w:p w14:paraId="7E98086A">
                  <w:pPr>
                    <w:pStyle w:val="5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739" w:type="pct"/>
                  <w:noWrap w:val="0"/>
                  <w:vAlign w:val="center"/>
                </w:tcPr>
                <w:p w14:paraId="7D6CF08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、NOx</w:t>
                  </w:r>
                </w:p>
              </w:tc>
              <w:tc>
                <w:tcPr>
                  <w:tcW w:w="1641" w:type="pct"/>
                  <w:noWrap w:val="0"/>
                  <w:vAlign w:val="center"/>
                </w:tcPr>
                <w:p w14:paraId="517B2D6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Q=1.3*</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*3600</w:t>
                  </w:r>
                </w:p>
              </w:tc>
              <w:tc>
                <w:tcPr>
                  <w:tcW w:w="578" w:type="pct"/>
                  <w:noWrap w:val="0"/>
                  <w:vAlign w:val="center"/>
                </w:tcPr>
                <w:p w14:paraId="45D96FC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7020</w:t>
                  </w:r>
                </w:p>
              </w:tc>
              <w:tc>
                <w:tcPr>
                  <w:tcW w:w="561" w:type="pct"/>
                  <w:vMerge w:val="restart"/>
                  <w:noWrap w:val="0"/>
                  <w:vAlign w:val="center"/>
                </w:tcPr>
                <w:p w14:paraId="0D49B91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20000</w:t>
                  </w:r>
                </w:p>
              </w:tc>
            </w:tr>
            <w:tr w14:paraId="5AE11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pct"/>
                  <w:noWrap w:val="0"/>
                  <w:vAlign w:val="center"/>
                </w:tcPr>
                <w:p w14:paraId="4EA6CA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烘干</w:t>
                  </w:r>
                </w:p>
              </w:tc>
              <w:tc>
                <w:tcPr>
                  <w:tcW w:w="839" w:type="pct"/>
                  <w:noWrap w:val="0"/>
                  <w:vAlign w:val="center"/>
                </w:tcPr>
                <w:p w14:paraId="0D41539B">
                  <w:pPr>
                    <w:pStyle w:val="5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739" w:type="pct"/>
                  <w:noWrap w:val="0"/>
                  <w:vAlign w:val="center"/>
                </w:tcPr>
                <w:p w14:paraId="57137A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、NOx</w:t>
                  </w:r>
                </w:p>
              </w:tc>
              <w:tc>
                <w:tcPr>
                  <w:tcW w:w="1641" w:type="pct"/>
                  <w:shd w:val="clear" w:color="auto" w:fill="auto"/>
                  <w:noWrap w:val="0"/>
                  <w:vAlign w:val="center"/>
                </w:tcPr>
                <w:p w14:paraId="1E3F9D7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Q=1.3*</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*3600</w:t>
                  </w:r>
                </w:p>
              </w:tc>
              <w:tc>
                <w:tcPr>
                  <w:tcW w:w="578" w:type="pct"/>
                  <w:shd w:val="clear" w:color="auto" w:fill="auto"/>
                  <w:noWrap w:val="0"/>
                  <w:vAlign w:val="center"/>
                </w:tcPr>
                <w:p w14:paraId="4E8F337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7020</w:t>
                  </w:r>
                </w:p>
              </w:tc>
              <w:tc>
                <w:tcPr>
                  <w:tcW w:w="561" w:type="pct"/>
                  <w:vMerge w:val="continue"/>
                  <w:noWrap w:val="0"/>
                  <w:vAlign w:val="center"/>
                </w:tcPr>
                <w:p w14:paraId="082137B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r>
          </w:tbl>
          <w:p w14:paraId="50D45253">
            <w:pPr>
              <w:pStyle w:val="59"/>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由上表可知，计算得出的</w:t>
            </w:r>
            <w:r>
              <w:rPr>
                <w:rFonts w:hint="eastAsia" w:ascii="Times New Roman" w:hAnsi="Times New Roman" w:eastAsia="宋体" w:cs="Times New Roman"/>
                <w:color w:val="auto"/>
                <w:spacing w:val="0"/>
                <w:sz w:val="24"/>
                <w:szCs w:val="24"/>
                <w:highlight w:val="none"/>
                <w:lang w:val="en-US" w:eastAsia="zh-CN"/>
              </w:rPr>
              <w:t>FQ-3排气筒</w:t>
            </w:r>
            <w:r>
              <w:rPr>
                <w:rFonts w:hint="default" w:ascii="Times New Roman" w:hAnsi="Times New Roman" w:eastAsia="宋体" w:cs="Times New Roman"/>
                <w:color w:val="auto"/>
                <w:spacing w:val="0"/>
                <w:sz w:val="24"/>
                <w:szCs w:val="24"/>
                <w:highlight w:val="none"/>
              </w:rPr>
              <w:t>风量为</w:t>
            </w:r>
            <w:r>
              <w:rPr>
                <w:rFonts w:hint="eastAsia" w:ascii="Times New Roman" w:hAnsi="Times New Roman" w:eastAsia="宋体" w:cs="Times New Roman"/>
                <w:color w:val="auto"/>
                <w:spacing w:val="0"/>
                <w:sz w:val="24"/>
                <w:szCs w:val="24"/>
                <w:highlight w:val="none"/>
                <w:lang w:val="en-US" w:eastAsia="zh-CN"/>
              </w:rPr>
              <w:t>14040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考虑到风管压损</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color w:val="auto"/>
                <w:spacing w:val="0"/>
                <w:sz w:val="24"/>
                <w:szCs w:val="24"/>
                <w:highlight w:val="none"/>
                <w:lang w:val="en-US" w:eastAsia="zh-CN"/>
              </w:rPr>
              <w:t>打磨</w:t>
            </w:r>
            <w:r>
              <w:rPr>
                <w:rFonts w:hint="default" w:ascii="Times New Roman" w:hAnsi="Times New Roman" w:eastAsia="宋体" w:cs="Times New Roman"/>
                <w:color w:val="auto"/>
                <w:spacing w:val="0"/>
                <w:sz w:val="24"/>
                <w:szCs w:val="24"/>
                <w:highlight w:val="none"/>
              </w:rPr>
              <w:t>工段</w:t>
            </w:r>
            <w:r>
              <w:rPr>
                <w:rFonts w:hint="default" w:ascii="Times New Roman" w:hAnsi="Times New Roman" w:eastAsia="宋体" w:cs="Times New Roman"/>
                <w:color w:val="auto"/>
                <w:spacing w:val="0"/>
                <w:sz w:val="24"/>
                <w:szCs w:val="24"/>
                <w:highlight w:val="none"/>
                <w:lang w:val="en-US" w:eastAsia="zh-CN"/>
              </w:rPr>
              <w:t>设计</w:t>
            </w:r>
            <w:r>
              <w:rPr>
                <w:rFonts w:hint="default" w:ascii="Times New Roman" w:hAnsi="Times New Roman" w:eastAsia="宋体" w:cs="Times New Roman"/>
                <w:color w:val="auto"/>
                <w:spacing w:val="0"/>
                <w:sz w:val="24"/>
                <w:szCs w:val="24"/>
                <w:highlight w:val="none"/>
              </w:rPr>
              <w:t>风量为</w:t>
            </w:r>
            <w:r>
              <w:rPr>
                <w:rFonts w:hint="eastAsia"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val="en-US" w:eastAsia="zh-CN"/>
              </w:rPr>
              <w:t>00</w:t>
            </w:r>
            <w:r>
              <w:rPr>
                <w:rFonts w:hint="eastAsia"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能够满足该吸风要求。</w:t>
            </w:r>
          </w:p>
          <w:p w14:paraId="51B4151C">
            <w:pPr>
              <w:keepNext w:val="0"/>
              <w:keepLines w:val="0"/>
              <w:suppressLineNumbers w:val="0"/>
              <w:adjustRightInd w:val="0"/>
              <w:snapToGrid w:val="0"/>
              <w:spacing w:before="0" w:beforeAutospacing="0" w:after="0" w:afterAutospacing="0" w:line="500" w:lineRule="exact"/>
              <w:ind w:right="0" w:firstLine="482"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C.FQ-3排气筒</w:t>
            </w:r>
            <w:r>
              <w:rPr>
                <w:rFonts w:hint="default" w:ascii="Times New Roman" w:hAnsi="Times New Roman" w:eastAsia="宋体" w:cs="Times New Roman"/>
                <w:b/>
                <w:bCs/>
                <w:color w:val="auto"/>
                <w:sz w:val="24"/>
                <w:szCs w:val="24"/>
                <w:highlight w:val="none"/>
                <w:lang w:val="en-US" w:eastAsia="zh-CN"/>
              </w:rPr>
              <w:t>风量</w:t>
            </w:r>
          </w:p>
          <w:p w14:paraId="4A43E14F">
            <w:pPr>
              <w:keepNext w:val="0"/>
              <w:keepLines w:val="0"/>
              <w:widowControl/>
              <w:numPr>
                <w:ilvl w:val="0"/>
                <w:numId w:val="0"/>
              </w:numPr>
              <w:suppressLineNumbers w:val="0"/>
              <w:adjustRightInd w:val="0"/>
              <w:spacing w:before="0" w:beforeAutospacing="0" w:after="0" w:afterAutospacing="0" w:line="480" w:lineRule="exact"/>
              <w:ind w:right="0" w:rightChars="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pacing w:val="0"/>
                <w:sz w:val="24"/>
                <w:szCs w:val="24"/>
                <w:highlight w:val="none"/>
                <w:lang w:val="en-US" w:eastAsia="zh-CN"/>
              </w:rPr>
              <w:t>打胶废气</w:t>
            </w:r>
            <w:r>
              <w:rPr>
                <w:rFonts w:hint="default" w:ascii="Times New Roman" w:hAnsi="Times New Roman" w:eastAsia="宋体" w:cs="Times New Roman"/>
                <w:color w:val="auto"/>
                <w:spacing w:val="0"/>
                <w:sz w:val="24"/>
                <w:szCs w:val="24"/>
                <w:highlight w:val="none"/>
                <w:lang w:val="en-US" w:eastAsia="zh-CN"/>
              </w:rPr>
              <w:t>在</w:t>
            </w:r>
            <w:r>
              <w:rPr>
                <w:rFonts w:hint="eastAsia" w:ascii="Times New Roman" w:hAnsi="Times New Roman" w:eastAsia="宋体" w:cs="Times New Roman"/>
                <w:color w:val="auto"/>
                <w:spacing w:val="0"/>
                <w:sz w:val="24"/>
                <w:szCs w:val="24"/>
                <w:highlight w:val="none"/>
                <w:lang w:val="en-US" w:eastAsia="zh-CN"/>
              </w:rPr>
              <w:t>打胶室</w:t>
            </w:r>
            <w:r>
              <w:rPr>
                <w:rFonts w:hint="default" w:ascii="Times New Roman" w:hAnsi="Times New Roman" w:eastAsia="宋体" w:cs="Times New Roman"/>
                <w:color w:val="auto"/>
                <w:spacing w:val="0"/>
                <w:sz w:val="24"/>
                <w:szCs w:val="24"/>
                <w:highlight w:val="none"/>
                <w:lang w:val="en-US" w:eastAsia="zh-CN"/>
              </w:rPr>
              <w:t>内密闭收集，</w:t>
            </w:r>
            <w:r>
              <w:rPr>
                <w:rFonts w:hint="default" w:ascii="Times New Roman" w:hAnsi="Times New Roman" w:eastAsia="宋体" w:cs="Times New Roman"/>
                <w:color w:val="auto"/>
                <w:sz w:val="24"/>
                <w:szCs w:val="24"/>
                <w:highlight w:val="none"/>
              </w:rPr>
              <w:t>主要采用空间密闭整体换风收集方式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空间密闭换风收集排风量 L（m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/h）计算公式为</w:t>
            </w:r>
            <w:r>
              <w:rPr>
                <w:rFonts w:hint="default" w:ascii="Times New Roman" w:hAnsi="Times New Roman" w:eastAsia="宋体" w:cs="Times New Roman"/>
                <w:color w:val="auto"/>
                <w:sz w:val="24"/>
                <w:szCs w:val="24"/>
                <w:highlight w:val="none"/>
                <w:lang w:eastAsia="zh-CN"/>
              </w:rPr>
              <w:t>：</w:t>
            </w:r>
          </w:p>
          <w:p w14:paraId="17ACFB73">
            <w:pPr>
              <w:keepNext w:val="0"/>
              <w:keepLines w:val="0"/>
              <w:widowControl/>
              <w:suppressLineNumbers w:val="0"/>
              <w:adjustRightInd w:val="0"/>
              <w:spacing w:before="0" w:beforeAutospacing="0" w:after="0" w:afterAutospacing="0" w:line="480" w:lineRule="exact"/>
              <w:ind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 nVf</w:t>
            </w:r>
          </w:p>
          <w:p w14:paraId="17530769">
            <w:pPr>
              <w:keepNext w:val="0"/>
              <w:keepLines w:val="0"/>
              <w:widowControl/>
              <w:suppressLineNumbers w:val="0"/>
              <w:adjustRightInd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式中，L——全面换风量，m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 </w:t>
            </w:r>
          </w:p>
          <w:p w14:paraId="5B340FDB">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n——换气次数，1/h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 </w:t>
            </w:r>
          </w:p>
          <w:p w14:paraId="41F5946F">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Vf——通风空间体积，m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p>
          <w:p w14:paraId="5C128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pacing w:val="0"/>
                <w:sz w:val="24"/>
                <w:szCs w:val="24"/>
                <w:highlight w:val="none"/>
              </w:rPr>
            </w:pPr>
            <w:r>
              <w:rPr>
                <w:rFonts w:hint="eastAsia" w:ascii="Times New Roman" w:hAnsi="Times New Roman" w:eastAsia="宋体" w:cs="Times New Roman"/>
                <w:b w:val="0"/>
                <w:bCs/>
                <w:color w:val="auto"/>
                <w:spacing w:val="0"/>
                <w:sz w:val="24"/>
                <w:szCs w:val="24"/>
                <w:highlight w:val="none"/>
                <w:lang w:val="en-US" w:eastAsia="zh-CN"/>
              </w:rPr>
              <w:t>打胶室尺寸为：L6.0xW5.0xH3m，室</w:t>
            </w:r>
            <w:r>
              <w:rPr>
                <w:rFonts w:hint="default" w:ascii="Times New Roman" w:hAnsi="Times New Roman" w:eastAsia="宋体" w:cs="Times New Roman"/>
                <w:b w:val="0"/>
                <w:bCs/>
                <w:color w:val="auto"/>
                <w:spacing w:val="0"/>
                <w:sz w:val="24"/>
                <w:szCs w:val="24"/>
                <w:highlight w:val="none"/>
                <w:lang w:eastAsia="zh-CN"/>
              </w:rPr>
              <w:t>内空间约</w:t>
            </w:r>
            <w:r>
              <w:rPr>
                <w:rFonts w:hint="eastAsia" w:ascii="Times New Roman" w:hAnsi="Times New Roman" w:eastAsia="宋体" w:cs="Times New Roman"/>
                <w:b w:val="0"/>
                <w:bCs/>
                <w:color w:val="auto"/>
                <w:spacing w:val="0"/>
                <w:sz w:val="24"/>
                <w:szCs w:val="24"/>
                <w:highlight w:val="none"/>
                <w:lang w:val="en-US" w:eastAsia="zh-CN"/>
              </w:rPr>
              <w:t>90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，每小时换风次数为</w:t>
            </w:r>
            <w:r>
              <w:rPr>
                <w:rFonts w:hint="eastAsia" w:ascii="Times New Roman" w:hAnsi="Times New Roman" w:eastAsia="宋体" w:cs="Times New Roman"/>
                <w:b w:val="0"/>
                <w:bCs/>
                <w:color w:val="auto"/>
                <w:spacing w:val="0"/>
                <w:sz w:val="24"/>
                <w:szCs w:val="24"/>
                <w:highlight w:val="none"/>
                <w:lang w:val="en-US" w:eastAsia="zh-CN"/>
              </w:rPr>
              <w:t>2</w:t>
            </w:r>
            <w:r>
              <w:rPr>
                <w:rFonts w:hint="default" w:ascii="Times New Roman" w:hAnsi="Times New Roman" w:eastAsia="宋体" w:cs="Times New Roman"/>
                <w:b w:val="0"/>
                <w:bCs/>
                <w:color w:val="auto"/>
                <w:spacing w:val="0"/>
                <w:sz w:val="24"/>
                <w:szCs w:val="24"/>
                <w:highlight w:val="none"/>
                <w:lang w:eastAsia="zh-CN"/>
              </w:rPr>
              <w:t>0</w:t>
            </w:r>
            <w:r>
              <w:rPr>
                <w:rFonts w:hint="eastAsia" w:ascii="Times New Roman" w:hAnsi="Times New Roman" w:eastAsia="宋体" w:cs="Times New Roman"/>
                <w:b w:val="0"/>
                <w:bCs/>
                <w:color w:val="auto"/>
                <w:spacing w:val="0"/>
                <w:sz w:val="24"/>
                <w:szCs w:val="24"/>
                <w:highlight w:val="none"/>
                <w:lang w:val="en-US" w:eastAsia="zh-CN"/>
              </w:rPr>
              <w:t>0</w:t>
            </w:r>
            <w:r>
              <w:rPr>
                <w:rFonts w:hint="default" w:ascii="Times New Roman" w:hAnsi="Times New Roman" w:eastAsia="宋体" w:cs="Times New Roman"/>
                <w:b w:val="0"/>
                <w:bCs/>
                <w:color w:val="auto"/>
                <w:spacing w:val="0"/>
                <w:sz w:val="24"/>
                <w:szCs w:val="24"/>
                <w:highlight w:val="none"/>
                <w:lang w:eastAsia="zh-CN"/>
              </w:rPr>
              <w:t>次，则风量为</w:t>
            </w:r>
            <w:r>
              <w:rPr>
                <w:rFonts w:hint="eastAsia" w:ascii="Times New Roman" w:hAnsi="Times New Roman" w:eastAsia="宋体" w:cs="Times New Roman"/>
                <w:b w:val="0"/>
                <w:bCs/>
                <w:color w:val="auto"/>
                <w:spacing w:val="0"/>
                <w:sz w:val="24"/>
                <w:szCs w:val="24"/>
                <w:highlight w:val="none"/>
                <w:lang w:val="en-US" w:eastAsia="zh-CN"/>
              </w:rPr>
              <w:t>18000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r>
              <w:rPr>
                <w:rFonts w:hint="default" w:ascii="Times New Roman" w:hAnsi="Times New Roman" w:eastAsia="宋体" w:cs="Times New Roman"/>
                <w:color w:val="auto"/>
                <w:spacing w:val="0"/>
                <w:sz w:val="24"/>
                <w:szCs w:val="24"/>
                <w:highlight w:val="none"/>
              </w:rPr>
              <w:t>考虑到风管压损</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color w:val="auto"/>
                <w:spacing w:val="0"/>
                <w:sz w:val="24"/>
                <w:szCs w:val="24"/>
                <w:highlight w:val="none"/>
                <w:lang w:val="en-US" w:eastAsia="zh-CN"/>
              </w:rPr>
              <w:t>打</w:t>
            </w:r>
            <w:r>
              <w:rPr>
                <w:rFonts w:hint="eastAsia" w:ascii="Times New Roman" w:hAnsi="Times New Roman" w:eastAsia="宋体" w:cs="Times New Roman"/>
                <w:color w:val="auto"/>
                <w:spacing w:val="0"/>
                <w:sz w:val="24"/>
                <w:szCs w:val="24"/>
                <w:highlight w:val="none"/>
                <w:lang w:val="en-US" w:eastAsia="zh-CN"/>
              </w:rPr>
              <w:t>胶</w:t>
            </w:r>
            <w:r>
              <w:rPr>
                <w:rFonts w:hint="default" w:ascii="Times New Roman" w:hAnsi="Times New Roman" w:eastAsia="宋体" w:cs="Times New Roman"/>
                <w:color w:val="auto"/>
                <w:spacing w:val="0"/>
                <w:sz w:val="24"/>
                <w:szCs w:val="24"/>
                <w:highlight w:val="none"/>
              </w:rPr>
              <w:t>工段</w:t>
            </w:r>
            <w:r>
              <w:rPr>
                <w:rFonts w:hint="default" w:ascii="Times New Roman" w:hAnsi="Times New Roman" w:eastAsia="宋体" w:cs="Times New Roman"/>
                <w:color w:val="auto"/>
                <w:spacing w:val="0"/>
                <w:sz w:val="24"/>
                <w:szCs w:val="24"/>
                <w:highlight w:val="none"/>
                <w:lang w:val="en-US" w:eastAsia="zh-CN"/>
              </w:rPr>
              <w:t>设计</w:t>
            </w:r>
            <w:r>
              <w:rPr>
                <w:rFonts w:hint="default" w:ascii="Times New Roman" w:hAnsi="Times New Roman" w:eastAsia="宋体" w:cs="Times New Roman"/>
                <w:color w:val="auto"/>
                <w:spacing w:val="0"/>
                <w:sz w:val="24"/>
                <w:szCs w:val="24"/>
                <w:highlight w:val="none"/>
              </w:rPr>
              <w:t>风量为</w:t>
            </w:r>
            <w:r>
              <w:rPr>
                <w:rFonts w:hint="eastAsia" w:ascii="Times New Roman" w:hAnsi="Times New Roman" w:eastAsia="宋体" w:cs="Times New Roman"/>
                <w:color w:val="auto"/>
                <w:spacing w:val="0"/>
                <w:sz w:val="24"/>
                <w:szCs w:val="24"/>
                <w:highlight w:val="none"/>
                <w:lang w:val="en-US" w:eastAsia="zh-CN"/>
              </w:rPr>
              <w:t>200</w:t>
            </w:r>
            <w:r>
              <w:rPr>
                <w:rFonts w:hint="default" w:ascii="Times New Roman" w:hAnsi="Times New Roman" w:eastAsia="宋体" w:cs="Times New Roman"/>
                <w:color w:val="auto"/>
                <w:spacing w:val="0"/>
                <w:sz w:val="24"/>
                <w:szCs w:val="24"/>
                <w:highlight w:val="none"/>
                <w:lang w:val="en-US" w:eastAsia="zh-CN"/>
              </w:rPr>
              <w:t>00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能够满足该吸风要求。</w:t>
            </w:r>
          </w:p>
          <w:p w14:paraId="773219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default" w:ascii="Times New Roman" w:hAnsi="Times New Roman" w:eastAsia="宋体" w:cs="Times New Roman"/>
                <w:b/>
                <w:bCs/>
                <w:color w:val="auto"/>
                <w:sz w:val="24"/>
                <w:szCs w:val="24"/>
                <w:highlight w:val="none"/>
                <w:lang w:val="en-US" w:eastAsia="zh-CN" w:bidi="ar"/>
              </w:rPr>
              <w:t>③废气处理装置运行原理</w:t>
            </w:r>
          </w:p>
          <w:p w14:paraId="203D398A">
            <w:pPr>
              <w:pStyle w:val="59"/>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color w:val="auto"/>
                <w:sz w:val="24"/>
                <w:highlight w:val="none"/>
                <w:lang w:val="en-US" w:eastAsia="zh-CN"/>
              </w:rPr>
              <w:t>A.二级活性炭装置</w:t>
            </w:r>
          </w:p>
          <w:p w14:paraId="4B16CE37">
            <w:pPr>
              <w:pStyle w:val="59"/>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auto"/>
                <w:spacing w:val="0"/>
                <w:sz w:val="24"/>
                <w:highlight w:val="none"/>
                <w:lang w:val="en-US" w:eastAsia="zh-CN"/>
              </w:rPr>
            </w:pPr>
            <w:r>
              <w:rPr>
                <w:rFonts w:hint="default" w:ascii="Times New Roman" w:hAnsi="Times New Roman" w:eastAsia="宋体" w:cs="Times New Roman"/>
                <w:b w:val="0"/>
                <w:bCs w:val="0"/>
                <w:color w:val="auto"/>
                <w:spacing w:val="0"/>
                <w:sz w:val="24"/>
                <w:highlight w:val="none"/>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highlight w:val="none"/>
                <w:lang w:val="en-US" w:eastAsia="zh-CN"/>
              </w:rPr>
              <w:fldChar w:fldCharType="begin"/>
            </w:r>
            <w:r>
              <w:rPr>
                <w:rFonts w:hint="default" w:ascii="Times New Roman" w:hAnsi="Times New Roman" w:eastAsia="宋体" w:cs="Times New Roman"/>
                <w:b w:val="0"/>
                <w:bCs w:val="0"/>
                <w:color w:val="auto"/>
                <w:spacing w:val="0"/>
                <w:sz w:val="24"/>
                <w:highlight w:val="none"/>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highlight w:val="none"/>
                <w:lang w:val="en-US" w:eastAsia="zh-CN"/>
              </w:rPr>
              <w:fldChar w:fldCharType="separate"/>
            </w:r>
            <w:r>
              <w:rPr>
                <w:rFonts w:hint="default" w:ascii="Times New Roman" w:hAnsi="Times New Roman" w:eastAsia="宋体" w:cs="Times New Roman"/>
                <w:b w:val="0"/>
                <w:bCs w:val="0"/>
                <w:color w:val="auto"/>
                <w:spacing w:val="0"/>
                <w:sz w:val="24"/>
                <w:highlight w:val="none"/>
                <w:lang w:val="en-US" w:eastAsia="zh-CN"/>
              </w:rPr>
              <w:t>活性炭</w:t>
            </w:r>
            <w:r>
              <w:rPr>
                <w:rFonts w:hint="default" w:ascii="Times New Roman" w:hAnsi="Times New Roman" w:eastAsia="宋体" w:cs="Times New Roman"/>
                <w:b w:val="0"/>
                <w:bCs w:val="0"/>
                <w:color w:val="auto"/>
                <w:spacing w:val="0"/>
                <w:sz w:val="24"/>
                <w:highlight w:val="none"/>
                <w:lang w:val="en-US" w:eastAsia="zh-CN"/>
              </w:rPr>
              <w:fldChar w:fldCharType="end"/>
            </w:r>
            <w:r>
              <w:rPr>
                <w:rFonts w:hint="default" w:ascii="Times New Roman" w:hAnsi="Times New Roman" w:eastAsia="宋体" w:cs="Times New Roman"/>
                <w:b w:val="0"/>
                <w:bCs w:val="0"/>
                <w:color w:val="auto"/>
                <w:spacing w:val="0"/>
                <w:sz w:val="24"/>
                <w:highlight w:val="none"/>
                <w:lang w:val="en-US" w:eastAsia="zh-CN"/>
              </w:rPr>
              <w:t>的多孔结构为其提供了大量的表面积，能与气体（杂质）充分接触，从而赋予了</w:t>
            </w:r>
            <w:r>
              <w:rPr>
                <w:rFonts w:hint="default" w:ascii="Times New Roman" w:hAnsi="Times New Roman" w:eastAsia="宋体" w:cs="Times New Roman"/>
                <w:b w:val="0"/>
                <w:bCs w:val="0"/>
                <w:color w:val="auto"/>
                <w:spacing w:val="0"/>
                <w:sz w:val="24"/>
                <w:highlight w:val="none"/>
                <w:lang w:val="en-US" w:eastAsia="zh-CN"/>
              </w:rPr>
              <w:fldChar w:fldCharType="begin"/>
            </w:r>
            <w:r>
              <w:rPr>
                <w:rFonts w:hint="default" w:ascii="Times New Roman" w:hAnsi="Times New Roman" w:eastAsia="宋体" w:cs="Times New Roman"/>
                <w:b w:val="0"/>
                <w:bCs w:val="0"/>
                <w:color w:val="auto"/>
                <w:spacing w:val="0"/>
                <w:sz w:val="24"/>
                <w:highlight w:val="none"/>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highlight w:val="none"/>
                <w:lang w:val="en-US" w:eastAsia="zh-CN"/>
              </w:rPr>
              <w:fldChar w:fldCharType="separate"/>
            </w:r>
            <w:r>
              <w:rPr>
                <w:rFonts w:hint="default" w:ascii="Times New Roman" w:hAnsi="Times New Roman" w:eastAsia="宋体" w:cs="Times New Roman"/>
                <w:b w:val="0"/>
                <w:bCs w:val="0"/>
                <w:color w:val="auto"/>
                <w:spacing w:val="0"/>
                <w:sz w:val="24"/>
                <w:highlight w:val="none"/>
                <w:lang w:val="en-US" w:eastAsia="zh-CN"/>
              </w:rPr>
              <w:t>活性炭</w:t>
            </w:r>
            <w:r>
              <w:rPr>
                <w:rFonts w:hint="default" w:ascii="Times New Roman" w:hAnsi="Times New Roman" w:eastAsia="宋体" w:cs="Times New Roman"/>
                <w:b w:val="0"/>
                <w:bCs w:val="0"/>
                <w:color w:val="auto"/>
                <w:spacing w:val="0"/>
                <w:sz w:val="24"/>
                <w:highlight w:val="none"/>
                <w:lang w:val="en-US" w:eastAsia="zh-CN"/>
              </w:rPr>
              <w:fldChar w:fldCharType="end"/>
            </w:r>
            <w:r>
              <w:rPr>
                <w:rFonts w:hint="default" w:ascii="Times New Roman" w:hAnsi="Times New Roman" w:eastAsia="宋体" w:cs="Times New Roman"/>
                <w:b w:val="0"/>
                <w:bCs w:val="0"/>
                <w:color w:val="auto"/>
                <w:spacing w:val="0"/>
                <w:sz w:val="24"/>
                <w:highlight w:val="none"/>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highlight w:val="none"/>
                <w:lang w:val="en-US" w:eastAsia="zh-CN"/>
              </w:rPr>
              <w:fldChar w:fldCharType="begin"/>
            </w:r>
            <w:r>
              <w:rPr>
                <w:rFonts w:hint="default" w:ascii="Times New Roman" w:hAnsi="Times New Roman" w:eastAsia="宋体" w:cs="Times New Roman"/>
                <w:b w:val="0"/>
                <w:bCs w:val="0"/>
                <w:color w:val="auto"/>
                <w:spacing w:val="0"/>
                <w:sz w:val="24"/>
                <w:highlight w:val="none"/>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highlight w:val="none"/>
                <w:lang w:val="en-US" w:eastAsia="zh-CN"/>
              </w:rPr>
              <w:fldChar w:fldCharType="separate"/>
            </w:r>
            <w:r>
              <w:rPr>
                <w:rFonts w:hint="default" w:ascii="Times New Roman" w:hAnsi="Times New Roman" w:eastAsia="宋体" w:cs="Times New Roman"/>
                <w:b w:val="0"/>
                <w:bCs w:val="0"/>
                <w:color w:val="auto"/>
                <w:spacing w:val="0"/>
                <w:sz w:val="24"/>
                <w:highlight w:val="none"/>
                <w:lang w:val="en-US" w:eastAsia="zh-CN"/>
              </w:rPr>
              <w:t>磁力</w:t>
            </w:r>
            <w:r>
              <w:rPr>
                <w:rFonts w:hint="default" w:ascii="Times New Roman" w:hAnsi="Times New Roman" w:eastAsia="宋体" w:cs="Times New Roman"/>
                <w:b w:val="0"/>
                <w:bCs w:val="0"/>
                <w:color w:val="auto"/>
                <w:spacing w:val="0"/>
                <w:sz w:val="24"/>
                <w:highlight w:val="none"/>
                <w:lang w:val="en-US" w:eastAsia="zh-CN"/>
              </w:rPr>
              <w:fldChar w:fldCharType="end"/>
            </w:r>
            <w:r>
              <w:rPr>
                <w:rFonts w:hint="default" w:ascii="Times New Roman" w:hAnsi="Times New Roman" w:eastAsia="宋体" w:cs="Times New Roman"/>
                <w:b w:val="0"/>
                <w:bCs w:val="0"/>
                <w:color w:val="auto"/>
                <w:spacing w:val="0"/>
                <w:sz w:val="24"/>
                <w:highlight w:val="none"/>
                <w:lang w:val="en-US" w:eastAsia="zh-CN"/>
              </w:rPr>
              <w:t>一样，所有的分子之间都具有相互引力。正因为如此，活性炭孔壁上的大量的分子可以产生强大的引力，从而达到将有害的杂质吸引到孔径中的目的。</w:t>
            </w:r>
          </w:p>
          <w:p w14:paraId="0F071FF4">
            <w:pPr>
              <w:pStyle w:val="59"/>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b w:val="0"/>
                <w:bCs w:val="0"/>
                <w:color w:val="auto"/>
                <w:spacing w:val="0"/>
                <w:sz w:val="24"/>
                <w:highlight w:val="none"/>
                <w:lang w:val="en-US" w:eastAsia="zh-CN"/>
              </w:rPr>
            </w:pPr>
            <w:r>
              <w:rPr>
                <w:rFonts w:hint="default" w:ascii="Times New Roman" w:hAnsi="Times New Roman" w:eastAsia="宋体" w:cs="Times New Roman"/>
                <w:b/>
                <w:bCs/>
                <w:color w:val="auto"/>
                <w:spacing w:val="0"/>
                <w:sz w:val="24"/>
                <w:highlight w:val="none"/>
                <w:lang w:val="en-US" w:eastAsia="zh-CN"/>
              </w:rPr>
              <w:t>处理可行性及达标分析：</w:t>
            </w:r>
            <w:r>
              <w:rPr>
                <w:rFonts w:hint="default" w:ascii="Times New Roman" w:hAnsi="Times New Roman" w:eastAsia="宋体" w:cs="Times New Roman"/>
                <w:b w:val="0"/>
                <w:bCs w:val="0"/>
                <w:color w:val="auto"/>
                <w:spacing w:val="0"/>
                <w:sz w:val="24"/>
                <w:highlight w:val="none"/>
                <w:lang w:val="en-US" w:eastAsia="zh-CN"/>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5F3D9154">
            <w:pPr>
              <w:keepNext w:val="0"/>
              <w:keepLines w:val="0"/>
              <w:pageBreakBefore w:val="0"/>
              <w:kinsoku/>
              <w:wordWrap/>
              <w:overflowPunct/>
              <w:topLinePunct w:val="0"/>
              <w:autoSpaceDE/>
              <w:autoSpaceDN/>
              <w:bidi w:val="0"/>
              <w:adjustRightInd w:val="0"/>
              <w:snapToGrid w:val="0"/>
              <w:spacing w:before="72" w:beforeLines="30"/>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eastAsia="zh-CN"/>
              </w:rPr>
              <w:t>表</w:t>
            </w:r>
            <w:r>
              <w:rPr>
                <w:rFonts w:hint="default" w:ascii="Times New Roman" w:hAnsi="Times New Roman" w:eastAsia="宋体" w:cs="Times New Roman"/>
                <w:b/>
                <w:color w:val="auto"/>
                <w:sz w:val="24"/>
                <w:highlight w:val="none"/>
                <w:lang w:val="en-US" w:eastAsia="zh-CN"/>
              </w:rPr>
              <w:t>4-</w:t>
            </w:r>
            <w:r>
              <w:rPr>
                <w:rFonts w:hint="eastAsia"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lang w:eastAsia="zh-CN"/>
              </w:rPr>
              <w:t xml:space="preserve"> 活性炭装置技术参数</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11"/>
              <w:gridCol w:w="2220"/>
              <w:gridCol w:w="1763"/>
              <w:gridCol w:w="1654"/>
              <w:gridCol w:w="2312"/>
            </w:tblGrid>
            <w:tr w14:paraId="4AF4F8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01" w:hRule="atLeast"/>
                <w:tblHeader/>
                <w:jc w:val="center"/>
              </w:trPr>
              <w:tc>
                <w:tcPr>
                  <w:tcW w:w="245" w:type="pct"/>
                  <w:vMerge w:val="restart"/>
                  <w:shd w:val="clear" w:color="auto" w:fill="FFFFFF"/>
                  <w:noWrap/>
                  <w:vAlign w:val="center"/>
                </w:tcPr>
                <w:p w14:paraId="30486F1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327" w:type="pct"/>
                  <w:vMerge w:val="restart"/>
                  <w:shd w:val="clear" w:color="auto" w:fill="FFFFFF"/>
                  <w:noWrap/>
                  <w:vAlign w:val="center"/>
                </w:tcPr>
                <w:p w14:paraId="6AB61AA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    称</w:t>
                  </w:r>
                </w:p>
              </w:tc>
              <w:tc>
                <w:tcPr>
                  <w:tcW w:w="2043" w:type="pct"/>
                  <w:gridSpan w:val="2"/>
                  <w:shd w:val="clear" w:color="auto" w:fill="FFFFFF"/>
                  <w:noWrap/>
                  <w:vAlign w:val="center"/>
                </w:tcPr>
                <w:p w14:paraId="0A2E53A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技术参数</w:t>
                  </w:r>
                </w:p>
              </w:tc>
              <w:tc>
                <w:tcPr>
                  <w:tcW w:w="1382" w:type="pct"/>
                  <w:vMerge w:val="restart"/>
                  <w:shd w:val="clear" w:color="auto" w:fill="FFFFFF"/>
                  <w:noWrap/>
                  <w:vAlign w:val="center"/>
                </w:tcPr>
                <w:p w14:paraId="177C584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《吸附法工业有机废气治理工程技术规范（HJ2026-2013）》要求</w:t>
                  </w:r>
                </w:p>
              </w:tc>
            </w:tr>
            <w:tr w14:paraId="61C51C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01" w:hRule="atLeast"/>
                <w:tblHeader/>
                <w:jc w:val="center"/>
              </w:trPr>
              <w:tc>
                <w:tcPr>
                  <w:tcW w:w="245" w:type="pct"/>
                  <w:vMerge w:val="continue"/>
                  <w:shd w:val="clear" w:color="auto" w:fill="FFFFFF"/>
                  <w:noWrap/>
                  <w:vAlign w:val="center"/>
                </w:tcPr>
                <w:p w14:paraId="68B88567">
                  <w:pPr>
                    <w:keepNext w:val="0"/>
                    <w:keepLines w:val="0"/>
                    <w:pageBreakBefore w:val="0"/>
                    <w:widowControl/>
                    <w:kinsoku/>
                    <w:wordWrap/>
                    <w:overflowPunct/>
                    <w:topLinePunct w:val="0"/>
                    <w:autoSpaceDE/>
                    <w:autoSpaceDN/>
                    <w:bidi w:val="0"/>
                    <w:adjustRightInd w:val="0"/>
                    <w:snapToGrid w:val="0"/>
                    <w:jc w:val="center"/>
                    <w:rPr>
                      <w:color w:val="auto"/>
                      <w:highlight w:val="none"/>
                    </w:rPr>
                  </w:pPr>
                </w:p>
              </w:tc>
              <w:tc>
                <w:tcPr>
                  <w:tcW w:w="1327" w:type="pct"/>
                  <w:vMerge w:val="continue"/>
                  <w:shd w:val="clear" w:color="auto" w:fill="FFFFFF"/>
                  <w:noWrap/>
                  <w:vAlign w:val="center"/>
                </w:tcPr>
                <w:p w14:paraId="16C8C09A">
                  <w:pPr>
                    <w:keepNext w:val="0"/>
                    <w:keepLines w:val="0"/>
                    <w:pageBreakBefore w:val="0"/>
                    <w:widowControl/>
                    <w:kinsoku/>
                    <w:wordWrap/>
                    <w:overflowPunct/>
                    <w:topLinePunct w:val="0"/>
                    <w:autoSpaceDE/>
                    <w:autoSpaceDN/>
                    <w:bidi w:val="0"/>
                    <w:adjustRightInd w:val="0"/>
                    <w:snapToGrid w:val="0"/>
                    <w:jc w:val="center"/>
                    <w:rPr>
                      <w:color w:val="auto"/>
                      <w:highlight w:val="none"/>
                    </w:rPr>
                  </w:pPr>
                </w:p>
              </w:tc>
              <w:tc>
                <w:tcPr>
                  <w:tcW w:w="1054" w:type="pct"/>
                  <w:shd w:val="clear" w:color="auto" w:fill="FFFFFF"/>
                  <w:noWrap/>
                  <w:vAlign w:val="center"/>
                </w:tcPr>
                <w:p w14:paraId="1EFA9F3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1#二级活性炭</w:t>
                  </w:r>
                </w:p>
              </w:tc>
              <w:tc>
                <w:tcPr>
                  <w:tcW w:w="989" w:type="pct"/>
                  <w:shd w:val="clear" w:color="auto" w:fill="FFFFFF"/>
                  <w:noWrap/>
                  <w:vAlign w:val="center"/>
                </w:tcPr>
                <w:p w14:paraId="6E63DF1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lang w:val="en-US" w:eastAsia="zh-CN"/>
                    </w:rPr>
                    <w:t>2#二级活性炭</w:t>
                  </w:r>
                </w:p>
              </w:tc>
              <w:tc>
                <w:tcPr>
                  <w:tcW w:w="1382" w:type="pct"/>
                  <w:vMerge w:val="continue"/>
                  <w:shd w:val="clear" w:color="auto" w:fill="FFFFFF"/>
                  <w:noWrap/>
                  <w:vAlign w:val="center"/>
                </w:tcPr>
                <w:p w14:paraId="2602ECAE">
                  <w:pPr>
                    <w:keepNext w:val="0"/>
                    <w:keepLines w:val="0"/>
                    <w:pageBreakBefore w:val="0"/>
                    <w:widowControl/>
                    <w:kinsoku/>
                    <w:wordWrap/>
                    <w:overflowPunct/>
                    <w:topLinePunct w:val="0"/>
                    <w:autoSpaceDE/>
                    <w:autoSpaceDN/>
                    <w:bidi w:val="0"/>
                    <w:adjustRightInd w:val="0"/>
                    <w:snapToGrid w:val="0"/>
                    <w:jc w:val="center"/>
                    <w:rPr>
                      <w:color w:val="auto"/>
                      <w:highlight w:val="none"/>
                    </w:rPr>
                  </w:pPr>
                </w:p>
              </w:tc>
            </w:tr>
            <w:tr w14:paraId="52829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4C08CEF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327" w:type="pct"/>
                  <w:shd w:val="clear" w:color="auto" w:fill="auto"/>
                  <w:noWrap/>
                  <w:vAlign w:val="center"/>
                </w:tcPr>
                <w:p w14:paraId="7863349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废气净化方式</w:t>
                  </w:r>
                </w:p>
              </w:tc>
              <w:tc>
                <w:tcPr>
                  <w:tcW w:w="1054" w:type="pct"/>
                  <w:shd w:val="clear" w:color="auto" w:fill="auto"/>
                  <w:noWrap/>
                  <w:vAlign w:val="center"/>
                </w:tcPr>
                <w:p w14:paraId="1380911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活性炭吸附处理</w:t>
                  </w:r>
                </w:p>
              </w:tc>
              <w:tc>
                <w:tcPr>
                  <w:tcW w:w="989" w:type="pct"/>
                  <w:shd w:val="clear" w:color="auto" w:fill="auto"/>
                  <w:noWrap/>
                  <w:vAlign w:val="center"/>
                </w:tcPr>
                <w:p w14:paraId="52B8BDE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活性炭吸附处理</w:t>
                  </w:r>
                </w:p>
              </w:tc>
              <w:tc>
                <w:tcPr>
                  <w:tcW w:w="1382" w:type="pct"/>
                  <w:shd w:val="clear" w:color="auto" w:fill="auto"/>
                  <w:noWrap/>
                  <w:vAlign w:val="center"/>
                </w:tcPr>
                <w:p w14:paraId="1A3D088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79F3B1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5A2B335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327" w:type="pct"/>
                  <w:shd w:val="clear" w:color="auto" w:fill="auto"/>
                  <w:noWrap/>
                  <w:vAlign w:val="center"/>
                </w:tcPr>
                <w:p w14:paraId="1079029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风量</w:t>
                  </w:r>
                </w:p>
              </w:tc>
              <w:tc>
                <w:tcPr>
                  <w:tcW w:w="1054" w:type="pct"/>
                  <w:shd w:val="clear" w:color="auto" w:fill="auto"/>
                  <w:noWrap/>
                  <w:vAlign w:val="center"/>
                </w:tcPr>
                <w:p w14:paraId="416B675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lang w:val="en-US" w:eastAsia="zh-CN"/>
                    </w:rPr>
                    <w:t>0</w:t>
                  </w:r>
                  <w:r>
                    <w:rPr>
                      <w:rFonts w:hint="default" w:ascii="Times New Roman" w:hAnsi="Times New Roman" w:eastAsia="宋体" w:cs="Times New Roman"/>
                      <w:snapToGrid w:val="0"/>
                      <w:color w:val="auto"/>
                      <w:kern w:val="0"/>
                      <w:sz w:val="21"/>
                      <w:szCs w:val="21"/>
                      <w:highlight w:val="none"/>
                    </w:rPr>
                    <w:t>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p>
              </w:tc>
              <w:tc>
                <w:tcPr>
                  <w:tcW w:w="989" w:type="pct"/>
                  <w:shd w:val="clear" w:color="auto" w:fill="auto"/>
                  <w:noWrap/>
                  <w:vAlign w:val="center"/>
                </w:tcPr>
                <w:p w14:paraId="49520D6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lang w:val="en-US" w:eastAsia="zh-CN"/>
                    </w:rPr>
                    <w:t>0</w:t>
                  </w:r>
                  <w:r>
                    <w:rPr>
                      <w:rFonts w:hint="default" w:ascii="Times New Roman" w:hAnsi="Times New Roman" w:eastAsia="宋体" w:cs="Times New Roman"/>
                      <w:snapToGrid w:val="0"/>
                      <w:color w:val="auto"/>
                      <w:kern w:val="0"/>
                      <w:sz w:val="21"/>
                      <w:szCs w:val="21"/>
                      <w:highlight w:val="none"/>
                    </w:rPr>
                    <w:t>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p>
              </w:tc>
              <w:tc>
                <w:tcPr>
                  <w:tcW w:w="1382" w:type="pct"/>
                  <w:shd w:val="clear" w:color="auto" w:fill="auto"/>
                  <w:noWrap/>
                  <w:vAlign w:val="center"/>
                </w:tcPr>
                <w:p w14:paraId="358BA56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1E18A3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4411B0E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327" w:type="pct"/>
                  <w:shd w:val="clear" w:color="auto" w:fill="auto"/>
                  <w:noWrap/>
                  <w:vAlign w:val="center"/>
                </w:tcPr>
                <w:p w14:paraId="67CE5C1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废气温度</w:t>
                  </w:r>
                </w:p>
              </w:tc>
              <w:tc>
                <w:tcPr>
                  <w:tcW w:w="1054" w:type="pct"/>
                  <w:shd w:val="clear" w:color="auto" w:fill="auto"/>
                  <w:noWrap/>
                  <w:vAlign w:val="center"/>
                </w:tcPr>
                <w:p w14:paraId="27648C8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≤40℃</w:t>
                  </w:r>
                </w:p>
              </w:tc>
              <w:tc>
                <w:tcPr>
                  <w:tcW w:w="989" w:type="pct"/>
                  <w:shd w:val="clear" w:color="auto" w:fill="auto"/>
                  <w:noWrap/>
                  <w:vAlign w:val="center"/>
                </w:tcPr>
                <w:p w14:paraId="6FBE755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≤40℃</w:t>
                  </w:r>
                </w:p>
              </w:tc>
              <w:tc>
                <w:tcPr>
                  <w:tcW w:w="1382" w:type="pct"/>
                  <w:shd w:val="clear" w:color="auto" w:fill="auto"/>
                  <w:noWrap/>
                  <w:vAlign w:val="center"/>
                </w:tcPr>
                <w:p w14:paraId="0B612C5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7B9CB0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1A71F01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327" w:type="pct"/>
                  <w:shd w:val="clear" w:color="auto" w:fill="auto"/>
                  <w:noWrap/>
                  <w:vAlign w:val="center"/>
                </w:tcPr>
                <w:p w14:paraId="2E47DAF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活性炭安装方式</w:t>
                  </w:r>
                </w:p>
              </w:tc>
              <w:tc>
                <w:tcPr>
                  <w:tcW w:w="1054" w:type="pct"/>
                  <w:shd w:val="clear" w:color="auto" w:fill="auto"/>
                  <w:noWrap/>
                  <w:vAlign w:val="center"/>
                </w:tcPr>
                <w:p w14:paraId="6D87624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上装式，由活性炭、活性炭托盘、箱体组成</w:t>
                  </w:r>
                </w:p>
              </w:tc>
              <w:tc>
                <w:tcPr>
                  <w:tcW w:w="989" w:type="pct"/>
                  <w:shd w:val="clear" w:color="auto" w:fill="auto"/>
                  <w:noWrap/>
                  <w:vAlign w:val="center"/>
                </w:tcPr>
                <w:p w14:paraId="041FD40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上装式，由活性炭、活性炭托盘、箱体组成</w:t>
                  </w:r>
                </w:p>
              </w:tc>
              <w:tc>
                <w:tcPr>
                  <w:tcW w:w="1382" w:type="pct"/>
                  <w:shd w:val="clear" w:color="auto" w:fill="auto"/>
                  <w:noWrap/>
                  <w:vAlign w:val="center"/>
                </w:tcPr>
                <w:p w14:paraId="05A4E61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5DA65C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2AF2FFC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327" w:type="pct"/>
                  <w:shd w:val="clear" w:color="auto" w:fill="auto"/>
                  <w:noWrap/>
                  <w:vAlign w:val="center"/>
                </w:tcPr>
                <w:p w14:paraId="1A939BA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箱体规格（长度×宽度×高度）</w:t>
                  </w:r>
                </w:p>
              </w:tc>
              <w:tc>
                <w:tcPr>
                  <w:tcW w:w="1054" w:type="pct"/>
                  <w:shd w:val="clear" w:color="auto" w:fill="auto"/>
                  <w:noWrap/>
                  <w:vAlign w:val="center"/>
                </w:tcPr>
                <w:p w14:paraId="598BA3D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2.5m×</w:t>
                  </w:r>
                  <w:r>
                    <w:rPr>
                      <w:rFonts w:hint="default" w:ascii="Times New Roman" w:hAnsi="Times New Roman" w:eastAsia="宋体"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.0m</w:t>
                  </w:r>
                </w:p>
              </w:tc>
              <w:tc>
                <w:tcPr>
                  <w:tcW w:w="989" w:type="pct"/>
                  <w:shd w:val="clear" w:color="auto" w:fill="auto"/>
                  <w:noWrap/>
                  <w:vAlign w:val="center"/>
                </w:tcPr>
                <w:p w14:paraId="11FDA8E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1.5</w:t>
                  </w:r>
                  <w:r>
                    <w:rPr>
                      <w:rFonts w:hint="default" w:ascii="Times New Roman" w:hAnsi="Times New Roman" w:eastAsia="宋体" w:cs="Times New Roman"/>
                      <w:snapToGrid w:val="0"/>
                      <w:color w:val="auto"/>
                      <w:kern w:val="0"/>
                      <w:sz w:val="21"/>
                      <w:szCs w:val="21"/>
                      <w:highlight w:val="none"/>
                    </w:rPr>
                    <w:t>m×</w:t>
                  </w:r>
                  <w:r>
                    <w:rPr>
                      <w:rFonts w:hint="eastAsia"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lang w:val="en-US" w:eastAsia="zh-CN"/>
                    </w:rPr>
                    <w:t>.0</w:t>
                  </w:r>
                  <w:r>
                    <w:rPr>
                      <w:rFonts w:hint="default" w:ascii="Times New Roman" w:hAnsi="Times New Roman" w:eastAsia="宋体" w:cs="Times New Roman"/>
                      <w:snapToGrid w:val="0"/>
                      <w:color w:val="auto"/>
                      <w:kern w:val="0"/>
                      <w:sz w:val="21"/>
                      <w:szCs w:val="21"/>
                      <w:highlight w:val="none"/>
                    </w:rPr>
                    <w:t>m×</w:t>
                  </w:r>
                  <w:r>
                    <w:rPr>
                      <w:rFonts w:hint="eastAsia" w:ascii="Times New Roman" w:hAnsi="Times New Roman" w:eastAsia="宋体" w:cs="Times New Roman"/>
                      <w:snapToGrid w:val="0"/>
                      <w:color w:val="auto"/>
                      <w:kern w:val="0"/>
                      <w:sz w:val="21"/>
                      <w:szCs w:val="21"/>
                      <w:highlight w:val="none"/>
                      <w:lang w:val="en-US" w:eastAsia="zh-CN"/>
                    </w:rPr>
                    <w:t>0.7</w:t>
                  </w:r>
                  <w:r>
                    <w:rPr>
                      <w:rFonts w:hint="default" w:ascii="Times New Roman" w:hAnsi="Times New Roman" w:eastAsia="宋体" w:cs="Times New Roman"/>
                      <w:snapToGrid w:val="0"/>
                      <w:color w:val="auto"/>
                      <w:kern w:val="0"/>
                      <w:sz w:val="21"/>
                      <w:szCs w:val="21"/>
                      <w:highlight w:val="none"/>
                    </w:rPr>
                    <w:t>m</w:t>
                  </w:r>
                </w:p>
              </w:tc>
              <w:tc>
                <w:tcPr>
                  <w:tcW w:w="1382" w:type="pct"/>
                  <w:shd w:val="clear" w:color="auto" w:fill="auto"/>
                  <w:noWrap/>
                  <w:vAlign w:val="center"/>
                </w:tcPr>
                <w:p w14:paraId="376EADE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49A998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09701D7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327" w:type="pct"/>
                  <w:shd w:val="clear" w:color="auto" w:fill="auto"/>
                  <w:noWrap/>
                  <w:vAlign w:val="center"/>
                </w:tcPr>
                <w:p w14:paraId="50ACB64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活性炭类型</w:t>
                  </w:r>
                </w:p>
              </w:tc>
              <w:tc>
                <w:tcPr>
                  <w:tcW w:w="1054" w:type="pct"/>
                  <w:shd w:val="clear" w:color="auto" w:fill="auto"/>
                  <w:noWrap/>
                  <w:vAlign w:val="center"/>
                </w:tcPr>
                <w:p w14:paraId="3DD34D6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蜂窝</w:t>
                  </w:r>
                  <w:r>
                    <w:rPr>
                      <w:rFonts w:hint="default" w:ascii="Times New Roman" w:hAnsi="Times New Roman" w:eastAsia="宋体" w:cs="Times New Roman"/>
                      <w:snapToGrid w:val="0"/>
                      <w:color w:val="auto"/>
                      <w:kern w:val="0"/>
                      <w:sz w:val="21"/>
                      <w:szCs w:val="21"/>
                      <w:highlight w:val="none"/>
                    </w:rPr>
                    <w:t>状活性炭</w:t>
                  </w:r>
                </w:p>
              </w:tc>
              <w:tc>
                <w:tcPr>
                  <w:tcW w:w="989" w:type="pct"/>
                  <w:shd w:val="clear" w:color="auto" w:fill="auto"/>
                  <w:noWrap/>
                  <w:vAlign w:val="center"/>
                </w:tcPr>
                <w:p w14:paraId="64BFEA7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蜂窝</w:t>
                  </w:r>
                  <w:r>
                    <w:rPr>
                      <w:rFonts w:hint="default" w:ascii="Times New Roman" w:hAnsi="Times New Roman" w:eastAsia="宋体" w:cs="Times New Roman"/>
                      <w:snapToGrid w:val="0"/>
                      <w:color w:val="auto"/>
                      <w:kern w:val="0"/>
                      <w:sz w:val="21"/>
                      <w:szCs w:val="21"/>
                      <w:highlight w:val="none"/>
                    </w:rPr>
                    <w:t>状活性炭</w:t>
                  </w:r>
                </w:p>
              </w:tc>
              <w:tc>
                <w:tcPr>
                  <w:tcW w:w="1382" w:type="pct"/>
                  <w:shd w:val="clear" w:color="auto" w:fill="auto"/>
                  <w:noWrap/>
                  <w:vAlign w:val="center"/>
                </w:tcPr>
                <w:p w14:paraId="4ADB569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49197D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1060305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327" w:type="pct"/>
                  <w:shd w:val="clear" w:color="auto" w:fill="auto"/>
                  <w:noWrap/>
                  <w:vAlign w:val="center"/>
                </w:tcPr>
                <w:p w14:paraId="4468F90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比表面积（m</w:t>
                  </w:r>
                  <w:r>
                    <w:rPr>
                      <w:rFonts w:hint="default" w:ascii="Times New Roman" w:hAnsi="Times New Roman" w:eastAsia="宋体" w:cs="Times New Roman"/>
                      <w:snapToGrid w:val="0"/>
                      <w:color w:val="auto"/>
                      <w:kern w:val="0"/>
                      <w:sz w:val="21"/>
                      <w:szCs w:val="21"/>
                      <w:highlight w:val="none"/>
                      <w:vertAlign w:val="superscript"/>
                    </w:rPr>
                    <w:t>2</w:t>
                  </w:r>
                  <w:r>
                    <w:rPr>
                      <w:rFonts w:hint="default" w:ascii="Times New Roman" w:hAnsi="Times New Roman" w:eastAsia="宋体" w:cs="Times New Roman"/>
                      <w:snapToGrid w:val="0"/>
                      <w:color w:val="auto"/>
                      <w:kern w:val="0"/>
                      <w:sz w:val="21"/>
                      <w:szCs w:val="21"/>
                      <w:highlight w:val="none"/>
                    </w:rPr>
                    <w:t>/g）</w:t>
                  </w:r>
                </w:p>
              </w:tc>
              <w:tc>
                <w:tcPr>
                  <w:tcW w:w="1054" w:type="pct"/>
                  <w:shd w:val="clear" w:color="auto" w:fill="auto"/>
                  <w:noWrap/>
                  <w:vAlign w:val="center"/>
                </w:tcPr>
                <w:p w14:paraId="5452823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900~1600</w:t>
                  </w:r>
                </w:p>
              </w:tc>
              <w:tc>
                <w:tcPr>
                  <w:tcW w:w="989" w:type="pct"/>
                  <w:shd w:val="clear" w:color="auto" w:fill="auto"/>
                  <w:noWrap/>
                  <w:vAlign w:val="center"/>
                </w:tcPr>
                <w:p w14:paraId="2E3482E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900~1600</w:t>
                  </w:r>
                </w:p>
              </w:tc>
              <w:tc>
                <w:tcPr>
                  <w:tcW w:w="1382" w:type="pct"/>
                  <w:shd w:val="clear" w:color="auto" w:fill="auto"/>
                  <w:noWrap/>
                  <w:vAlign w:val="center"/>
                </w:tcPr>
                <w:p w14:paraId="64B5841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r>
                    <w:rPr>
                      <w:rFonts w:hint="eastAsia" w:ascii="Times New Roman" w:hAnsi="Times New Roman" w:eastAsia="宋体" w:cs="Times New Roman"/>
                      <w:snapToGrid w:val="0"/>
                      <w:color w:val="auto"/>
                      <w:kern w:val="0"/>
                      <w:sz w:val="21"/>
                      <w:szCs w:val="21"/>
                      <w:highlight w:val="none"/>
                      <w:lang w:val="en-US" w:eastAsia="zh-CN"/>
                    </w:rPr>
                    <w:t>7</w:t>
                  </w:r>
                  <w:r>
                    <w:rPr>
                      <w:rFonts w:hint="default" w:ascii="Times New Roman" w:hAnsi="Times New Roman" w:eastAsia="宋体" w:cs="Times New Roman"/>
                      <w:snapToGrid w:val="0"/>
                      <w:color w:val="auto"/>
                      <w:kern w:val="0"/>
                      <w:sz w:val="21"/>
                      <w:szCs w:val="21"/>
                      <w:highlight w:val="none"/>
                    </w:rPr>
                    <w:t>50</w:t>
                  </w:r>
                </w:p>
              </w:tc>
            </w:tr>
            <w:tr w14:paraId="2A2FF2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0347D72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327" w:type="pct"/>
                  <w:shd w:val="clear" w:color="auto" w:fill="auto"/>
                  <w:noWrap/>
                  <w:vAlign w:val="center"/>
                </w:tcPr>
                <w:p w14:paraId="0E9780B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孔体积（cm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/g）</w:t>
                  </w:r>
                </w:p>
              </w:tc>
              <w:tc>
                <w:tcPr>
                  <w:tcW w:w="1054" w:type="pct"/>
                  <w:shd w:val="clear" w:color="auto" w:fill="auto"/>
                  <w:noWrap/>
                  <w:vAlign w:val="center"/>
                </w:tcPr>
                <w:p w14:paraId="7EDACB1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0.63</w:t>
                  </w:r>
                </w:p>
              </w:tc>
              <w:tc>
                <w:tcPr>
                  <w:tcW w:w="989" w:type="pct"/>
                  <w:shd w:val="clear" w:color="auto" w:fill="auto"/>
                  <w:noWrap/>
                  <w:vAlign w:val="center"/>
                </w:tcPr>
                <w:p w14:paraId="440136B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0.63</w:t>
                  </w:r>
                </w:p>
              </w:tc>
              <w:tc>
                <w:tcPr>
                  <w:tcW w:w="1382" w:type="pct"/>
                  <w:shd w:val="clear" w:color="auto" w:fill="auto"/>
                  <w:noWrap/>
                  <w:vAlign w:val="center"/>
                </w:tcPr>
                <w:p w14:paraId="1ACE527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275E72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04BD059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327" w:type="pct"/>
                  <w:shd w:val="clear" w:color="auto" w:fill="auto"/>
                  <w:noWrap/>
                  <w:vAlign w:val="center"/>
                </w:tcPr>
                <w:p w14:paraId="484F808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活性炭密度（g/cm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w:t>
                  </w:r>
                </w:p>
              </w:tc>
              <w:tc>
                <w:tcPr>
                  <w:tcW w:w="1054" w:type="pct"/>
                  <w:shd w:val="clear" w:color="auto" w:fill="auto"/>
                  <w:noWrap/>
                  <w:vAlign w:val="center"/>
                </w:tcPr>
                <w:p w14:paraId="75291AF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0.45</w:t>
                  </w:r>
                </w:p>
              </w:tc>
              <w:tc>
                <w:tcPr>
                  <w:tcW w:w="989" w:type="pct"/>
                  <w:shd w:val="clear" w:color="auto" w:fill="auto"/>
                  <w:noWrap/>
                  <w:vAlign w:val="center"/>
                </w:tcPr>
                <w:p w14:paraId="1EDF0C1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0.45</w:t>
                  </w:r>
                </w:p>
              </w:tc>
              <w:tc>
                <w:tcPr>
                  <w:tcW w:w="1382" w:type="pct"/>
                  <w:shd w:val="clear" w:color="auto" w:fill="auto"/>
                  <w:noWrap/>
                  <w:vAlign w:val="center"/>
                </w:tcPr>
                <w:p w14:paraId="3EE1D6C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0D664B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4FA1E1B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327" w:type="pct"/>
                  <w:shd w:val="clear" w:color="auto" w:fill="auto"/>
                  <w:noWrap/>
                  <w:vAlign w:val="center"/>
                </w:tcPr>
                <w:p w14:paraId="660E730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碘吸附值（mg/g）</w:t>
                  </w:r>
                </w:p>
              </w:tc>
              <w:tc>
                <w:tcPr>
                  <w:tcW w:w="1054" w:type="pct"/>
                  <w:shd w:val="clear" w:color="auto" w:fill="auto"/>
                  <w:noWrap/>
                  <w:vAlign w:val="center"/>
                </w:tcPr>
                <w:p w14:paraId="308B116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800</w:t>
                  </w:r>
                </w:p>
              </w:tc>
              <w:tc>
                <w:tcPr>
                  <w:tcW w:w="989" w:type="pct"/>
                  <w:shd w:val="clear" w:color="auto" w:fill="auto"/>
                  <w:noWrap/>
                  <w:vAlign w:val="center"/>
                </w:tcPr>
                <w:p w14:paraId="22470E8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800</w:t>
                  </w:r>
                </w:p>
              </w:tc>
              <w:tc>
                <w:tcPr>
                  <w:tcW w:w="1382" w:type="pct"/>
                  <w:shd w:val="clear" w:color="auto" w:fill="auto"/>
                  <w:noWrap/>
                  <w:vAlign w:val="center"/>
                </w:tcPr>
                <w:p w14:paraId="749E843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r>
                    <w:rPr>
                      <w:rFonts w:hint="eastAsia" w:ascii="Times New Roman" w:hAnsi="Times New Roman" w:eastAsia="宋体" w:cs="Times New Roman"/>
                      <w:snapToGrid w:val="0"/>
                      <w:color w:val="auto"/>
                      <w:kern w:val="0"/>
                      <w:sz w:val="21"/>
                      <w:szCs w:val="21"/>
                      <w:highlight w:val="none"/>
                      <w:lang w:val="en-US" w:eastAsia="zh-CN"/>
                    </w:rPr>
                    <w:t>65</w:t>
                  </w:r>
                  <w:r>
                    <w:rPr>
                      <w:rFonts w:hint="default" w:ascii="Times New Roman" w:hAnsi="Times New Roman" w:eastAsia="宋体" w:cs="Times New Roman"/>
                      <w:snapToGrid w:val="0"/>
                      <w:color w:val="auto"/>
                      <w:kern w:val="0"/>
                      <w:sz w:val="21"/>
                      <w:szCs w:val="21"/>
                      <w:highlight w:val="none"/>
                    </w:rPr>
                    <w:t>0</w:t>
                  </w:r>
                </w:p>
              </w:tc>
            </w:tr>
            <w:tr w14:paraId="7A0186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174043E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327" w:type="pct"/>
                  <w:shd w:val="clear" w:color="auto" w:fill="auto"/>
                  <w:noWrap/>
                  <w:vAlign w:val="center"/>
                </w:tcPr>
                <w:p w14:paraId="4393899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停留时间（s）</w:t>
                  </w:r>
                </w:p>
              </w:tc>
              <w:tc>
                <w:tcPr>
                  <w:tcW w:w="1054" w:type="pct"/>
                  <w:shd w:val="clear" w:color="auto" w:fill="auto"/>
                  <w:noWrap/>
                  <w:vAlign w:val="center"/>
                </w:tcPr>
                <w:p w14:paraId="3F94421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4.3</w:t>
                  </w:r>
                </w:p>
              </w:tc>
              <w:tc>
                <w:tcPr>
                  <w:tcW w:w="989" w:type="pct"/>
                  <w:shd w:val="clear" w:color="auto" w:fill="auto"/>
                  <w:noWrap/>
                  <w:vAlign w:val="center"/>
                </w:tcPr>
                <w:p w14:paraId="5F3853A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4.3</w:t>
                  </w:r>
                </w:p>
              </w:tc>
              <w:tc>
                <w:tcPr>
                  <w:tcW w:w="1382" w:type="pct"/>
                  <w:shd w:val="clear" w:color="auto" w:fill="auto"/>
                  <w:noWrap/>
                  <w:vAlign w:val="center"/>
                </w:tcPr>
                <w:p w14:paraId="2C7B797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w:t>
                  </w:r>
                </w:p>
              </w:tc>
            </w:tr>
            <w:tr w14:paraId="33C57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64456DA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327" w:type="pct"/>
                  <w:shd w:val="clear" w:color="auto" w:fill="auto"/>
                  <w:noWrap/>
                  <w:vAlign w:val="center"/>
                </w:tcPr>
                <w:p w14:paraId="6B772B2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气流速度（m/s）</w:t>
                  </w:r>
                </w:p>
              </w:tc>
              <w:tc>
                <w:tcPr>
                  <w:tcW w:w="1054" w:type="pct"/>
                  <w:shd w:val="clear" w:color="auto" w:fill="auto"/>
                  <w:noWrap/>
                  <w:vAlign w:val="center"/>
                </w:tcPr>
                <w:p w14:paraId="0E47A08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0.58</w:t>
                  </w:r>
                </w:p>
              </w:tc>
              <w:tc>
                <w:tcPr>
                  <w:tcW w:w="989" w:type="pct"/>
                  <w:shd w:val="clear" w:color="auto" w:fill="auto"/>
                  <w:noWrap/>
                  <w:vAlign w:val="center"/>
                </w:tcPr>
                <w:p w14:paraId="602B575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0.58</w:t>
                  </w:r>
                </w:p>
              </w:tc>
              <w:tc>
                <w:tcPr>
                  <w:tcW w:w="1382" w:type="pct"/>
                  <w:shd w:val="clear" w:color="auto" w:fill="auto"/>
                  <w:noWrap/>
                  <w:vAlign w:val="center"/>
                </w:tcPr>
                <w:p w14:paraId="20F174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0.60</w:t>
                  </w:r>
                </w:p>
              </w:tc>
            </w:tr>
            <w:tr w14:paraId="395D7A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3B275A0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327" w:type="pct"/>
                  <w:shd w:val="clear" w:color="auto" w:fill="auto"/>
                  <w:noWrap/>
                  <w:vAlign w:val="center"/>
                </w:tcPr>
                <w:p w14:paraId="69F0BC8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填充量</w:t>
                  </w:r>
                </w:p>
              </w:tc>
              <w:tc>
                <w:tcPr>
                  <w:tcW w:w="1054" w:type="pct"/>
                  <w:shd w:val="clear" w:color="auto" w:fill="auto"/>
                  <w:noWrap/>
                  <w:vAlign w:val="center"/>
                </w:tcPr>
                <w:p w14:paraId="4454901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0.5</w:t>
                  </w:r>
                  <w:r>
                    <w:rPr>
                      <w:rFonts w:hint="default" w:ascii="Times New Roman" w:hAnsi="Times New Roman" w:eastAsia="宋体" w:cs="Times New Roman"/>
                      <w:snapToGrid w:val="0"/>
                      <w:color w:val="auto"/>
                      <w:kern w:val="0"/>
                      <w:sz w:val="21"/>
                      <w:szCs w:val="21"/>
                      <w:highlight w:val="none"/>
                    </w:rPr>
                    <w:t>t*2</w:t>
                  </w:r>
                </w:p>
              </w:tc>
              <w:tc>
                <w:tcPr>
                  <w:tcW w:w="989" w:type="pct"/>
                  <w:shd w:val="clear" w:color="auto" w:fill="auto"/>
                  <w:noWrap/>
                  <w:vAlign w:val="center"/>
                </w:tcPr>
                <w:p w14:paraId="717DB8F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0.072</w:t>
                  </w:r>
                  <w:r>
                    <w:rPr>
                      <w:rFonts w:hint="default" w:ascii="Times New Roman" w:hAnsi="Times New Roman" w:eastAsia="宋体" w:cs="Times New Roman"/>
                      <w:snapToGrid w:val="0"/>
                      <w:color w:val="auto"/>
                      <w:kern w:val="0"/>
                      <w:sz w:val="21"/>
                      <w:szCs w:val="21"/>
                      <w:highlight w:val="none"/>
                    </w:rPr>
                    <w:t>t*2</w:t>
                  </w:r>
                  <w:r>
                    <w:rPr>
                      <w:rFonts w:hint="eastAsia" w:ascii="Times New Roman" w:hAnsi="Times New Roman" w:eastAsia="宋体" w:cs="Times New Roman"/>
                      <w:snapToGrid w:val="0"/>
                      <w:color w:val="auto"/>
                      <w:kern w:val="0"/>
                      <w:sz w:val="21"/>
                      <w:szCs w:val="21"/>
                      <w:highlight w:val="none"/>
                      <w:lang w:val="en-US" w:eastAsia="zh-CN"/>
                    </w:rPr>
                    <w:t xml:space="preserve">   </w:t>
                  </w:r>
                </w:p>
              </w:tc>
              <w:tc>
                <w:tcPr>
                  <w:tcW w:w="1382" w:type="pct"/>
                  <w:shd w:val="clear" w:color="auto" w:fill="auto"/>
                  <w:noWrap/>
                  <w:vAlign w:val="center"/>
                </w:tcPr>
                <w:p w14:paraId="4A86D1DD">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6FED5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621005F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327" w:type="pct"/>
                  <w:shd w:val="clear" w:color="auto" w:fill="auto"/>
                  <w:noWrap/>
                  <w:vAlign w:val="center"/>
                </w:tcPr>
                <w:p w14:paraId="6714C22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更换</w:t>
                  </w:r>
                  <w:r>
                    <w:rPr>
                      <w:rFonts w:hint="default" w:ascii="Times New Roman" w:hAnsi="Times New Roman" w:eastAsia="宋体" w:cs="Times New Roman"/>
                      <w:snapToGrid w:val="0"/>
                      <w:color w:val="auto"/>
                      <w:kern w:val="0"/>
                      <w:sz w:val="21"/>
                      <w:szCs w:val="21"/>
                      <w:highlight w:val="none"/>
                      <w:lang w:val="en-US" w:eastAsia="zh-CN"/>
                    </w:rPr>
                    <w:t>周期</w:t>
                  </w:r>
                </w:p>
              </w:tc>
              <w:tc>
                <w:tcPr>
                  <w:tcW w:w="1054" w:type="pct"/>
                  <w:shd w:val="clear" w:color="auto" w:fill="auto"/>
                  <w:noWrap/>
                  <w:vAlign w:val="center"/>
                </w:tcPr>
                <w:p w14:paraId="72D311F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61</w:t>
                  </w:r>
                  <w:r>
                    <w:rPr>
                      <w:rFonts w:hint="default" w:ascii="Times New Roman" w:hAnsi="Times New Roman" w:eastAsia="宋体" w:cs="Times New Roman"/>
                      <w:snapToGrid w:val="0"/>
                      <w:color w:val="auto"/>
                      <w:kern w:val="0"/>
                      <w:sz w:val="21"/>
                      <w:szCs w:val="21"/>
                      <w:highlight w:val="none"/>
                    </w:rPr>
                    <w:t>d</w:t>
                  </w:r>
                </w:p>
              </w:tc>
              <w:tc>
                <w:tcPr>
                  <w:tcW w:w="989" w:type="pct"/>
                  <w:shd w:val="clear" w:color="auto" w:fill="auto"/>
                  <w:noWrap/>
                  <w:vAlign w:val="center"/>
                </w:tcPr>
                <w:p w14:paraId="3C1E5AA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38</w:t>
                  </w:r>
                  <w:r>
                    <w:rPr>
                      <w:rFonts w:hint="default" w:ascii="Times New Roman" w:hAnsi="Times New Roman" w:eastAsia="宋体" w:cs="Times New Roman"/>
                      <w:snapToGrid w:val="0"/>
                      <w:color w:val="auto"/>
                      <w:kern w:val="0"/>
                      <w:sz w:val="21"/>
                      <w:szCs w:val="21"/>
                      <w:highlight w:val="none"/>
                    </w:rPr>
                    <w:t>d</w:t>
                  </w:r>
                </w:p>
              </w:tc>
              <w:tc>
                <w:tcPr>
                  <w:tcW w:w="1382" w:type="pct"/>
                  <w:shd w:val="clear" w:color="auto" w:fill="auto"/>
                  <w:noWrap/>
                  <w:vAlign w:val="center"/>
                </w:tcPr>
                <w:p w14:paraId="7B0DF3C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4CD83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4E54F6D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327" w:type="pct"/>
                  <w:shd w:val="clear" w:color="auto" w:fill="auto"/>
                  <w:noWrap/>
                  <w:vAlign w:val="center"/>
                </w:tcPr>
                <w:p w14:paraId="4321BD9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更换频次</w:t>
                  </w:r>
                </w:p>
              </w:tc>
              <w:tc>
                <w:tcPr>
                  <w:tcW w:w="1054" w:type="pct"/>
                  <w:shd w:val="clear" w:color="auto" w:fill="auto"/>
                  <w:noWrap/>
                  <w:vAlign w:val="center"/>
                </w:tcPr>
                <w:p w14:paraId="493EF69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5</w:t>
                  </w:r>
                  <w:r>
                    <w:rPr>
                      <w:rFonts w:hint="default" w:ascii="Times New Roman" w:hAnsi="Times New Roman" w:eastAsia="宋体" w:cs="Times New Roman"/>
                      <w:snapToGrid w:val="0"/>
                      <w:color w:val="auto"/>
                      <w:kern w:val="0"/>
                      <w:sz w:val="21"/>
                      <w:szCs w:val="21"/>
                      <w:highlight w:val="none"/>
                      <w:lang w:val="en-US" w:eastAsia="zh-CN"/>
                    </w:rPr>
                    <w:t>次/年</w:t>
                  </w:r>
                </w:p>
              </w:tc>
              <w:tc>
                <w:tcPr>
                  <w:tcW w:w="989" w:type="pct"/>
                  <w:shd w:val="clear" w:color="auto" w:fill="auto"/>
                  <w:noWrap/>
                  <w:vAlign w:val="center"/>
                </w:tcPr>
                <w:p w14:paraId="08D0B2D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8</w:t>
                  </w:r>
                  <w:r>
                    <w:rPr>
                      <w:rFonts w:hint="default" w:ascii="Times New Roman" w:hAnsi="Times New Roman" w:eastAsia="宋体" w:cs="Times New Roman"/>
                      <w:snapToGrid w:val="0"/>
                      <w:color w:val="auto"/>
                      <w:kern w:val="0"/>
                      <w:sz w:val="21"/>
                      <w:szCs w:val="21"/>
                      <w:highlight w:val="none"/>
                      <w:lang w:val="en-US" w:eastAsia="zh-CN"/>
                    </w:rPr>
                    <w:t>次/年</w:t>
                  </w:r>
                </w:p>
              </w:tc>
              <w:tc>
                <w:tcPr>
                  <w:tcW w:w="1382" w:type="pct"/>
                  <w:shd w:val="clear" w:color="auto" w:fill="auto"/>
                  <w:noWrap/>
                  <w:vAlign w:val="center"/>
                </w:tcPr>
                <w:p w14:paraId="329DD8F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w:t>
                  </w:r>
                </w:p>
              </w:tc>
            </w:tr>
            <w:tr w14:paraId="6B7260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0758060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327" w:type="pct"/>
                  <w:shd w:val="clear" w:color="auto" w:fill="auto"/>
                  <w:noWrap/>
                  <w:vAlign w:val="center"/>
                </w:tcPr>
                <w:p w14:paraId="4444FAE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活性炭风阻力</w:t>
                  </w:r>
                </w:p>
              </w:tc>
              <w:tc>
                <w:tcPr>
                  <w:tcW w:w="1054" w:type="pct"/>
                  <w:shd w:val="clear" w:color="auto" w:fill="auto"/>
                  <w:noWrap/>
                  <w:vAlign w:val="center"/>
                </w:tcPr>
                <w:p w14:paraId="0123A16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500pa</w:t>
                  </w:r>
                </w:p>
              </w:tc>
              <w:tc>
                <w:tcPr>
                  <w:tcW w:w="989" w:type="pct"/>
                  <w:shd w:val="clear" w:color="auto" w:fill="auto"/>
                  <w:noWrap/>
                  <w:vAlign w:val="center"/>
                </w:tcPr>
                <w:p w14:paraId="6986E76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500pa</w:t>
                  </w:r>
                </w:p>
              </w:tc>
              <w:tc>
                <w:tcPr>
                  <w:tcW w:w="1382" w:type="pct"/>
                  <w:shd w:val="clear" w:color="auto" w:fill="auto"/>
                  <w:noWrap/>
                  <w:vAlign w:val="center"/>
                </w:tcPr>
                <w:p w14:paraId="2298873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759BCB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1C0A0E0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327" w:type="pct"/>
                  <w:shd w:val="clear" w:color="auto" w:fill="auto"/>
                  <w:noWrap/>
                  <w:vAlign w:val="center"/>
                </w:tcPr>
                <w:p w14:paraId="252C146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设计处理效率</w:t>
                  </w:r>
                </w:p>
              </w:tc>
              <w:tc>
                <w:tcPr>
                  <w:tcW w:w="1054" w:type="pct"/>
                  <w:shd w:val="clear" w:color="auto" w:fill="auto"/>
                  <w:noWrap/>
                  <w:vAlign w:val="center"/>
                </w:tcPr>
                <w:p w14:paraId="3965AA3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90%</w:t>
                  </w:r>
                </w:p>
              </w:tc>
              <w:tc>
                <w:tcPr>
                  <w:tcW w:w="989" w:type="pct"/>
                  <w:shd w:val="clear" w:color="auto" w:fill="auto"/>
                  <w:noWrap/>
                  <w:vAlign w:val="center"/>
                </w:tcPr>
                <w:p w14:paraId="7C67B17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90%</w:t>
                  </w:r>
                </w:p>
              </w:tc>
              <w:tc>
                <w:tcPr>
                  <w:tcW w:w="1382" w:type="pct"/>
                  <w:shd w:val="clear" w:color="auto" w:fill="auto"/>
                  <w:noWrap/>
                  <w:vAlign w:val="center"/>
                </w:tcPr>
                <w:p w14:paraId="7CB2785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w:t>
                  </w:r>
                </w:p>
              </w:tc>
            </w:tr>
            <w:tr w14:paraId="4D6274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5" w:type="pct"/>
                  <w:noWrap/>
                  <w:vAlign w:val="center"/>
                </w:tcPr>
                <w:p w14:paraId="1032CC6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327" w:type="pct"/>
                  <w:shd w:val="clear" w:color="auto" w:fill="auto"/>
                  <w:noWrap/>
                  <w:vAlign w:val="center"/>
                </w:tcPr>
                <w:p w14:paraId="095C6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水分含量（%）</w:t>
                  </w:r>
                </w:p>
              </w:tc>
              <w:tc>
                <w:tcPr>
                  <w:tcW w:w="1054" w:type="pct"/>
                  <w:shd w:val="clear" w:color="auto" w:fill="auto"/>
                  <w:noWrap/>
                  <w:vAlign w:val="center"/>
                </w:tcPr>
                <w:p w14:paraId="14072C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8</w:t>
                  </w:r>
                </w:p>
              </w:tc>
              <w:tc>
                <w:tcPr>
                  <w:tcW w:w="989" w:type="pct"/>
                  <w:shd w:val="clear" w:color="auto" w:fill="auto"/>
                  <w:noWrap/>
                  <w:vAlign w:val="center"/>
                </w:tcPr>
                <w:p w14:paraId="21200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8</w:t>
                  </w:r>
                </w:p>
              </w:tc>
              <w:tc>
                <w:tcPr>
                  <w:tcW w:w="1382" w:type="pct"/>
                  <w:shd w:val="clear" w:color="auto" w:fill="auto"/>
                  <w:noWrap/>
                  <w:vAlign w:val="center"/>
                </w:tcPr>
                <w:p w14:paraId="3C8D93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w:t>
                  </w:r>
                  <w:r>
                    <w:rPr>
                      <w:rFonts w:hint="default" w:ascii="Times New Roman" w:hAnsi="Times New Roman" w:eastAsia="宋体" w:cs="Times New Roman"/>
                      <w:smallCaps w:val="0"/>
                      <w:snapToGrid w:val="0"/>
                      <w:color w:val="auto"/>
                      <w:spacing w:val="0"/>
                      <w:kern w:val="0"/>
                      <w:sz w:val="21"/>
                      <w:szCs w:val="21"/>
                      <w:highlight w:val="none"/>
                      <w:lang w:val="en-US" w:eastAsia="zh-CN"/>
                    </w:rPr>
                    <w:t>10</w:t>
                  </w:r>
                </w:p>
              </w:tc>
            </w:tr>
          </w:tbl>
          <w:p w14:paraId="6834DCC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根据江苏省生态环境厅发布的《省生态环境厅关于将排污单位活性炭使用更换纳入排污许可管理的通知》附件中的公式计算活性炭更换周期：</w:t>
            </w:r>
          </w:p>
          <w:p w14:paraId="7DCEE04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7" o:spt="75" type="#_x0000_t75" style="height:18pt;width:134pt;" o:ole="t" filled="f" o:preferrelative="t" stroked="f" coordsize="21600,21600">
                  <v:path/>
                  <v:fill on="f" focussize="0,0"/>
                  <v:stroke on="f"/>
                  <v:imagedata r:id="rId23" o:title=""/>
                  <o:lock v:ext="edit" aspectratio="t"/>
                  <w10:wrap type="none"/>
                  <w10:anchorlock/>
                </v:shape>
                <o:OLEObject Type="Embed" ProgID="Equation.KSEE3" ShapeID="_x0000_i1027" DrawAspect="Content" ObjectID="_1468075725" r:id="rId22">
                  <o:LockedField>false</o:LockedField>
                </o:OLEObject>
              </w:object>
            </w:r>
          </w:p>
          <w:p w14:paraId="48F8672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式中：T——更换周期，天；</w:t>
            </w:r>
          </w:p>
          <w:p w14:paraId="4055245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m——活性炭的用量，kg；</w:t>
            </w:r>
            <w:r>
              <w:rPr>
                <w:rFonts w:hint="eastAsia" w:cs="Times New Roman"/>
                <w:color w:val="auto"/>
                <w:sz w:val="24"/>
                <w:szCs w:val="24"/>
                <w:highlight w:val="none"/>
                <w:lang w:val="en-US" w:eastAsia="zh-CN"/>
              </w:rPr>
              <w:t xml:space="preserve"> </w:t>
            </w:r>
          </w:p>
          <w:p w14:paraId="3A89303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s——动态吸附量，%；</w:t>
            </w:r>
          </w:p>
          <w:p w14:paraId="1722BD2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c——活性炭削减的VOCs浓度，mg/m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7DC51C8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Q——风量，单位m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7A3612C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t——运行时间，单位h/d。</w:t>
            </w:r>
          </w:p>
          <w:p w14:paraId="7376E461">
            <w:pPr>
              <w:pStyle w:val="8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活性炭更换周期一览表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962"/>
              <w:gridCol w:w="1053"/>
              <w:gridCol w:w="1347"/>
              <w:gridCol w:w="985"/>
              <w:gridCol w:w="1087"/>
              <w:gridCol w:w="1803"/>
            </w:tblGrid>
            <w:tr w14:paraId="19EF9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pct"/>
                  <w:tcBorders>
                    <w:tl2br w:val="nil"/>
                    <w:tr2bl w:val="nil"/>
                  </w:tcBorders>
                  <w:noWrap w:val="0"/>
                  <w:vAlign w:val="center"/>
                </w:tcPr>
                <w:p w14:paraId="77C0AD93">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eastAsia" w:cs="Times New Roman"/>
                      <w:b/>
                      <w:color w:val="auto"/>
                      <w:sz w:val="21"/>
                      <w:szCs w:val="21"/>
                      <w:highlight w:val="none"/>
                      <w:lang w:val="en-US" w:eastAsia="zh-CN"/>
                    </w:rPr>
                    <w:t>工段</w:t>
                  </w:r>
                  <w:r>
                    <w:rPr>
                      <w:rFonts w:hint="default" w:ascii="Times New Roman" w:hAnsi="Times New Roman" w:eastAsia="宋体" w:cs="Times New Roman"/>
                      <w:b/>
                      <w:color w:val="auto"/>
                      <w:sz w:val="21"/>
                      <w:szCs w:val="21"/>
                      <w:highlight w:val="none"/>
                    </w:rPr>
                    <w:t>名称</w:t>
                  </w:r>
                </w:p>
              </w:tc>
              <w:tc>
                <w:tcPr>
                  <w:tcW w:w="575" w:type="pct"/>
                  <w:tcBorders>
                    <w:tl2br w:val="nil"/>
                    <w:tr2bl w:val="nil"/>
                  </w:tcBorders>
                  <w:noWrap w:val="0"/>
                  <w:vAlign w:val="center"/>
                </w:tcPr>
                <w:p w14:paraId="4557DD06">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活性炭用量（kg）</w:t>
                  </w:r>
                </w:p>
              </w:tc>
              <w:tc>
                <w:tcPr>
                  <w:tcW w:w="629" w:type="pct"/>
                  <w:tcBorders>
                    <w:tl2br w:val="nil"/>
                    <w:tr2bl w:val="nil"/>
                  </w:tcBorders>
                  <w:noWrap w:val="0"/>
                  <w:vAlign w:val="center"/>
                </w:tcPr>
                <w:p w14:paraId="7E878109">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动态吸附量（%）</w:t>
                  </w:r>
                </w:p>
              </w:tc>
              <w:tc>
                <w:tcPr>
                  <w:tcW w:w="805" w:type="pct"/>
                  <w:tcBorders>
                    <w:tl2br w:val="nil"/>
                    <w:tr2bl w:val="nil"/>
                  </w:tcBorders>
                  <w:noWrap w:val="0"/>
                  <w:vAlign w:val="center"/>
                </w:tcPr>
                <w:p w14:paraId="5A706B14">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活性炭削减VOCs的浓度（mg/m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589" w:type="pct"/>
                  <w:tcBorders>
                    <w:tl2br w:val="nil"/>
                    <w:tr2bl w:val="nil"/>
                  </w:tcBorders>
                  <w:noWrap w:val="0"/>
                  <w:vAlign w:val="center"/>
                </w:tcPr>
                <w:p w14:paraId="6E92E425">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650" w:type="pct"/>
                  <w:tcBorders>
                    <w:tl2br w:val="nil"/>
                    <w:tr2bl w:val="nil"/>
                  </w:tcBorders>
                  <w:noWrap w:val="0"/>
                  <w:vAlign w:val="center"/>
                </w:tcPr>
                <w:p w14:paraId="3815B48C">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运行时间（h/d）</w:t>
                  </w:r>
                </w:p>
              </w:tc>
              <w:tc>
                <w:tcPr>
                  <w:tcW w:w="1078" w:type="pct"/>
                  <w:tcBorders>
                    <w:tl2br w:val="nil"/>
                    <w:tr2bl w:val="nil"/>
                  </w:tcBorders>
                  <w:noWrap w:val="0"/>
                  <w:vAlign w:val="center"/>
                </w:tcPr>
                <w:p w14:paraId="3C481B1B">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更换周期（天）</w:t>
                  </w:r>
                </w:p>
              </w:tc>
            </w:tr>
            <w:tr w14:paraId="480FF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tcBorders>
                    <w:tl2br w:val="nil"/>
                    <w:tr2bl w:val="nil"/>
                  </w:tcBorders>
                  <w:noWrap w:val="0"/>
                  <w:vAlign w:val="center"/>
                </w:tcPr>
                <w:p w14:paraId="286C221F">
                  <w:pPr>
                    <w:pStyle w:val="13"/>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固化（1#二级活性炭）</w:t>
                  </w:r>
                </w:p>
              </w:tc>
              <w:tc>
                <w:tcPr>
                  <w:tcW w:w="575" w:type="pct"/>
                  <w:tcBorders>
                    <w:tl2br w:val="nil"/>
                    <w:tr2bl w:val="nil"/>
                  </w:tcBorders>
                  <w:noWrap w:val="0"/>
                  <w:vAlign w:val="center"/>
                </w:tcPr>
                <w:p w14:paraId="547E57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1000</w:t>
                  </w:r>
                </w:p>
              </w:tc>
              <w:tc>
                <w:tcPr>
                  <w:tcW w:w="629" w:type="pct"/>
                  <w:tcBorders>
                    <w:tl2br w:val="nil"/>
                    <w:tr2bl w:val="nil"/>
                  </w:tcBorders>
                  <w:noWrap w:val="0"/>
                  <w:vAlign w:val="center"/>
                </w:tcPr>
                <w:p w14:paraId="175B2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bidi="ar"/>
                    </w:rPr>
                    <w:t>0%</w:t>
                  </w:r>
                </w:p>
              </w:tc>
              <w:tc>
                <w:tcPr>
                  <w:tcW w:w="805" w:type="pct"/>
                  <w:tcBorders>
                    <w:tl2br w:val="nil"/>
                    <w:tr2bl w:val="nil"/>
                  </w:tcBorders>
                  <w:noWrap w:val="0"/>
                  <w:vAlign w:val="center"/>
                </w:tcPr>
                <w:p w14:paraId="7C479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41.5</w:t>
                  </w:r>
                </w:p>
              </w:tc>
              <w:tc>
                <w:tcPr>
                  <w:tcW w:w="589" w:type="pct"/>
                  <w:tcBorders>
                    <w:tl2br w:val="nil"/>
                    <w:tr2bl w:val="nil"/>
                  </w:tcBorders>
                  <w:shd w:val="clear" w:color="auto" w:fill="auto"/>
                  <w:noWrap w:val="0"/>
                  <w:vAlign w:val="center"/>
                </w:tcPr>
                <w:p w14:paraId="51743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20</w:t>
                  </w:r>
                  <w:r>
                    <w:rPr>
                      <w:rFonts w:hint="default" w:ascii="Times New Roman" w:hAnsi="Times New Roman" w:eastAsia="宋体" w:cs="Times New Roman"/>
                      <w:color w:val="auto"/>
                      <w:kern w:val="0"/>
                      <w:sz w:val="21"/>
                      <w:szCs w:val="21"/>
                      <w:highlight w:val="none"/>
                      <w:lang w:val="en-US" w:eastAsia="zh-CN" w:bidi="ar"/>
                    </w:rPr>
                    <w:t>000</w:t>
                  </w:r>
                </w:p>
              </w:tc>
              <w:tc>
                <w:tcPr>
                  <w:tcW w:w="650" w:type="pct"/>
                  <w:tcBorders>
                    <w:tl2br w:val="nil"/>
                    <w:tr2bl w:val="nil"/>
                  </w:tcBorders>
                  <w:noWrap w:val="0"/>
                  <w:vAlign w:val="center"/>
                </w:tcPr>
                <w:p w14:paraId="26405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2</w:t>
                  </w:r>
                </w:p>
              </w:tc>
              <w:tc>
                <w:tcPr>
                  <w:tcW w:w="1078" w:type="pct"/>
                  <w:tcBorders>
                    <w:tl2br w:val="nil"/>
                    <w:tr2bl w:val="nil"/>
                  </w:tcBorders>
                  <w:noWrap w:val="0"/>
                  <w:vAlign w:val="center"/>
                </w:tcPr>
                <w:p w14:paraId="0112B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41.5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/1000000）=</w:t>
                  </w:r>
                  <w:r>
                    <w:rPr>
                      <w:rFonts w:hint="eastAsia" w:ascii="Times New Roman" w:hAnsi="Times New Roman" w:eastAsia="宋体" w:cs="Times New Roman"/>
                      <w:color w:val="auto"/>
                      <w:sz w:val="21"/>
                      <w:szCs w:val="21"/>
                      <w:highlight w:val="none"/>
                      <w:lang w:val="en-US" w:eastAsia="zh-CN"/>
                    </w:rPr>
                    <w:t>60.2</w:t>
                  </w:r>
                </w:p>
              </w:tc>
            </w:tr>
            <w:tr w14:paraId="0BAC4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tcBorders>
                    <w:tl2br w:val="nil"/>
                    <w:tr2bl w:val="nil"/>
                  </w:tcBorders>
                  <w:noWrap w:val="0"/>
                  <w:vAlign w:val="center"/>
                </w:tcPr>
                <w:p w14:paraId="245F9490">
                  <w:pPr>
                    <w:pStyle w:val="13"/>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打胶（2#二级活性炭）</w:t>
                  </w:r>
                </w:p>
              </w:tc>
              <w:tc>
                <w:tcPr>
                  <w:tcW w:w="575" w:type="pct"/>
                  <w:tcBorders>
                    <w:tl2br w:val="nil"/>
                    <w:tr2bl w:val="nil"/>
                  </w:tcBorders>
                  <w:noWrap w:val="0"/>
                  <w:vAlign w:val="center"/>
                </w:tcPr>
                <w:p w14:paraId="6AA06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144</w:t>
                  </w:r>
                </w:p>
              </w:tc>
              <w:tc>
                <w:tcPr>
                  <w:tcW w:w="629" w:type="pct"/>
                  <w:tcBorders>
                    <w:tl2br w:val="nil"/>
                    <w:tr2bl w:val="nil"/>
                  </w:tcBorders>
                  <w:noWrap w:val="0"/>
                  <w:vAlign w:val="center"/>
                </w:tcPr>
                <w:p w14:paraId="3EFE2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bidi="ar"/>
                    </w:rPr>
                    <w:t>0%</w:t>
                  </w:r>
                </w:p>
              </w:tc>
              <w:tc>
                <w:tcPr>
                  <w:tcW w:w="805" w:type="pct"/>
                  <w:tcBorders>
                    <w:tl2br w:val="nil"/>
                    <w:tr2bl w:val="nil"/>
                  </w:tcBorders>
                  <w:noWrap w:val="0"/>
                  <w:vAlign w:val="center"/>
                </w:tcPr>
                <w:p w14:paraId="11F63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19.1</w:t>
                  </w:r>
                </w:p>
              </w:tc>
              <w:tc>
                <w:tcPr>
                  <w:tcW w:w="589" w:type="pct"/>
                  <w:tcBorders>
                    <w:tl2br w:val="nil"/>
                    <w:tr2bl w:val="nil"/>
                  </w:tcBorders>
                  <w:shd w:val="clear" w:color="auto" w:fill="auto"/>
                  <w:noWrap w:val="0"/>
                  <w:vAlign w:val="center"/>
                </w:tcPr>
                <w:p w14:paraId="484B1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20000</w:t>
                  </w:r>
                </w:p>
              </w:tc>
              <w:tc>
                <w:tcPr>
                  <w:tcW w:w="650" w:type="pct"/>
                  <w:tcBorders>
                    <w:tl2br w:val="nil"/>
                    <w:tr2bl w:val="nil"/>
                  </w:tcBorders>
                  <w:noWrap w:val="0"/>
                  <w:vAlign w:val="center"/>
                </w:tcPr>
                <w:p w14:paraId="35C66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1078" w:type="pct"/>
                  <w:tcBorders>
                    <w:tl2br w:val="nil"/>
                    <w:tr2bl w:val="nil"/>
                  </w:tcBorders>
                  <w:noWrap w:val="0"/>
                  <w:vAlign w:val="center"/>
                </w:tcPr>
                <w:p w14:paraId="6072E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bidi="ar"/>
                    </w:rPr>
                    <w:t>19.1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/1000000）=</w:t>
                  </w:r>
                  <w:r>
                    <w:rPr>
                      <w:rFonts w:hint="eastAsia" w:ascii="Times New Roman" w:hAnsi="Times New Roman" w:eastAsia="宋体" w:cs="Times New Roman"/>
                      <w:color w:val="auto"/>
                      <w:sz w:val="21"/>
                      <w:szCs w:val="21"/>
                      <w:highlight w:val="none"/>
                      <w:lang w:val="en-US" w:eastAsia="zh-CN"/>
                    </w:rPr>
                    <w:t>37.7</w:t>
                  </w:r>
                </w:p>
              </w:tc>
            </w:tr>
          </w:tbl>
          <w:p w14:paraId="27F5F4A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b w:val="0"/>
                <w:bCs w:val="0"/>
                <w:color w:val="auto"/>
                <w:lang w:val="en-US" w:eastAsia="zh-CN"/>
              </w:rPr>
            </w:pPr>
            <w:r>
              <w:rPr>
                <w:rFonts w:hint="eastAsia" w:ascii="Times New Roman" w:hAnsi="Times New Roman" w:eastAsia="宋体" w:cs="Times New Roman"/>
                <w:b w:val="0"/>
                <w:bCs w:val="0"/>
                <w:color w:val="auto"/>
                <w:sz w:val="21"/>
                <w:szCs w:val="21"/>
                <w:highlight w:val="none"/>
                <w:lang w:val="en-US" w:eastAsia="zh-CN"/>
              </w:rPr>
              <w:t>注：固化工段每天运行2h，打胶工段每天运行1h。</w:t>
            </w:r>
          </w:p>
          <w:p w14:paraId="793A6863">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color w:val="auto"/>
                <w:sz w:val="24"/>
                <w:szCs w:val="24"/>
                <w:highlight w:val="none"/>
              </w:rPr>
              <w:t>根据计算所得</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苏环办﹝2022﹞218号文</w:t>
            </w:r>
            <w:r>
              <w:rPr>
                <w:rFonts w:hint="eastAsia" w:ascii="Times New Roman" w:hAnsi="Times New Roman" w:eastAsia="宋体" w:cs="Times New Roman"/>
                <w:color w:val="auto"/>
                <w:sz w:val="24"/>
                <w:szCs w:val="24"/>
                <w:highlight w:val="none"/>
                <w:lang w:val="en-US" w:eastAsia="zh-CN"/>
              </w:rPr>
              <w:t>相关要求</w:t>
            </w:r>
            <w:r>
              <w:rPr>
                <w:rFonts w:hint="default" w:ascii="Times New Roman" w:hAnsi="Times New Roman" w:eastAsia="宋体" w:cs="Times New Roman"/>
                <w:color w:val="auto"/>
                <w:sz w:val="24"/>
                <w:szCs w:val="24"/>
                <w:highlight w:val="none"/>
              </w:rPr>
              <w:t>，针对活性炭充填量的要求，活性炭更换周期一般不应超过累计运行500小时或3个月，符合要求。</w:t>
            </w:r>
            <w:r>
              <w:rPr>
                <w:rFonts w:hint="eastAsia" w:ascii="Times New Roman" w:hAnsi="Times New Roman" w:eastAsia="宋体" w:cs="Times New Roman"/>
                <w:color w:val="auto"/>
                <w:sz w:val="24"/>
                <w:szCs w:val="24"/>
                <w:highlight w:val="none"/>
                <w:lang w:val="en-US" w:eastAsia="zh-CN"/>
              </w:rPr>
              <w:t>经上表可知，1#二级活性炭设施更换周期为61天，</w:t>
            </w:r>
            <w:r>
              <w:rPr>
                <w:rFonts w:hint="default" w:ascii="Times New Roman" w:hAnsi="Times New Roman" w:eastAsia="宋体" w:cs="Times New Roman"/>
                <w:color w:val="auto"/>
                <w:sz w:val="24"/>
                <w:szCs w:val="24"/>
                <w:highlight w:val="none"/>
              </w:rPr>
              <w:t>更换次数约</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次/a</w:t>
            </w:r>
            <w:r>
              <w:rPr>
                <w:rFonts w:hint="eastAsia" w:ascii="Times New Roman" w:hAnsi="Times New Roman" w:eastAsia="宋体" w:cs="Times New Roman"/>
                <w:color w:val="auto"/>
                <w:sz w:val="24"/>
                <w:szCs w:val="24"/>
                <w:highlight w:val="none"/>
                <w:lang w:val="en-US" w:eastAsia="zh-CN"/>
              </w:rPr>
              <w:t>，2#二级活性炭设施更换周期为38天，</w:t>
            </w:r>
            <w:r>
              <w:rPr>
                <w:rFonts w:hint="default" w:ascii="Times New Roman" w:hAnsi="Times New Roman" w:eastAsia="宋体" w:cs="Times New Roman"/>
                <w:color w:val="auto"/>
                <w:sz w:val="24"/>
                <w:szCs w:val="24"/>
                <w:highlight w:val="none"/>
              </w:rPr>
              <w:t>更换次数约</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次/a</w:t>
            </w:r>
            <w:r>
              <w:rPr>
                <w:rFonts w:hint="eastAsia" w:ascii="Times New Roman" w:hAnsi="Times New Roman" w:eastAsia="宋体" w:cs="Times New Roman"/>
                <w:color w:val="auto"/>
                <w:sz w:val="24"/>
                <w:szCs w:val="24"/>
                <w:highlight w:val="none"/>
                <w:lang w:eastAsia="zh-CN"/>
              </w:rPr>
              <w:t>，</w:t>
            </w:r>
            <w:r>
              <w:rPr>
                <w:rFonts w:hint="eastAsia" w:ascii="宋体" w:hAnsi="宋体" w:eastAsia="宋体" w:cs="宋体"/>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en-US" w:eastAsia="zh-CN"/>
              </w:rPr>
              <w:t>废活性炭</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年产生量为</w:t>
            </w:r>
            <w:r>
              <w:rPr>
                <w:rFonts w:hint="eastAsia" w:ascii="Times New Roman" w:hAnsi="Times New Roman" w:eastAsia="宋体" w:cs="Times New Roman"/>
                <w:color w:val="auto"/>
                <w:sz w:val="24"/>
                <w:szCs w:val="24"/>
                <w:highlight w:val="none"/>
                <w:lang w:val="en-US" w:eastAsia="zh-CN"/>
              </w:rPr>
              <w:t>6.152</w:t>
            </w:r>
            <w:r>
              <w:rPr>
                <w:rFonts w:hint="default" w:ascii="Times New Roman" w:hAnsi="Times New Roman" w:eastAsia="宋体" w:cs="Times New Roman"/>
                <w:color w:val="auto"/>
                <w:sz w:val="24"/>
                <w:szCs w:val="24"/>
                <w:highlight w:val="none"/>
                <w:lang w:val="en-US" w:eastAsia="zh-CN"/>
              </w:rPr>
              <w:t>t。</w:t>
            </w:r>
          </w:p>
          <w:p w14:paraId="0854EA23">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活性炭吸附装置</w:t>
            </w:r>
            <w:r>
              <w:rPr>
                <w:rFonts w:hint="eastAsia" w:ascii="Times New Roman" w:hAnsi="Times New Roman" w:eastAsia="宋体" w:cs="Times New Roman"/>
                <w:b/>
                <w:bCs/>
                <w:color w:val="auto"/>
                <w:sz w:val="24"/>
                <w:highlight w:val="none"/>
                <w:lang w:val="en-US" w:eastAsia="zh-CN"/>
              </w:rPr>
              <w:t>安全</w:t>
            </w:r>
            <w:r>
              <w:rPr>
                <w:rFonts w:hint="default" w:ascii="Times New Roman" w:hAnsi="Times New Roman" w:eastAsia="宋体" w:cs="Times New Roman"/>
                <w:b/>
                <w:bCs/>
                <w:color w:val="auto"/>
                <w:sz w:val="24"/>
                <w:highlight w:val="none"/>
                <w:lang w:val="en-US" w:eastAsia="zh-CN"/>
              </w:rPr>
              <w:t>设置要求：</w:t>
            </w:r>
          </w:p>
          <w:p w14:paraId="62257E99">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按照《吸附法工业有机废气治理工程技术规范》（HJ 2026-2013）、《</w:t>
            </w:r>
            <w:bookmarkStart w:id="10" w:name="_Hlk141347411"/>
            <w:r>
              <w:rPr>
                <w:rFonts w:hint="default" w:ascii="Times New Roman" w:hAnsi="Times New Roman" w:eastAsia="宋体" w:cs="Times New Roman"/>
                <w:b w:val="0"/>
                <w:bCs w:val="0"/>
                <w:color w:val="auto"/>
                <w:sz w:val="24"/>
                <w:highlight w:val="none"/>
                <w:lang w:val="en-US" w:eastAsia="zh-CN"/>
              </w:rPr>
              <w:t>环境保护产品技术要求 工业废气吸附净化装置</w:t>
            </w:r>
            <w:bookmarkEnd w:id="10"/>
            <w:r>
              <w:rPr>
                <w:rFonts w:hint="default" w:ascii="Times New Roman" w:hAnsi="Times New Roman" w:eastAsia="宋体" w:cs="Times New Roman"/>
                <w:b w:val="0"/>
                <w:bCs w:val="0"/>
                <w:color w:val="auto"/>
                <w:sz w:val="24"/>
                <w:highlight w:val="none"/>
                <w:lang w:val="en-US" w:eastAsia="zh-CN"/>
              </w:rPr>
              <w:t>》（</w:t>
            </w:r>
            <w:bookmarkStart w:id="11" w:name="_Hlk141347438"/>
            <w:r>
              <w:rPr>
                <w:rFonts w:hint="default" w:ascii="Times New Roman" w:hAnsi="Times New Roman" w:eastAsia="宋体" w:cs="Times New Roman"/>
                <w:b w:val="0"/>
                <w:bCs w:val="0"/>
                <w:color w:val="auto"/>
                <w:sz w:val="24"/>
                <w:highlight w:val="none"/>
                <w:lang w:val="en-US" w:eastAsia="zh-CN"/>
              </w:rPr>
              <w:t>HJ/T 386-2007</w:t>
            </w:r>
            <w:bookmarkEnd w:id="11"/>
            <w:r>
              <w:rPr>
                <w:rFonts w:hint="default" w:ascii="Times New Roman" w:hAnsi="Times New Roman" w:eastAsia="宋体" w:cs="Times New Roman"/>
                <w:b w:val="0"/>
                <w:bCs w:val="0"/>
                <w:color w:val="auto"/>
                <w:sz w:val="24"/>
                <w:highlight w:val="none"/>
                <w:lang w:val="en-US" w:eastAsia="zh-CN"/>
              </w:rPr>
              <w:t>）安全设置规定，本项目对拟建活性炭吸附装置提出以下要求：</w:t>
            </w:r>
          </w:p>
          <w:p w14:paraId="6ACEEC14">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①治理系统应有事故自动报警装置，并符合安全生产、事故防范的相关规定。</w:t>
            </w:r>
          </w:p>
          <w:p w14:paraId="5D977E44">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②治理系统与主体生产装置之间的管道系统应安装阻火器（防火阀），阻火器性能应符合GB 13347的规定。</w:t>
            </w:r>
          </w:p>
          <w:p w14:paraId="2C6085A8">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3EAF15A3">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④在吸附操作周期内，吸附了有机气体后吸附床内的温度应低于83℃。当吸附装置内的温度超过83℃时，应能自动报警，并立即启动降温装置。</w:t>
            </w:r>
          </w:p>
          <w:p w14:paraId="7C8D357A">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⑤采用热空气吹扫方式进行吸附剂再生时，当吸附装置内的温度超过120℃时，应能自动报警并立即中止再生操作、启动降温措施。</w:t>
            </w:r>
          </w:p>
          <w:p w14:paraId="003BA387">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⑥治理装置安装区域应按规定设置消防设施。</w:t>
            </w:r>
          </w:p>
          <w:p w14:paraId="67A67B70">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⑦治理设备应具备短路保护和接地保护，接地电阻应小于4Q。</w:t>
            </w:r>
          </w:p>
          <w:p w14:paraId="5A2000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b w:val="0"/>
                <w:bCs w:val="0"/>
                <w:color w:val="auto"/>
                <w:sz w:val="24"/>
                <w:highlight w:val="none"/>
                <w:lang w:val="en-US" w:eastAsia="zh-CN"/>
              </w:rPr>
              <w:t>⑧室外治理设备应安装符合GB 50057规定的避雷装置。</w:t>
            </w:r>
          </w:p>
          <w:p w14:paraId="2AA5B47E">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工程实例分析</w:t>
            </w:r>
          </w:p>
          <w:p w14:paraId="507BE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本项目根据江苏蓝天环境检测技术有限公司于20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月对“常州市汇兴精密钣金制造有限公司新建精密零配件制造项目”的</w:t>
            </w:r>
            <w:r>
              <w:rPr>
                <w:rFonts w:hint="eastAsia" w:ascii="Times New Roman" w:hAnsi="Times New Roman" w:eastAsia="宋体" w:cs="Times New Roman"/>
                <w:color w:val="auto"/>
                <w:sz w:val="24"/>
                <w:szCs w:val="24"/>
                <w:highlight w:val="none"/>
                <w:lang w:val="en-US" w:eastAsia="zh-CN"/>
              </w:rPr>
              <w:t>固化</w:t>
            </w:r>
            <w:r>
              <w:rPr>
                <w:rFonts w:hint="default" w:ascii="Times New Roman" w:hAnsi="Times New Roman" w:eastAsia="宋体" w:cs="Times New Roman"/>
                <w:color w:val="auto"/>
                <w:sz w:val="24"/>
                <w:szCs w:val="24"/>
                <w:highlight w:val="none"/>
              </w:rPr>
              <w:t>废气排放口的验收检测数据，其</w:t>
            </w:r>
            <w:r>
              <w:rPr>
                <w:rFonts w:hint="eastAsia" w:ascii="Times New Roman" w:hAnsi="Times New Roman" w:eastAsia="宋体" w:cs="Times New Roman"/>
                <w:color w:val="auto"/>
                <w:sz w:val="24"/>
                <w:szCs w:val="24"/>
                <w:highlight w:val="none"/>
                <w:lang w:val="en-US" w:eastAsia="zh-CN"/>
              </w:rPr>
              <w:t>废气处理设施为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级活性炭吸附装置”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处理效率在90%以上，具体见下表。</w:t>
            </w:r>
          </w:p>
          <w:p w14:paraId="64F85D37">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工程实例废气监测结果表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92"/>
              <w:gridCol w:w="1393"/>
              <w:gridCol w:w="1393"/>
              <w:gridCol w:w="1393"/>
              <w:gridCol w:w="1396"/>
            </w:tblGrid>
            <w:tr w14:paraId="0802A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Merge w:val="restart"/>
                  <w:vAlign w:val="center"/>
                </w:tcPr>
                <w:p w14:paraId="0F1C33D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项目点位</w:t>
                  </w:r>
                </w:p>
              </w:tc>
              <w:tc>
                <w:tcPr>
                  <w:tcW w:w="832" w:type="pct"/>
                  <w:vMerge w:val="restart"/>
                  <w:vAlign w:val="center"/>
                </w:tcPr>
                <w:p w14:paraId="2164F45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c>
                <w:tcPr>
                  <w:tcW w:w="3334" w:type="pct"/>
                  <w:gridSpan w:val="4"/>
                  <w:vAlign w:val="center"/>
                </w:tcPr>
                <w:p w14:paraId="3891CEA0">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非甲烷总烃监测结果（mg/m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14:paraId="0B209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Merge w:val="continue"/>
                  <w:vAlign w:val="center"/>
                </w:tcPr>
                <w:p w14:paraId="39E63024">
                  <w:pPr>
                    <w:adjustRightInd w:val="0"/>
                    <w:snapToGrid w:val="0"/>
                    <w:jc w:val="center"/>
                    <w:rPr>
                      <w:rFonts w:hint="default" w:ascii="Times New Roman" w:hAnsi="Times New Roman" w:eastAsia="宋体" w:cs="Times New Roman"/>
                      <w:color w:val="auto"/>
                      <w:sz w:val="21"/>
                      <w:szCs w:val="21"/>
                      <w:highlight w:val="none"/>
                    </w:rPr>
                  </w:pPr>
                </w:p>
              </w:tc>
              <w:tc>
                <w:tcPr>
                  <w:tcW w:w="832" w:type="pct"/>
                  <w:vMerge w:val="continue"/>
                  <w:vAlign w:val="center"/>
                </w:tcPr>
                <w:p w14:paraId="617395DB">
                  <w:pPr>
                    <w:adjustRightInd w:val="0"/>
                    <w:snapToGrid w:val="0"/>
                    <w:jc w:val="center"/>
                    <w:rPr>
                      <w:rFonts w:hint="default" w:ascii="Times New Roman" w:hAnsi="Times New Roman" w:eastAsia="宋体" w:cs="Times New Roman"/>
                      <w:color w:val="auto"/>
                      <w:sz w:val="21"/>
                      <w:szCs w:val="21"/>
                      <w:highlight w:val="none"/>
                    </w:rPr>
                  </w:pPr>
                </w:p>
              </w:tc>
              <w:tc>
                <w:tcPr>
                  <w:tcW w:w="833" w:type="pct"/>
                  <w:vAlign w:val="center"/>
                </w:tcPr>
                <w:p w14:paraId="2AA7092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33" w:type="pct"/>
                  <w:vAlign w:val="center"/>
                </w:tcPr>
                <w:p w14:paraId="5DF52F2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33" w:type="pct"/>
                  <w:vAlign w:val="center"/>
                </w:tcPr>
                <w:p w14:paraId="77F61D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835" w:type="pct"/>
                  <w:vAlign w:val="center"/>
                </w:tcPr>
                <w:p w14:paraId="32C4BD8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r>
            <w:tr w14:paraId="75E03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3DD27EF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废气进口</w:t>
                  </w:r>
                </w:p>
              </w:tc>
              <w:tc>
                <w:tcPr>
                  <w:tcW w:w="832" w:type="pct"/>
                  <w:vMerge w:val="restart"/>
                  <w:vAlign w:val="center"/>
                </w:tcPr>
                <w:p w14:paraId="3CCA49EB">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w:t>
                  </w:r>
                </w:p>
              </w:tc>
              <w:tc>
                <w:tcPr>
                  <w:tcW w:w="833" w:type="pct"/>
                  <w:shd w:val="clear" w:color="auto" w:fill="auto"/>
                  <w:vAlign w:val="center"/>
                </w:tcPr>
                <w:p w14:paraId="65062DA0">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15.2</w:t>
                  </w:r>
                </w:p>
              </w:tc>
              <w:tc>
                <w:tcPr>
                  <w:tcW w:w="833" w:type="pct"/>
                  <w:shd w:val="clear" w:color="auto" w:fill="auto"/>
                  <w:vAlign w:val="center"/>
                </w:tcPr>
                <w:p w14:paraId="1B6BB7FC">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13.6</w:t>
                  </w:r>
                </w:p>
              </w:tc>
              <w:tc>
                <w:tcPr>
                  <w:tcW w:w="833" w:type="pct"/>
                  <w:shd w:val="clear" w:color="auto" w:fill="auto"/>
                  <w:vAlign w:val="center"/>
                </w:tcPr>
                <w:p w14:paraId="70C02330">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13.0</w:t>
                  </w:r>
                </w:p>
              </w:tc>
              <w:tc>
                <w:tcPr>
                  <w:tcW w:w="835" w:type="pct"/>
                  <w:vAlign w:val="center"/>
                </w:tcPr>
                <w:p w14:paraId="776C3FF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w:t>
                  </w:r>
                </w:p>
              </w:tc>
            </w:tr>
            <w:tr w14:paraId="29200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13015BE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废气出口</w:t>
                  </w:r>
                </w:p>
              </w:tc>
              <w:tc>
                <w:tcPr>
                  <w:tcW w:w="832" w:type="pct"/>
                  <w:vMerge w:val="continue"/>
                  <w:vAlign w:val="center"/>
                </w:tcPr>
                <w:p w14:paraId="35D1C08E">
                  <w:pPr>
                    <w:adjustRightInd w:val="0"/>
                    <w:snapToGrid w:val="0"/>
                    <w:jc w:val="center"/>
                    <w:rPr>
                      <w:rFonts w:hint="default" w:ascii="Times New Roman" w:hAnsi="Times New Roman" w:eastAsia="宋体" w:cs="Times New Roman"/>
                      <w:color w:val="auto"/>
                      <w:sz w:val="21"/>
                      <w:szCs w:val="21"/>
                      <w:highlight w:val="none"/>
                    </w:rPr>
                  </w:pPr>
                </w:p>
              </w:tc>
              <w:tc>
                <w:tcPr>
                  <w:tcW w:w="1393" w:type="dxa"/>
                  <w:vAlign w:val="center"/>
                </w:tcPr>
                <w:p w14:paraId="27281FF0">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lang w:val="en-US" w:eastAsia="zh-CN"/>
                    </w:rPr>
                    <w:t>0.78</w:t>
                  </w:r>
                </w:p>
              </w:tc>
              <w:tc>
                <w:tcPr>
                  <w:tcW w:w="1393" w:type="dxa"/>
                  <w:vAlign w:val="center"/>
                </w:tcPr>
                <w:p w14:paraId="3EC65287">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2"/>
                      <w:sz w:val="21"/>
                      <w:szCs w:val="21"/>
                      <w:highlight w:val="none"/>
                      <w:lang w:val="en-US" w:eastAsia="zh-CN" w:bidi="ar-SA"/>
                    </w:rPr>
                    <w:t>0.76</w:t>
                  </w:r>
                </w:p>
              </w:tc>
              <w:tc>
                <w:tcPr>
                  <w:tcW w:w="1393" w:type="dxa"/>
                  <w:vAlign w:val="center"/>
                </w:tcPr>
                <w:p w14:paraId="1866AE85">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2"/>
                      <w:sz w:val="21"/>
                      <w:szCs w:val="21"/>
                      <w:highlight w:val="none"/>
                      <w:lang w:val="en-US" w:eastAsia="zh-CN" w:bidi="ar-SA"/>
                    </w:rPr>
                    <w:t>0.80</w:t>
                  </w:r>
                </w:p>
              </w:tc>
              <w:tc>
                <w:tcPr>
                  <w:tcW w:w="835" w:type="pct"/>
                  <w:vAlign w:val="center"/>
                </w:tcPr>
                <w:p w14:paraId="4D52A61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78</w:t>
                  </w:r>
                </w:p>
              </w:tc>
            </w:tr>
            <w:tr w14:paraId="31C5F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53C8EB2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处理效率</w:t>
                  </w:r>
                </w:p>
              </w:tc>
              <w:tc>
                <w:tcPr>
                  <w:tcW w:w="832" w:type="pct"/>
                  <w:vMerge w:val="continue"/>
                  <w:vAlign w:val="center"/>
                </w:tcPr>
                <w:p w14:paraId="66CFE254">
                  <w:pPr>
                    <w:adjustRightInd w:val="0"/>
                    <w:snapToGrid w:val="0"/>
                    <w:jc w:val="center"/>
                    <w:rPr>
                      <w:rFonts w:hint="default" w:ascii="Times New Roman" w:hAnsi="Times New Roman" w:eastAsia="宋体" w:cs="Times New Roman"/>
                      <w:color w:val="auto"/>
                      <w:sz w:val="21"/>
                      <w:szCs w:val="21"/>
                      <w:highlight w:val="none"/>
                    </w:rPr>
                  </w:pPr>
                </w:p>
              </w:tc>
              <w:tc>
                <w:tcPr>
                  <w:tcW w:w="833" w:type="pct"/>
                  <w:vAlign w:val="center"/>
                </w:tcPr>
                <w:p w14:paraId="1AFC620C">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94.</w:t>
                  </w:r>
                  <w:r>
                    <w:rPr>
                      <w:rFonts w:hint="eastAsia" w:ascii="Times New Roman" w:hAnsi="Times New Roman" w:eastAsia="宋体" w:cs="Times New Roman"/>
                      <w:color w:val="auto"/>
                      <w:sz w:val="21"/>
                      <w:szCs w:val="21"/>
                      <w:highlight w:val="none"/>
                      <w:lang w:val="en-US" w:eastAsia="zh-CN"/>
                    </w:rPr>
                    <w:t>9</w:t>
                  </w:r>
                </w:p>
              </w:tc>
              <w:tc>
                <w:tcPr>
                  <w:tcW w:w="833" w:type="pct"/>
                  <w:vAlign w:val="center"/>
                </w:tcPr>
                <w:p w14:paraId="04B6A97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w:t>
                  </w:r>
                  <w:r>
                    <w:rPr>
                      <w:rFonts w:hint="eastAsia" w:ascii="Times New Roman" w:hAnsi="Times New Roman" w:eastAsia="宋体" w:cs="Times New Roman"/>
                      <w:color w:val="auto"/>
                      <w:sz w:val="21"/>
                      <w:szCs w:val="21"/>
                      <w:highlight w:val="none"/>
                      <w:lang w:val="en-US" w:eastAsia="zh-CN"/>
                    </w:rPr>
                    <w:t>4.4</w:t>
                  </w:r>
                </w:p>
              </w:tc>
              <w:tc>
                <w:tcPr>
                  <w:tcW w:w="833" w:type="pct"/>
                  <w:vAlign w:val="center"/>
                </w:tcPr>
                <w:p w14:paraId="7D1C1899">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8</w:t>
                  </w:r>
                </w:p>
              </w:tc>
              <w:tc>
                <w:tcPr>
                  <w:tcW w:w="835" w:type="pct"/>
                  <w:vAlign w:val="center"/>
                </w:tcPr>
                <w:p w14:paraId="67217B3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w:t>
                  </w:r>
                  <w:r>
                    <w:rPr>
                      <w:rFonts w:hint="eastAsia" w:ascii="Times New Roman" w:hAnsi="Times New Roman" w:eastAsia="宋体" w:cs="Times New Roman"/>
                      <w:color w:val="auto"/>
                      <w:sz w:val="21"/>
                      <w:szCs w:val="21"/>
                      <w:highlight w:val="none"/>
                      <w:lang w:val="en-US" w:eastAsia="zh-CN"/>
                    </w:rPr>
                    <w:t>4.4</w:t>
                  </w:r>
                </w:p>
              </w:tc>
            </w:tr>
          </w:tbl>
          <w:p w14:paraId="059AB18D">
            <w:pPr>
              <w:keepNext w:val="0"/>
              <w:keepLines w:val="0"/>
              <w:pageBreakBefore w:val="0"/>
              <w:widowControl w:val="0"/>
              <w:tabs>
                <w:tab w:val="left" w:pos="840"/>
              </w:tabs>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rPr>
              <w:t>由上表可知，“两级活性炭吸附装置”对非甲烷总烃的去除效率平均在90%以上，故认为本项目两级活性炭吸附装置对非甲烷总烃去除效率以90%计算是可行的。</w:t>
            </w:r>
          </w:p>
          <w:p w14:paraId="3D352DBB">
            <w:pPr>
              <w:pStyle w:val="59"/>
              <w:keepNext w:val="0"/>
              <w:keepLines w:val="0"/>
              <w:suppressLineNumbers w:val="0"/>
              <w:tabs>
                <w:tab w:val="left" w:pos="417"/>
              </w:tabs>
              <w:spacing w:before="0" w:beforeLines="0" w:beforeAutospacing="0" w:after="0" w:afterLines="0" w:afterAutospacing="0" w:line="500" w:lineRule="exact"/>
              <w:ind w:left="0" w:right="0" w:firstLine="482"/>
              <w:rPr>
                <w:rFonts w:hint="default" w:ascii="Times New Roman" w:hAnsi="Times New Roman" w:eastAsia="宋体" w:cs="Times New Roman"/>
                <w:b/>
                <w:bCs w:val="0"/>
                <w:color w:val="auto"/>
                <w:spacing w:val="0"/>
                <w:sz w:val="24"/>
                <w:szCs w:val="24"/>
                <w:highlight w:val="none"/>
              </w:rPr>
            </w:pPr>
            <w:r>
              <w:rPr>
                <w:rFonts w:hint="eastAsia" w:ascii="Times New Roman" w:hAnsi="Times New Roman" w:eastAsia="宋体" w:cs="Times New Roman"/>
                <w:b/>
                <w:bCs/>
                <w:color w:val="auto"/>
                <w:sz w:val="24"/>
                <w:szCs w:val="24"/>
                <w:highlight w:val="none"/>
                <w:lang w:val="en-US" w:eastAsia="zh-CN" w:bidi="ar"/>
              </w:rPr>
              <w:t>B</w:t>
            </w:r>
            <w:r>
              <w:rPr>
                <w:rFonts w:hint="default" w:ascii="Times New Roman" w:hAnsi="Times New Roman" w:eastAsia="宋体" w:cs="Times New Roman"/>
                <w:b/>
                <w:bCs/>
                <w:color w:val="auto"/>
                <w:sz w:val="24"/>
                <w:szCs w:val="24"/>
                <w:highlight w:val="none"/>
                <w:lang w:val="en-US" w:eastAsia="zh-CN" w:bidi="ar"/>
              </w:rPr>
              <w:t>.</w:t>
            </w:r>
            <w:r>
              <w:rPr>
                <w:rFonts w:hint="eastAsia" w:ascii="Times New Roman" w:hAnsi="Times New Roman" w:eastAsia="宋体" w:cs="Times New Roman"/>
                <w:b/>
                <w:bCs/>
                <w:color w:val="auto"/>
                <w:sz w:val="24"/>
                <w:szCs w:val="24"/>
                <w:highlight w:val="none"/>
                <w:lang w:val="en-US" w:eastAsia="zh-CN" w:bidi="ar"/>
              </w:rPr>
              <w:t>滤筒</w:t>
            </w:r>
            <w:r>
              <w:rPr>
                <w:rFonts w:hint="default" w:ascii="Times New Roman" w:hAnsi="Times New Roman" w:eastAsia="宋体" w:cs="Times New Roman"/>
                <w:b/>
                <w:color w:val="auto"/>
                <w:spacing w:val="0"/>
                <w:sz w:val="24"/>
                <w:szCs w:val="24"/>
                <w:highlight w:val="none"/>
                <w:lang w:eastAsia="zh-CN"/>
              </w:rPr>
              <w:t>除尘器</w:t>
            </w:r>
            <w:r>
              <w:rPr>
                <w:rFonts w:hint="default" w:ascii="Times New Roman" w:hAnsi="Times New Roman" w:eastAsia="宋体" w:cs="Times New Roman"/>
                <w:b/>
                <w:bCs w:val="0"/>
                <w:color w:val="auto"/>
                <w:spacing w:val="0"/>
                <w:sz w:val="24"/>
                <w:szCs w:val="24"/>
                <w:highlight w:val="none"/>
              </w:rPr>
              <w:t>装置</w:t>
            </w:r>
          </w:p>
          <w:p w14:paraId="1FF0C2DB">
            <w:pPr>
              <w:pStyle w:val="59"/>
              <w:keepNext w:val="0"/>
              <w:keepLines w:val="0"/>
              <w:suppressLineNumbers w:val="0"/>
              <w:tabs>
                <w:tab w:val="left" w:pos="417"/>
              </w:tabs>
              <w:spacing w:before="0" w:beforeLines="0" w:beforeAutospacing="0" w:after="0" w:afterLines="0" w:afterAutospacing="0" w:line="500" w:lineRule="exact"/>
              <w:ind w:left="0" w:right="0" w:firstLine="482"/>
              <w:rPr>
                <w:rFonts w:hint="default" w:ascii="Times New Roman" w:hAnsi="Times New Roman" w:eastAsia="宋体" w:cs="Times New Roman"/>
                <w:b w:val="0"/>
                <w:bCs w:val="0"/>
                <w:color w:val="auto"/>
                <w:sz w:val="24"/>
                <w:szCs w:val="24"/>
                <w:highlight w:val="none"/>
                <w:lang w:val="en-US" w:eastAsia="zh-CN" w:bidi="ar"/>
              </w:rPr>
            </w:pPr>
            <w:r>
              <w:rPr>
                <w:rFonts w:hint="eastAsia" w:ascii="Times New Roman" w:hAnsi="Times New Roman" w:eastAsia="宋体" w:cs="Times New Roman"/>
                <w:b w:val="0"/>
                <w:bCs w:val="0"/>
                <w:color w:val="auto"/>
                <w:spacing w:val="0"/>
                <w:sz w:val="24"/>
                <w:szCs w:val="24"/>
                <w:highlight w:val="none"/>
                <w:lang w:val="en-US" w:eastAsia="zh-CN"/>
              </w:rPr>
              <w:t>滤筒除尘器除尘工作原理：除尘器一般为负压运行，含尘气体由进风口进入箱体，在滤</w:t>
            </w:r>
            <w:r>
              <w:rPr>
                <w:rFonts w:hint="eastAsia" w:ascii="Times New Roman" w:hAnsi="Times New Roman" w:eastAsia="宋体" w:cs="Times New Roman"/>
                <w:bCs w:val="0"/>
                <w:color w:val="auto"/>
                <w:spacing w:val="0"/>
                <w:sz w:val="24"/>
                <w:szCs w:val="24"/>
                <w:highlight w:val="none"/>
                <w:lang w:val="en-US" w:eastAsia="zh-CN"/>
              </w:rPr>
              <w:t>筒内负压的作用下，气体从筒外透过滤料进人筒内，气体中的粉尘被过滤在滤料表面，干净气体进人清洁室从出风口排出。当粉尘在滤料表面上越积越多，阻力就越来越大，达到设定值时（也可时间设定），脉冲阀打开，压缩空气直接</w:t>
            </w:r>
            <w:r>
              <w:rPr>
                <w:rFonts w:hint="eastAsia" w:ascii="Times New Roman" w:hAnsi="Times New Roman" w:eastAsia="宋体" w:cs="Times New Roman"/>
                <w:b w:val="0"/>
                <w:bCs w:val="0"/>
                <w:color w:val="auto"/>
                <w:sz w:val="24"/>
                <w:szCs w:val="24"/>
                <w:highlight w:val="none"/>
                <w:lang w:val="en-US" w:eastAsia="zh-CN" w:bidi="ar"/>
              </w:rPr>
              <w:t>吹向滤筒中心，对滤筒进行顺序脉冲清灰，恢复低阻运行。</w:t>
            </w:r>
          </w:p>
          <w:p w14:paraId="14427989">
            <w:pPr>
              <w:pStyle w:val="59"/>
              <w:keepNext w:val="0"/>
              <w:keepLines w:val="0"/>
              <w:suppressLineNumbers w:val="0"/>
              <w:tabs>
                <w:tab w:val="left" w:pos="417"/>
              </w:tabs>
              <w:spacing w:before="0" w:beforeLines="0" w:beforeAutospacing="0" w:after="0" w:afterLines="0" w:afterAutospacing="0" w:line="500" w:lineRule="exact"/>
              <w:ind w:left="0" w:right="0" w:firstLine="482"/>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bidi="ar"/>
              </w:rPr>
              <w:t>处理可行性及达标分</w:t>
            </w:r>
            <w:r>
              <w:rPr>
                <w:rFonts w:hint="default" w:ascii="Times New Roman" w:hAnsi="Times New Roman" w:eastAsia="宋体" w:cs="Times New Roman"/>
                <w:b/>
                <w:bCs/>
                <w:color w:val="auto"/>
                <w:spacing w:val="0"/>
                <w:sz w:val="24"/>
                <w:szCs w:val="24"/>
                <w:highlight w:val="none"/>
                <w:lang w:val="en-US" w:eastAsia="zh-CN"/>
              </w:rPr>
              <w:t>析：</w:t>
            </w:r>
            <w:r>
              <w:rPr>
                <w:rFonts w:hint="eastAsia" w:ascii="Times New Roman" w:hAnsi="Times New Roman" w:eastAsia="宋体" w:cs="Times New Roman"/>
                <w:bCs w:val="0"/>
                <w:color w:val="auto"/>
                <w:spacing w:val="0"/>
                <w:sz w:val="24"/>
                <w:szCs w:val="24"/>
                <w:highlight w:val="none"/>
                <w:lang w:val="en-US" w:eastAsia="zh-CN"/>
              </w:rPr>
              <w:t>根据《废气处理工程技术手册》（化学工业出版社，王纯主编）P231：“滤筒除尘器有99.99%以上的高效率，而这一切完全归功于滤筒技术。”</w:t>
            </w:r>
            <w:r>
              <w:rPr>
                <w:rFonts w:hint="default" w:ascii="Times New Roman" w:hAnsi="Times New Roman" w:eastAsia="宋体" w:cs="Times New Roman"/>
                <w:color w:val="auto"/>
                <w:sz w:val="24"/>
                <w:szCs w:val="24"/>
                <w:highlight w:val="none"/>
              </w:rPr>
              <w:t>故认为本项目</w:t>
            </w:r>
            <w:r>
              <w:rPr>
                <w:rFonts w:hint="eastAsia" w:ascii="Times New Roman" w:hAnsi="Times New Roman" w:eastAsia="宋体" w:cs="Times New Roman"/>
                <w:color w:val="auto"/>
                <w:sz w:val="24"/>
                <w:szCs w:val="24"/>
                <w:highlight w:val="none"/>
                <w:lang w:val="en-US" w:eastAsia="zh-CN"/>
              </w:rPr>
              <w:t>滤筒除尘器</w:t>
            </w:r>
            <w:r>
              <w:rPr>
                <w:rFonts w:hint="default" w:ascii="Times New Roman" w:hAnsi="Times New Roman" w:eastAsia="宋体" w:cs="Times New Roman"/>
                <w:color w:val="auto"/>
                <w:sz w:val="24"/>
                <w:szCs w:val="24"/>
                <w:highlight w:val="none"/>
              </w:rPr>
              <w:t>对</w:t>
            </w:r>
            <w:r>
              <w:rPr>
                <w:rFonts w:hint="eastAsia"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去除效率以9</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%计算是可行的。</w:t>
            </w:r>
          </w:p>
          <w:p w14:paraId="321A02A8">
            <w:pPr>
              <w:pStyle w:val="59"/>
              <w:keepNext w:val="0"/>
              <w:keepLines w:val="0"/>
              <w:suppressLineNumbers w:val="0"/>
              <w:tabs>
                <w:tab w:val="left" w:pos="417"/>
              </w:tabs>
              <w:spacing w:before="0" w:beforeLines="0" w:beforeAutospacing="0" w:after="0" w:afterLines="0" w:afterAutospacing="0" w:line="500" w:lineRule="exact"/>
              <w:ind w:left="0" w:right="0" w:firstLine="482"/>
              <w:rPr>
                <w:rFonts w:hint="default" w:ascii="Times New Roman" w:hAnsi="Times New Roman" w:eastAsia="宋体" w:cs="Times New Roman"/>
                <w:b/>
                <w:bCs w:val="0"/>
                <w:color w:val="auto"/>
                <w:spacing w:val="0"/>
                <w:sz w:val="24"/>
                <w:szCs w:val="24"/>
                <w:highlight w:val="none"/>
              </w:rPr>
            </w:pPr>
            <w:r>
              <w:rPr>
                <w:rFonts w:hint="eastAsia" w:ascii="Times New Roman" w:hAnsi="Times New Roman" w:eastAsia="宋体" w:cs="Times New Roman"/>
                <w:b/>
                <w:bCs/>
                <w:color w:val="auto"/>
                <w:sz w:val="24"/>
                <w:szCs w:val="24"/>
                <w:highlight w:val="none"/>
                <w:lang w:val="en-US" w:eastAsia="zh-CN" w:bidi="ar"/>
              </w:rPr>
              <w:t>C</w:t>
            </w:r>
            <w:r>
              <w:rPr>
                <w:rFonts w:hint="default" w:ascii="Times New Roman" w:hAnsi="Times New Roman" w:eastAsia="宋体" w:cs="Times New Roman"/>
                <w:b/>
                <w:bCs/>
                <w:color w:val="auto"/>
                <w:sz w:val="24"/>
                <w:szCs w:val="24"/>
                <w:highlight w:val="none"/>
                <w:lang w:val="en-US" w:eastAsia="zh-CN" w:bidi="ar"/>
              </w:rPr>
              <w:t>.</w:t>
            </w:r>
            <w:r>
              <w:rPr>
                <w:rFonts w:hint="eastAsia" w:ascii="Times New Roman" w:hAnsi="Times New Roman" w:eastAsia="宋体" w:cs="Times New Roman"/>
                <w:b/>
                <w:bCs/>
                <w:color w:val="auto"/>
                <w:sz w:val="24"/>
                <w:szCs w:val="24"/>
                <w:highlight w:val="none"/>
                <w:lang w:val="en-US" w:eastAsia="zh-CN" w:bidi="ar"/>
              </w:rPr>
              <w:t>旋风</w:t>
            </w:r>
            <w:r>
              <w:rPr>
                <w:rFonts w:hint="default" w:ascii="Times New Roman" w:hAnsi="Times New Roman" w:eastAsia="宋体" w:cs="Times New Roman"/>
                <w:b/>
                <w:color w:val="auto"/>
                <w:spacing w:val="0"/>
                <w:sz w:val="24"/>
                <w:szCs w:val="24"/>
                <w:highlight w:val="none"/>
                <w:lang w:eastAsia="zh-CN"/>
              </w:rPr>
              <w:t>除尘器</w:t>
            </w:r>
            <w:r>
              <w:rPr>
                <w:rFonts w:hint="default" w:ascii="Times New Roman" w:hAnsi="Times New Roman" w:eastAsia="宋体" w:cs="Times New Roman"/>
                <w:b/>
                <w:bCs w:val="0"/>
                <w:color w:val="auto"/>
                <w:spacing w:val="0"/>
                <w:sz w:val="24"/>
                <w:szCs w:val="24"/>
                <w:highlight w:val="none"/>
              </w:rPr>
              <w:t>装置</w:t>
            </w:r>
          </w:p>
          <w:p w14:paraId="69F049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b w:val="0"/>
                <w:bCs w:val="0"/>
                <w:color w:val="auto"/>
                <w:spacing w:val="0"/>
                <w:sz w:val="24"/>
                <w:szCs w:val="24"/>
                <w:highlight w:val="none"/>
                <w:lang w:val="en-US" w:eastAsia="zh-CN"/>
              </w:rPr>
              <w:t>当粉尘由离心风机抽入旋风除尘器内，粉尘颗粒也因此受离心力的作用从气流中分离出来，再受重力作用沿壁落入灰斗，而气体会沿排出管旋转向上从排出管排出。旋风除尘器是一种干式过滤除尘器。</w:t>
            </w:r>
          </w:p>
          <w:p w14:paraId="16D12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val="0"/>
                <w:bCs w:val="0"/>
                <w:color w:val="auto"/>
                <w:spacing w:val="0"/>
                <w:sz w:val="24"/>
                <w:szCs w:val="24"/>
                <w:highlight w:val="none"/>
                <w:lang w:val="en-US" w:eastAsia="zh-CN"/>
              </w:rPr>
              <w:t>旋风除尘器的结构：旋风除尘器是由进气管、排气管、圆筒体、圆锥体和灰斗组成。旋风除尘器结构简单，易于制造、安装和维护管理，设备投资和操作费用都较低，已用于从气流中分离固体和液体粒子，或从液体中分离固体粒子。在普通操作条件下，作用于粒子上的离心力是重力的5～2500倍，所以旋风除尘器的效率高于重力沉降室。利用这一个原理基础成功研究出了一款除尘效率为之九十以上的旋风除尘装置。在机械式除尘器中，旋风式除尘器是效率的一种。它适用于非黏性及非纤维性粉尘的去除，大多用来去除5</w:t>
            </w:r>
            <w:r>
              <w:rPr>
                <w:rFonts w:hint="default" w:ascii="Times New Roman" w:hAnsi="Times New Roman" w:eastAsia="宋体" w:cs="Times New Roman"/>
                <w:b w:val="0"/>
                <w:bCs w:val="0"/>
                <w:color w:val="auto"/>
                <w:spacing w:val="0"/>
                <w:sz w:val="24"/>
                <w:szCs w:val="24"/>
                <w:highlight w:val="none"/>
                <w:lang w:val="en-US" w:eastAsia="zh-CN"/>
              </w:rPr>
              <w:t>μ</w:t>
            </w:r>
            <w:r>
              <w:rPr>
                <w:rFonts w:hint="eastAsia" w:ascii="Times New Roman" w:hAnsi="Times New Roman" w:eastAsia="宋体" w:cs="Times New Roman"/>
                <w:b w:val="0"/>
                <w:bCs w:val="0"/>
                <w:color w:val="auto"/>
                <w:spacing w:val="0"/>
                <w:sz w:val="24"/>
                <w:szCs w:val="24"/>
                <w:highlight w:val="none"/>
                <w:lang w:val="en-US" w:eastAsia="zh-CN"/>
              </w:rPr>
              <w:t>m以上的粒子，并联的多管旋风除尘器装置对3μm的粒子也具有80～85%的除尘效率。选用、蚀和腐蚀的特种金属或陶瓷材料构造的旋风除尘器，可在温度高达1000°C，压力达500×105Pa的条件下操作。从技术、经济诸方面考虑旋风除尘器压力损失控制范围一般为500～2000Pa。</w:t>
            </w:r>
          </w:p>
          <w:p w14:paraId="5FCC5DEA">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color w:val="auto"/>
                <w:spacing w:val="0"/>
                <w:sz w:val="24"/>
                <w:szCs w:val="24"/>
                <w:highlight w:val="none"/>
                <w:lang w:eastAsia="zh-CN"/>
              </w:rPr>
              <w:t>除尘器</w:t>
            </w:r>
            <w:r>
              <w:rPr>
                <w:rFonts w:hint="default" w:ascii="Times New Roman" w:hAnsi="Times New Roman" w:eastAsia="宋体" w:cs="Times New Roman"/>
                <w:b/>
                <w:bCs/>
                <w:color w:val="auto"/>
                <w:sz w:val="24"/>
                <w:highlight w:val="none"/>
                <w:lang w:val="en-US" w:eastAsia="zh-CN"/>
              </w:rPr>
              <w:t>装置</w:t>
            </w:r>
            <w:r>
              <w:rPr>
                <w:rFonts w:hint="eastAsia" w:ascii="Times New Roman" w:hAnsi="Times New Roman" w:eastAsia="宋体" w:cs="Times New Roman"/>
                <w:b/>
                <w:bCs/>
                <w:color w:val="auto"/>
                <w:sz w:val="24"/>
                <w:highlight w:val="none"/>
                <w:lang w:val="en-US" w:eastAsia="zh-CN"/>
              </w:rPr>
              <w:t>安全</w:t>
            </w:r>
            <w:r>
              <w:rPr>
                <w:rFonts w:hint="default" w:ascii="Times New Roman" w:hAnsi="Times New Roman" w:eastAsia="宋体" w:cs="Times New Roman"/>
                <w:b/>
                <w:bCs/>
                <w:color w:val="auto"/>
                <w:sz w:val="24"/>
                <w:highlight w:val="none"/>
                <w:lang w:val="en-US" w:eastAsia="zh-CN"/>
              </w:rPr>
              <w:t>设置要求：</w:t>
            </w:r>
          </w:p>
          <w:p w14:paraId="1937F1E6">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按照《粉尘防爆安全规程》（GB15577-2018）、《粉尘爆炸危险场所用除尘系统安全技术规范》（AQ4273-2016）</w:t>
            </w:r>
            <w:r>
              <w:rPr>
                <w:rFonts w:hint="eastAsia" w:ascii="Times New Roman" w:hAnsi="Times New Roman" w:eastAsia="宋体" w:cs="Times New Roman"/>
                <w:b w:val="0"/>
                <w:bCs w:val="0"/>
                <w:color w:val="auto"/>
                <w:sz w:val="24"/>
                <w:highlight w:val="none"/>
                <w:lang w:val="en-US" w:eastAsia="zh-CN"/>
              </w:rPr>
              <w:t>、《涂装作业安全规程 粉末静电喷涂工艺安全》（GB15607-2008）、《粉尘爆炸危险场所用收尘器防爆导则》（GB17919-2008）</w:t>
            </w:r>
            <w:r>
              <w:rPr>
                <w:rFonts w:hint="default" w:ascii="Times New Roman" w:hAnsi="Times New Roman" w:eastAsia="宋体" w:cs="Times New Roman"/>
                <w:b w:val="0"/>
                <w:bCs w:val="0"/>
                <w:color w:val="auto"/>
                <w:sz w:val="24"/>
                <w:highlight w:val="none"/>
                <w:lang w:val="en-US" w:eastAsia="zh-CN"/>
              </w:rPr>
              <w:t>安全设置规定，本项目对拟建</w:t>
            </w:r>
            <w:r>
              <w:rPr>
                <w:rFonts w:hint="eastAsia" w:ascii="Times New Roman" w:hAnsi="Times New Roman" w:eastAsia="宋体" w:cs="Times New Roman"/>
                <w:b w:val="0"/>
                <w:bCs w:val="0"/>
                <w:color w:val="auto"/>
                <w:sz w:val="24"/>
                <w:highlight w:val="none"/>
                <w:lang w:val="en-US" w:eastAsia="zh-CN"/>
              </w:rPr>
              <w:t>除尘器</w:t>
            </w:r>
            <w:r>
              <w:rPr>
                <w:rFonts w:hint="default" w:ascii="Times New Roman" w:hAnsi="Times New Roman" w:eastAsia="宋体" w:cs="Times New Roman"/>
                <w:b w:val="0"/>
                <w:bCs w:val="0"/>
                <w:color w:val="auto"/>
                <w:sz w:val="24"/>
                <w:highlight w:val="none"/>
                <w:lang w:val="en-US" w:eastAsia="zh-CN"/>
              </w:rPr>
              <w:t>装置提出以下要求：</w:t>
            </w:r>
          </w:p>
          <w:p w14:paraId="2AAE5E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粉尘爆炸危险场所除尘系统不应与带有可燃气体、高温气体或其他工业气体的风管及设备连通</w:t>
            </w:r>
            <w:r>
              <w:rPr>
                <w:rFonts w:hint="eastAsia" w:ascii="Times New Roman" w:hAnsi="Times New Roman" w:eastAsia="宋体" w:cs="Times New Roman"/>
                <w:b w:val="0"/>
                <w:bCs w:val="0"/>
                <w:color w:val="auto"/>
                <w:sz w:val="24"/>
                <w:highlight w:val="none"/>
                <w:lang w:val="en-US" w:eastAsia="zh-CN"/>
              </w:rPr>
              <w:t>。</w:t>
            </w:r>
          </w:p>
          <w:p w14:paraId="6853F0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lang w:val="en-US" w:eastAsia="zh-CN"/>
              </w:rPr>
              <w:t>应按工艺分片（分区域）设置相对独立的除尘系统</w:t>
            </w:r>
            <w:r>
              <w:rPr>
                <w:rFonts w:hint="eastAsia" w:ascii="Times New Roman" w:hAnsi="Times New Roman" w:eastAsia="宋体" w:cs="Times New Roman"/>
                <w:b w:val="0"/>
                <w:bCs w:val="0"/>
                <w:color w:val="auto"/>
                <w:sz w:val="24"/>
                <w:highlight w:val="none"/>
                <w:lang w:val="en-US" w:eastAsia="zh-CN"/>
              </w:rPr>
              <w:t>。</w:t>
            </w:r>
          </w:p>
          <w:p w14:paraId="1F49F2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lang w:val="en-US" w:eastAsia="zh-CN"/>
              </w:rPr>
              <w:t>除尘器宜布置在厂房建筑物外部。如干式除尘器安装在厂房内，应安装在厂房内的建筑物外墙处的单独房间内</w:t>
            </w:r>
            <w:r>
              <w:rPr>
                <w:rFonts w:hint="eastAsia" w:ascii="Times New Roman" w:hAnsi="Times New Roman" w:eastAsia="宋体" w:cs="Times New Roman"/>
                <w:b w:val="0"/>
                <w:bCs w:val="0"/>
                <w:color w:val="auto"/>
                <w:sz w:val="24"/>
                <w:highlight w:val="none"/>
                <w:lang w:val="en-US" w:eastAsia="zh-CN"/>
              </w:rPr>
              <w:t>。</w:t>
            </w:r>
          </w:p>
          <w:p w14:paraId="3F8733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w:t>
            </w:r>
            <w:r>
              <w:rPr>
                <w:rFonts w:hint="default" w:ascii="Times New Roman" w:hAnsi="Times New Roman" w:eastAsia="宋体" w:cs="Times New Roman"/>
                <w:b w:val="0"/>
                <w:bCs w:val="0"/>
                <w:color w:val="auto"/>
                <w:sz w:val="24"/>
                <w:highlight w:val="none"/>
                <w:lang w:val="en-US" w:eastAsia="zh-CN"/>
              </w:rPr>
              <w:t>干式除尘器应设置锁气卸灰装置，及时清卸灰仓内的积灰，设置卸灰装置运行异常及故障停机的监控装置，出现异常及故障停机状况时</w:t>
            </w:r>
            <w:r>
              <w:rPr>
                <w:rFonts w:hint="eastAsia" w:ascii="Times New Roman" w:hAnsi="Times New Roman" w:eastAsia="宋体" w:cs="Times New Roman"/>
                <w:b w:val="0"/>
                <w:bCs w:val="0"/>
                <w:color w:val="auto"/>
                <w:sz w:val="24"/>
                <w:highlight w:val="none"/>
                <w:lang w:val="en-US" w:eastAsia="zh-CN"/>
              </w:rPr>
              <w:t>应</w:t>
            </w:r>
            <w:r>
              <w:rPr>
                <w:rFonts w:hint="default" w:ascii="Times New Roman" w:hAnsi="Times New Roman" w:eastAsia="宋体" w:cs="Times New Roman"/>
                <w:b w:val="0"/>
                <w:bCs w:val="0"/>
                <w:color w:val="auto"/>
                <w:sz w:val="24"/>
                <w:highlight w:val="none"/>
                <w:lang w:val="en-US" w:eastAsia="zh-CN"/>
              </w:rPr>
              <w:t>发出声光报警信号</w:t>
            </w:r>
            <w:r>
              <w:rPr>
                <w:rFonts w:hint="eastAsia" w:ascii="Times New Roman" w:hAnsi="Times New Roman" w:eastAsia="宋体" w:cs="Times New Roman"/>
                <w:b w:val="0"/>
                <w:bCs w:val="0"/>
                <w:color w:val="auto"/>
                <w:sz w:val="24"/>
                <w:highlight w:val="none"/>
                <w:lang w:val="en-US" w:eastAsia="zh-CN"/>
              </w:rPr>
              <w:t>。</w:t>
            </w:r>
          </w:p>
          <w:p w14:paraId="28362D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⑤</w:t>
            </w:r>
            <w:r>
              <w:rPr>
                <w:rFonts w:hint="default" w:ascii="Times New Roman" w:hAnsi="Times New Roman" w:eastAsia="宋体" w:cs="Times New Roman"/>
                <w:b w:val="0"/>
                <w:bCs w:val="0"/>
                <w:color w:val="auto"/>
                <w:sz w:val="24"/>
                <w:highlight w:val="none"/>
                <w:lang w:val="en-US" w:eastAsia="zh-CN"/>
              </w:rPr>
              <w:t>干式除尘系统采取预防和控制粉尘爆炸的措施，选用一种或多种防爆装置：泄爆装 置、惰化装置、隔爆装置、 抑爆装置</w:t>
            </w:r>
            <w:r>
              <w:rPr>
                <w:rFonts w:hint="eastAsia" w:ascii="Times New Roman" w:hAnsi="Times New Roman" w:eastAsia="宋体" w:cs="Times New Roman"/>
                <w:b w:val="0"/>
                <w:bCs w:val="0"/>
                <w:color w:val="auto"/>
                <w:sz w:val="24"/>
                <w:highlight w:val="none"/>
                <w:lang w:val="en-US" w:eastAsia="zh-CN"/>
              </w:rPr>
              <w:t>。</w:t>
            </w:r>
          </w:p>
          <w:p w14:paraId="562E69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⑥</w:t>
            </w:r>
            <w:r>
              <w:rPr>
                <w:rFonts w:hint="default" w:ascii="Times New Roman" w:hAnsi="Times New Roman" w:eastAsia="宋体" w:cs="Times New Roman"/>
                <w:b w:val="0"/>
                <w:bCs w:val="0"/>
                <w:color w:val="auto"/>
                <w:sz w:val="24"/>
                <w:highlight w:val="none"/>
                <w:lang w:val="en-US" w:eastAsia="zh-CN"/>
              </w:rPr>
              <w:t>除尘器应设置进、出口风压差监测报警装置，除尘器安装或滤袋更换在不超过8h的使用期内应记录除尘器的进、出口风压的监测数值，当进、出口风压力变化大于允许值的20%时，监测装置应发出声光报警信号</w:t>
            </w:r>
            <w:r>
              <w:rPr>
                <w:rFonts w:hint="eastAsia" w:ascii="Times New Roman" w:hAnsi="Times New Roman" w:eastAsia="宋体" w:cs="Times New Roman"/>
                <w:b w:val="0"/>
                <w:bCs w:val="0"/>
                <w:color w:val="auto"/>
                <w:sz w:val="24"/>
                <w:highlight w:val="none"/>
                <w:lang w:val="en-US" w:eastAsia="zh-CN"/>
              </w:rPr>
              <w:t>。</w:t>
            </w:r>
          </w:p>
          <w:p w14:paraId="4BF178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⑦</w:t>
            </w:r>
            <w:r>
              <w:rPr>
                <w:rFonts w:hint="default" w:ascii="Times New Roman" w:hAnsi="Times New Roman" w:eastAsia="宋体" w:cs="Times New Roman"/>
                <w:b w:val="0"/>
                <w:bCs w:val="0"/>
                <w:color w:val="auto"/>
                <w:sz w:val="24"/>
                <w:highlight w:val="none"/>
                <w:lang w:val="en-US" w:eastAsia="zh-CN"/>
              </w:rPr>
              <w:t>袋式外滤除尘器设置清灰压力监测报警装置，当清灰压力低于设定值时应发出声光报警信号</w:t>
            </w:r>
            <w:r>
              <w:rPr>
                <w:rFonts w:hint="eastAsia" w:ascii="Times New Roman" w:hAnsi="Times New Roman" w:eastAsia="宋体" w:cs="Times New Roman"/>
                <w:b w:val="0"/>
                <w:bCs w:val="0"/>
                <w:color w:val="auto"/>
                <w:sz w:val="24"/>
                <w:highlight w:val="none"/>
                <w:lang w:val="en-US" w:eastAsia="zh-CN"/>
              </w:rPr>
              <w:t>。</w:t>
            </w:r>
          </w:p>
          <w:p w14:paraId="22528D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⑧</w:t>
            </w:r>
            <w:r>
              <w:rPr>
                <w:rFonts w:hint="default" w:ascii="Times New Roman" w:hAnsi="Times New Roman" w:eastAsia="宋体" w:cs="Times New Roman"/>
                <w:b w:val="0"/>
                <w:bCs w:val="0"/>
                <w:color w:val="auto"/>
                <w:sz w:val="24"/>
                <w:highlight w:val="none"/>
                <w:lang w:val="en-US" w:eastAsia="zh-CN"/>
              </w:rPr>
              <w:t>风机后串联二级袋式除尘器，而且为自动喷涂，则机应选择防爆型</w:t>
            </w:r>
            <w:r>
              <w:rPr>
                <w:rFonts w:hint="eastAsia" w:ascii="Times New Roman" w:hAnsi="Times New Roman" w:eastAsia="宋体" w:cs="Times New Roman"/>
                <w:b w:val="0"/>
                <w:bCs w:val="0"/>
                <w:color w:val="auto"/>
                <w:sz w:val="24"/>
                <w:highlight w:val="none"/>
                <w:lang w:val="en-US" w:eastAsia="zh-CN"/>
              </w:rPr>
              <w:t>。</w:t>
            </w:r>
          </w:p>
          <w:p w14:paraId="59542C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⑨</w:t>
            </w:r>
            <w:r>
              <w:rPr>
                <w:rFonts w:hint="default" w:ascii="Times New Roman" w:hAnsi="Times New Roman" w:eastAsia="宋体" w:cs="Times New Roman"/>
                <w:b w:val="0"/>
                <w:bCs w:val="0"/>
                <w:color w:val="auto"/>
                <w:sz w:val="24"/>
                <w:highlight w:val="none"/>
                <w:lang w:val="en-US" w:eastAsia="zh-CN"/>
              </w:rPr>
              <w:t>与喷粉室相连的粉末回收装置以及高效过滤器应设置能将爆炸压力引向安全位置的泄压装置；连续自动喷粉作业的回收系统应配备风量监测器，当风量低于安全值时，喷粉装置能自动停止喷粉</w:t>
            </w:r>
            <w:r>
              <w:rPr>
                <w:rFonts w:hint="eastAsia" w:ascii="Times New Roman" w:hAnsi="Times New Roman" w:eastAsia="宋体" w:cs="Times New Roman"/>
                <w:b w:val="0"/>
                <w:bCs w:val="0"/>
                <w:color w:val="auto"/>
                <w:sz w:val="24"/>
                <w:highlight w:val="none"/>
                <w:lang w:val="en-US" w:eastAsia="zh-CN"/>
              </w:rPr>
              <w:t>。</w:t>
            </w:r>
          </w:p>
          <w:p w14:paraId="7A5A4B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⑩</w:t>
            </w:r>
            <w:r>
              <w:rPr>
                <w:rFonts w:hint="default" w:ascii="Times New Roman" w:hAnsi="Times New Roman" w:eastAsia="宋体" w:cs="Times New Roman"/>
                <w:b w:val="0"/>
                <w:bCs w:val="0"/>
                <w:color w:val="auto"/>
                <w:sz w:val="24"/>
                <w:highlight w:val="none"/>
                <w:lang w:val="en-US" w:eastAsia="zh-CN"/>
              </w:rPr>
              <w:t>在回收、净化装置的卸料口及卸料过程中，应有防止粉尘飞逸的措施</w:t>
            </w:r>
            <w:r>
              <w:rPr>
                <w:rFonts w:hint="eastAsia" w:ascii="Times New Roman" w:hAnsi="Times New Roman" w:eastAsia="宋体" w:cs="Times New Roman"/>
                <w:b w:val="0"/>
                <w:bCs w:val="0"/>
                <w:color w:val="auto"/>
                <w:sz w:val="24"/>
                <w:highlight w:val="none"/>
                <w:lang w:val="en-US" w:eastAsia="zh-CN"/>
              </w:rPr>
              <w:t>。</w:t>
            </w:r>
          </w:p>
          <w:p w14:paraId="60E9FA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微软雅黑" w:hAnsi="微软雅黑" w:eastAsia="微软雅黑" w:cs="微软雅黑"/>
                <w:b w:val="0"/>
                <w:bCs w:val="0"/>
                <w:color w:val="auto"/>
                <w:sz w:val="24"/>
                <w:highlight w:val="none"/>
                <w:lang w:val="en-US" w:eastAsia="zh-CN"/>
              </w:rPr>
              <w:t>⑪</w:t>
            </w:r>
            <w:r>
              <w:rPr>
                <w:rFonts w:hint="default" w:ascii="Times New Roman" w:hAnsi="Times New Roman" w:eastAsia="宋体" w:cs="Times New Roman"/>
                <w:b w:val="0"/>
                <w:bCs w:val="0"/>
                <w:color w:val="auto"/>
                <w:sz w:val="24"/>
                <w:highlight w:val="none"/>
                <w:lang w:val="en-US" w:eastAsia="zh-CN"/>
              </w:rPr>
              <w:t>收尘器如安装于室内，其泄爆管应直通室外，且长度小于3m，并根据粉尘属性确定是否设立隔（阻）爆装置；在收尘器进、出风口处宜设置隔离阀，并安装温度监控装置；滤料应具备阻燃性能</w:t>
            </w:r>
            <w:r>
              <w:rPr>
                <w:rFonts w:hint="eastAsia" w:ascii="Times New Roman" w:hAnsi="Times New Roman" w:eastAsia="宋体" w:cs="Times New Roman"/>
                <w:b w:val="0"/>
                <w:bCs w:val="0"/>
                <w:color w:val="auto"/>
                <w:sz w:val="24"/>
                <w:highlight w:val="none"/>
                <w:lang w:val="en-US" w:eastAsia="zh-CN"/>
              </w:rPr>
              <w:t>。</w:t>
            </w:r>
          </w:p>
          <w:p w14:paraId="46DC82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微软雅黑" w:hAnsi="微软雅黑" w:eastAsia="微软雅黑" w:cs="微软雅黑"/>
                <w:b w:val="0"/>
                <w:bCs w:val="0"/>
                <w:color w:val="auto"/>
                <w:sz w:val="24"/>
                <w:highlight w:val="none"/>
                <w:lang w:val="en-US" w:eastAsia="zh-CN"/>
              </w:rPr>
              <w:t>⑫</w:t>
            </w:r>
            <w:r>
              <w:rPr>
                <w:rFonts w:hint="default" w:ascii="Times New Roman" w:hAnsi="Times New Roman" w:eastAsia="宋体" w:cs="Times New Roman"/>
                <w:b w:val="0"/>
                <w:bCs w:val="0"/>
                <w:color w:val="auto"/>
                <w:sz w:val="24"/>
                <w:highlight w:val="none"/>
                <w:lang w:val="en-US" w:eastAsia="zh-CN"/>
              </w:rPr>
              <w:t>收尘器的下列参数进行监测：进、出口风压差；进、出风口和灰斗的温度；出现下列故障时应予报警：进、出风口压差过高；温度异常升高</w:t>
            </w:r>
            <w:r>
              <w:rPr>
                <w:rFonts w:hint="eastAsia" w:ascii="Times New Roman" w:hAnsi="Times New Roman" w:eastAsia="宋体" w:cs="Times New Roman"/>
                <w:b w:val="0"/>
                <w:bCs w:val="0"/>
                <w:color w:val="auto"/>
                <w:sz w:val="24"/>
                <w:highlight w:val="none"/>
                <w:lang w:val="en-US" w:eastAsia="zh-CN"/>
              </w:rPr>
              <w:t>。</w:t>
            </w:r>
          </w:p>
          <w:p w14:paraId="69BD2774">
            <w:pPr>
              <w:pStyle w:val="59"/>
              <w:keepNext w:val="0"/>
              <w:keepLines w:val="0"/>
              <w:pageBreakBefore w:val="0"/>
              <w:widowControl w:val="0"/>
              <w:suppressLineNumbers w:val="0"/>
              <w:tabs>
                <w:tab w:val="left" w:pos="417"/>
              </w:tabs>
              <w:kinsoku/>
              <w:wordWrap/>
              <w:overflowPunct/>
              <w:topLinePunct w:val="0"/>
              <w:bidi w:val="0"/>
              <w:adjustRightInd w:val="0"/>
              <w:snapToGrid w:val="0"/>
              <w:spacing w:before="0" w:beforeLines="0" w:beforeAutospacing="0" w:after="0" w:afterLines="0" w:afterAutospacing="0" w:line="360" w:lineRule="auto"/>
              <w:ind w:left="0" w:right="0" w:firstLine="482"/>
              <w:textAlignment w:val="auto"/>
              <w:rPr>
                <w:rFonts w:hint="default" w:ascii="Times New Roman" w:hAnsi="Times New Roman" w:eastAsia="宋体" w:cs="Times New Roman"/>
                <w:b/>
                <w:bCs w:val="0"/>
                <w:color w:val="auto"/>
                <w:spacing w:val="0"/>
                <w:sz w:val="24"/>
                <w:szCs w:val="24"/>
                <w:highlight w:val="none"/>
              </w:rPr>
            </w:pPr>
            <w:r>
              <w:rPr>
                <w:rFonts w:hint="eastAsia" w:ascii="Times New Roman" w:hAnsi="Times New Roman" w:eastAsia="宋体" w:cs="Times New Roman"/>
                <w:b/>
                <w:bCs/>
                <w:color w:val="auto"/>
                <w:sz w:val="24"/>
                <w:szCs w:val="24"/>
                <w:highlight w:val="none"/>
                <w:lang w:val="en-US" w:eastAsia="zh-CN" w:bidi="ar"/>
              </w:rPr>
              <w:t>D</w:t>
            </w:r>
            <w:r>
              <w:rPr>
                <w:rFonts w:hint="default" w:ascii="Times New Roman" w:hAnsi="Times New Roman" w:eastAsia="宋体" w:cs="Times New Roman"/>
                <w:b/>
                <w:bCs/>
                <w:color w:val="auto"/>
                <w:sz w:val="24"/>
                <w:szCs w:val="24"/>
                <w:highlight w:val="none"/>
                <w:lang w:val="en-US" w:eastAsia="zh-CN" w:bidi="ar"/>
              </w:rPr>
              <w:t>.</w:t>
            </w:r>
            <w:r>
              <w:rPr>
                <w:rFonts w:hint="eastAsia" w:ascii="Times New Roman" w:hAnsi="Times New Roman" w:eastAsia="宋体" w:cs="Times New Roman"/>
                <w:b/>
                <w:bCs/>
                <w:color w:val="auto"/>
                <w:sz w:val="24"/>
                <w:szCs w:val="24"/>
                <w:highlight w:val="none"/>
                <w:lang w:val="en-US" w:eastAsia="zh-CN" w:bidi="ar"/>
              </w:rPr>
              <w:t>低氮燃烧器</w:t>
            </w:r>
            <w:r>
              <w:rPr>
                <w:rFonts w:hint="default" w:ascii="Times New Roman" w:hAnsi="Times New Roman" w:eastAsia="宋体" w:cs="Times New Roman"/>
                <w:b/>
                <w:bCs w:val="0"/>
                <w:color w:val="auto"/>
                <w:spacing w:val="0"/>
                <w:sz w:val="24"/>
                <w:szCs w:val="24"/>
                <w:highlight w:val="none"/>
              </w:rPr>
              <w:t>装置</w:t>
            </w:r>
          </w:p>
          <w:p w14:paraId="1069F5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b w:val="0"/>
                <w:bCs w:val="0"/>
                <w:color w:val="auto"/>
                <w:spacing w:val="0"/>
                <w:sz w:val="24"/>
                <w:szCs w:val="24"/>
                <w:highlight w:val="none"/>
                <w:lang w:val="en-US" w:eastAsia="zh-CN"/>
              </w:rPr>
              <w:t>低氮燃烧器是指燃料燃烧过程中NOx产生量低的燃烧器。传统的天然气热处理炉燃烧器通常的NOx排放浓度在120~150mg/m</w:t>
            </w:r>
            <w:r>
              <w:rPr>
                <w:rFonts w:hint="eastAsia" w:ascii="Times New Roman" w:hAnsi="Times New Roman" w:eastAsia="宋体" w:cs="Times New Roman"/>
                <w:b w:val="0"/>
                <w:bCs w:val="0"/>
                <w:color w:val="auto"/>
                <w:spacing w:val="0"/>
                <w:sz w:val="24"/>
                <w:szCs w:val="24"/>
                <w:highlight w:val="none"/>
                <w:vertAlign w:val="superscript"/>
                <w:lang w:val="en-US" w:eastAsia="zh-CN"/>
              </w:rPr>
              <w:t>3</w:t>
            </w:r>
            <w:r>
              <w:rPr>
                <w:rFonts w:hint="eastAsia" w:ascii="Times New Roman" w:hAnsi="Times New Roman" w:eastAsia="宋体" w:cs="Times New Roman"/>
                <w:b w:val="0"/>
                <w:bCs w:val="0"/>
                <w:color w:val="auto"/>
                <w:spacing w:val="0"/>
                <w:sz w:val="24"/>
                <w:szCs w:val="24"/>
                <w:highlight w:val="none"/>
                <w:lang w:val="en-US" w:eastAsia="zh-CN"/>
              </w:rPr>
              <w:t>。而低氮燃烧器通常的NOx排放在30~80mg/m</w:t>
            </w:r>
            <w:r>
              <w:rPr>
                <w:rFonts w:hint="eastAsia" w:ascii="Times New Roman" w:hAnsi="Times New Roman" w:eastAsia="宋体" w:cs="Times New Roman"/>
                <w:b w:val="0"/>
                <w:bCs w:val="0"/>
                <w:color w:val="auto"/>
                <w:spacing w:val="0"/>
                <w:sz w:val="24"/>
                <w:szCs w:val="24"/>
                <w:highlight w:val="none"/>
                <w:vertAlign w:val="superscript"/>
                <w:lang w:val="en-US" w:eastAsia="zh-CN"/>
              </w:rPr>
              <w:t>3</w:t>
            </w:r>
            <w:r>
              <w:rPr>
                <w:rFonts w:hint="eastAsia" w:ascii="Times New Roman" w:hAnsi="Times New Roman" w:eastAsia="宋体" w:cs="Times New Roman"/>
                <w:b w:val="0"/>
                <w:bCs w:val="0"/>
                <w:color w:val="auto"/>
                <w:spacing w:val="0"/>
                <w:sz w:val="24"/>
                <w:szCs w:val="24"/>
                <w:highlight w:val="none"/>
                <w:lang w:val="en-US" w:eastAsia="zh-CN"/>
              </w:rPr>
              <w:t>的左右。燃烧理论将NOx的生成分为热力型NOx、快速型NOx和燃料型NOx。天然气中含氮量较低，因此，燃料型NOx不是其主要的控制类型。热力型NOx是指燃烧用空气中的N</w:t>
            </w:r>
            <w:r>
              <w:rPr>
                <w:rFonts w:hint="eastAsia" w:ascii="Times New Roman" w:hAnsi="Times New Roman" w:eastAsia="宋体" w:cs="Times New Roman"/>
                <w:b w:val="0"/>
                <w:bCs w:val="0"/>
                <w:color w:val="auto"/>
                <w:spacing w:val="0"/>
                <w:sz w:val="24"/>
                <w:szCs w:val="24"/>
                <w:highlight w:val="none"/>
                <w:vertAlign w:val="subscript"/>
                <w:lang w:val="en-US" w:eastAsia="zh-CN"/>
              </w:rPr>
              <w:t>2</w:t>
            </w:r>
            <w:r>
              <w:rPr>
                <w:rFonts w:hint="eastAsia" w:ascii="Times New Roman" w:hAnsi="Times New Roman" w:eastAsia="宋体" w:cs="Times New Roman"/>
                <w:b w:val="0"/>
                <w:bCs w:val="0"/>
                <w:color w:val="auto"/>
                <w:spacing w:val="0"/>
                <w:sz w:val="24"/>
                <w:szCs w:val="24"/>
                <w:highlight w:val="none"/>
                <w:lang w:val="en-US" w:eastAsia="zh-CN"/>
              </w:rPr>
              <w:t>在高温下氧化生成NOx。关于热力型NOx的生成机理一般采用捷里道维奇机理：当温度低于1500℃时，热力型NOx的生成量很少；高于1500℃时，温度每升高100℃，反应速度将增大6~7倍。在实际燃烧过程中，由于燃烧室内的温度分布是不均匀的，如果有局部高温区，则在这些区域会生成较多的NOx，它可能会对整个燃烧室内的NOx生成起关键性的作用。快速型NOx在碳氢燃料燃烧且富燃料的情况下，反应区会快速生成NOx。燃料和空气混合物进入炉膛后，由于受到周围高温烟气的对流和辐射加热，混合物气流温度很快上升。当达到着火温度时，燃料开始燃烧，这时温度急剧上升到近于绝热温度水平。同时，由于烟气与周围介质间的对流和辐射换热，温度逐渐降低，直到与周围介质温度相同，也即烟气边冷却边流过整个炉膛。由此可见，炉内的火焰温度分布实际上是不均匀的。通常，离燃烧器出口一定距离处的温度最高，在其前后的温度都较低，即存在局部高温区。由于该区的温度要比炉内平均温度水平高得多，因此它对NOx生成量有很大的影响：温度越高，NOx生成量越多。因此，在炉膛中，为了抑制NOx的生成，除了降低炉内平均温度外，还必须设法使炉内温度分布均匀，避免局部高温。合理控制火焰高温区温度能减少50%以上生成量。</w:t>
            </w:r>
          </w:p>
          <w:p w14:paraId="4FB5562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（2）无组织废气</w:t>
            </w:r>
          </w:p>
          <w:p w14:paraId="346140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应对无组织排放源加强管理，拟采取的控制措施有：</w:t>
            </w:r>
          </w:p>
          <w:p w14:paraId="79A7CE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①车间内安装良好的净化通风设施，保持生产车间风机的正常运转；</w:t>
            </w:r>
          </w:p>
          <w:p w14:paraId="309372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②设备需要采购质量合格的产品，并且定期检查、检修，尤其注意对集气管、吸气管路、阀门等关键部位的检查，保持装置密封性良好；</w:t>
            </w:r>
          </w:p>
          <w:p w14:paraId="0CAB8B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③生产车间大部分工艺采用自动化控制系统，各项控制参数做到实时、无缝监控；</w:t>
            </w:r>
          </w:p>
          <w:p w14:paraId="65B2E7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④加强对工程技术人员及操作工的培训，熟悉各类物品的物化性质，熟练掌握操作规程，考核合格持上岗证方可上岗；加强劳动保护措施，以防各种辅料对操作工人产生毒害；</w:t>
            </w:r>
          </w:p>
          <w:p w14:paraId="475468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⑤完善各类规章制度，加强管理，所有操作严格按照操作规程进行。</w:t>
            </w:r>
          </w:p>
          <w:p w14:paraId="72943892">
            <w:pPr>
              <w:pStyle w:val="58"/>
              <w:spacing w:line="360" w:lineRule="auto"/>
              <w:ind w:firstLine="480" w:firstLineChars="200"/>
              <w:jc w:val="both"/>
              <w:rPr>
                <w:rFonts w:hint="default" w:ascii="Times New Roman" w:hAnsi="Times New Roman" w:eastAsia="宋体" w:cs="Times New Roman"/>
                <w:b w:val="0"/>
                <w:bCs/>
                <w:color w:val="auto"/>
                <w:sz w:val="24"/>
                <w:highlight w:val="none"/>
              </w:rPr>
            </w:pPr>
          </w:p>
        </w:tc>
      </w:tr>
    </w:tbl>
    <w:p w14:paraId="6E2DA9D2">
      <w:pPr>
        <w:numPr>
          <w:ilvl w:val="0"/>
          <w:numId w:val="0"/>
        </w:num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459"/>
      </w:tblGrid>
      <w:tr w14:paraId="2109A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56ABA09B">
            <w:pPr>
              <w:adjustRightInd w:val="0"/>
              <w:snapToGrid w:val="0"/>
              <w:jc w:val="center"/>
              <w:rPr>
                <w:rFonts w:hint="default" w:ascii="Times New Roman" w:hAnsi="Times New Roman" w:eastAsia="宋体" w:cs="Times New Roman"/>
                <w:bCs/>
                <w:color w:val="auto"/>
                <w:sz w:val="28"/>
                <w:szCs w:val="28"/>
                <w:highlight w:val="none"/>
              </w:rPr>
            </w:pPr>
            <w:r>
              <w:rPr>
                <w:rFonts w:hint="default" w:ascii="Times New Roman" w:hAnsi="Times New Roman" w:eastAsia="宋体" w:cs="Times New Roman"/>
                <w:b/>
                <w:bCs w:val="0"/>
                <w:color w:val="auto"/>
                <w:sz w:val="24"/>
                <w:szCs w:val="24"/>
                <w:highlight w:val="none"/>
              </w:rPr>
              <w:t>运营期环境影响和保护措施</w:t>
            </w:r>
          </w:p>
        </w:tc>
        <w:tc>
          <w:tcPr>
            <w:tcW w:w="4747" w:type="pct"/>
            <w:vAlign w:val="center"/>
          </w:tcPr>
          <w:p w14:paraId="54D5B3B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8"/>
                <w:szCs w:val="28"/>
                <w:highlight w:val="none"/>
              </w:rPr>
            </w:pPr>
            <w:r>
              <w:rPr>
                <w:rFonts w:hint="default" w:ascii="Times New Roman" w:hAnsi="Times New Roman" w:eastAsia="宋体" w:cs="Times New Roman"/>
                <w:b/>
                <w:bCs w:val="0"/>
                <w:color w:val="auto"/>
                <w:sz w:val="24"/>
                <w:highlight w:val="none"/>
                <w:lang w:val="en-US" w:eastAsia="zh-CN"/>
              </w:rPr>
              <w:t>3.</w:t>
            </w:r>
            <w:r>
              <w:rPr>
                <w:rFonts w:hint="default" w:ascii="Times New Roman" w:hAnsi="Times New Roman" w:eastAsia="宋体" w:cs="Times New Roman"/>
                <w:b/>
                <w:bCs w:val="0"/>
                <w:color w:val="auto"/>
                <w:sz w:val="24"/>
                <w:highlight w:val="none"/>
              </w:rPr>
              <w:t>达标情况分析</w:t>
            </w:r>
          </w:p>
          <w:p w14:paraId="0022007D">
            <w:pPr>
              <w:pStyle w:val="59"/>
              <w:keepNext w:val="0"/>
              <w:keepLines w:val="0"/>
              <w:suppressLineNumbers w:val="0"/>
              <w:spacing w:before="0" w:beforeLines="0" w:beforeAutospacing="0" w:after="0" w:afterLines="0" w:afterAutospacing="0" w:line="48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本项目</w:t>
            </w:r>
            <w:r>
              <w:rPr>
                <w:rFonts w:hint="default" w:ascii="Times New Roman" w:hAnsi="Times New Roman" w:eastAsia="宋体" w:cs="Times New Roman"/>
                <w:color w:val="auto"/>
                <w:spacing w:val="0"/>
                <w:sz w:val="24"/>
                <w:szCs w:val="24"/>
                <w:highlight w:val="none"/>
              </w:rPr>
              <w:t>有组织及无组织废气产生及排放情况如下：</w:t>
            </w:r>
          </w:p>
          <w:p w14:paraId="6C85C1D5">
            <w:pPr>
              <w:pStyle w:val="59"/>
              <w:keepNext w:val="0"/>
              <w:keepLines w:val="0"/>
              <w:suppressLineNumbers w:val="0"/>
              <w:spacing w:before="0" w:beforeLines="0" w:beforeAutospacing="0" w:after="0" w:afterLines="0" w:afterAutospacing="0" w:line="48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5</w:t>
            </w:r>
            <w:r>
              <w:rPr>
                <w:rFonts w:hint="default" w:ascii="Times New Roman" w:hAnsi="Times New Roman" w:eastAsia="宋体" w:cs="Times New Roman"/>
                <w:b/>
                <w:bCs w:val="0"/>
                <w:color w:val="auto"/>
                <w:spacing w:val="0"/>
                <w:sz w:val="24"/>
                <w:szCs w:val="24"/>
                <w:highlight w:val="none"/>
              </w:rPr>
              <w:t xml:space="preserve">  </w:t>
            </w:r>
            <w:r>
              <w:rPr>
                <w:rFonts w:hint="default" w:ascii="Times New Roman" w:hAnsi="Times New Roman" w:eastAsia="宋体" w:cs="Times New Roman"/>
                <w:b/>
                <w:bCs w:val="0"/>
                <w:color w:val="auto"/>
                <w:spacing w:val="0"/>
                <w:sz w:val="24"/>
                <w:szCs w:val="24"/>
                <w:highlight w:val="none"/>
                <w:lang w:val="en-US" w:eastAsia="zh-CN"/>
              </w:rPr>
              <w:t>本项目</w:t>
            </w:r>
            <w:r>
              <w:rPr>
                <w:rFonts w:hint="default" w:ascii="Times New Roman" w:hAnsi="Times New Roman" w:eastAsia="宋体" w:cs="Times New Roman"/>
                <w:b/>
                <w:bCs w:val="0"/>
                <w:color w:val="auto"/>
                <w:spacing w:val="0"/>
                <w:sz w:val="24"/>
                <w:szCs w:val="24"/>
                <w:highlight w:val="none"/>
              </w:rPr>
              <w:t>大气污染物产、排情况表（有组织）</w:t>
            </w:r>
          </w:p>
          <w:tbl>
            <w:tblPr>
              <w:tblStyle w:val="27"/>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5"/>
              <w:gridCol w:w="712"/>
              <w:gridCol w:w="773"/>
              <w:gridCol w:w="766"/>
              <w:gridCol w:w="859"/>
              <w:gridCol w:w="797"/>
              <w:gridCol w:w="915"/>
              <w:gridCol w:w="1709"/>
              <w:gridCol w:w="688"/>
              <w:gridCol w:w="798"/>
              <w:gridCol w:w="767"/>
              <w:gridCol w:w="879"/>
              <w:gridCol w:w="836"/>
              <w:gridCol w:w="636"/>
              <w:gridCol w:w="587"/>
              <w:gridCol w:w="744"/>
            </w:tblGrid>
            <w:tr w14:paraId="60661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 w:type="pct"/>
                  <w:vMerge w:val="restart"/>
                  <w:tcBorders>
                    <w:tl2br w:val="nil"/>
                    <w:tr2bl w:val="nil"/>
                  </w:tcBorders>
                  <w:noWrap w:val="0"/>
                  <w:vAlign w:val="center"/>
                </w:tcPr>
                <w:p w14:paraId="6FF01E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排气筒编号</w:t>
                  </w:r>
                </w:p>
              </w:tc>
              <w:tc>
                <w:tcPr>
                  <w:tcW w:w="272" w:type="pct"/>
                  <w:vMerge w:val="restart"/>
                  <w:tcBorders>
                    <w:tl2br w:val="nil"/>
                    <w:tr2bl w:val="nil"/>
                  </w:tcBorders>
                  <w:noWrap w:val="0"/>
                  <w:vAlign w:val="center"/>
                </w:tcPr>
                <w:p w14:paraId="3B8572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污染源名称</w:t>
                  </w:r>
                </w:p>
              </w:tc>
              <w:tc>
                <w:tcPr>
                  <w:tcW w:w="295" w:type="pct"/>
                  <w:vMerge w:val="restart"/>
                  <w:tcBorders>
                    <w:tl2br w:val="nil"/>
                    <w:tr2bl w:val="nil"/>
                  </w:tcBorders>
                  <w:noWrap w:val="0"/>
                  <w:vAlign w:val="center"/>
                </w:tcPr>
                <w:p w14:paraId="4FD79D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293" w:type="pct"/>
                  <w:vMerge w:val="restart"/>
                  <w:tcBorders>
                    <w:tl2br w:val="nil"/>
                    <w:tr2bl w:val="nil"/>
                  </w:tcBorders>
                  <w:noWrap w:val="0"/>
                  <w:vAlign w:val="center"/>
                </w:tcPr>
                <w:p w14:paraId="357337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983" w:type="pct"/>
                  <w:gridSpan w:val="3"/>
                  <w:tcBorders>
                    <w:tl2br w:val="nil"/>
                    <w:tr2bl w:val="nil"/>
                  </w:tcBorders>
                  <w:noWrap w:val="0"/>
                  <w:vAlign w:val="center"/>
                </w:tcPr>
                <w:p w14:paraId="6F0EEE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产生情况</w:t>
                  </w:r>
                </w:p>
              </w:tc>
              <w:tc>
                <w:tcPr>
                  <w:tcW w:w="653" w:type="pct"/>
                  <w:vMerge w:val="restart"/>
                  <w:tcBorders>
                    <w:tl2br w:val="nil"/>
                    <w:tr2bl w:val="nil"/>
                  </w:tcBorders>
                  <w:noWrap w:val="0"/>
                  <w:vAlign w:val="center"/>
                </w:tcPr>
                <w:p w14:paraId="15DD9B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263" w:type="pct"/>
                  <w:vMerge w:val="restart"/>
                  <w:tcBorders>
                    <w:tl2br w:val="nil"/>
                    <w:tr2bl w:val="nil"/>
                  </w:tcBorders>
                  <w:noWrap w:val="0"/>
                  <w:vAlign w:val="center"/>
                </w:tcPr>
                <w:p w14:paraId="1E9F2A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去除率%</w:t>
                  </w:r>
                </w:p>
              </w:tc>
              <w:tc>
                <w:tcPr>
                  <w:tcW w:w="934" w:type="pct"/>
                  <w:gridSpan w:val="3"/>
                  <w:tcBorders>
                    <w:tl2br w:val="nil"/>
                    <w:tr2bl w:val="nil"/>
                  </w:tcBorders>
                  <w:noWrap w:val="0"/>
                  <w:vAlign w:val="center"/>
                </w:tcPr>
                <w:p w14:paraId="2B3DC9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排放情况</w:t>
                  </w:r>
                </w:p>
              </w:tc>
              <w:tc>
                <w:tcPr>
                  <w:tcW w:w="319" w:type="pct"/>
                  <w:vMerge w:val="restart"/>
                  <w:tcBorders>
                    <w:tl2br w:val="nil"/>
                    <w:tr2bl w:val="nil"/>
                  </w:tcBorders>
                  <w:noWrap w:val="0"/>
                  <w:vAlign w:val="center"/>
                </w:tcPr>
                <w:p w14:paraId="1510A8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c>
                <w:tcPr>
                  <w:tcW w:w="752" w:type="pct"/>
                  <w:gridSpan w:val="3"/>
                  <w:tcBorders>
                    <w:tl2br w:val="nil"/>
                    <w:tr2bl w:val="nil"/>
                  </w:tcBorders>
                  <w:noWrap w:val="0"/>
                  <w:vAlign w:val="center"/>
                </w:tcPr>
                <w:p w14:paraId="134C66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排放源参数</w:t>
                  </w:r>
                </w:p>
              </w:tc>
            </w:tr>
            <w:tr w14:paraId="16F55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 w:type="pct"/>
                  <w:vMerge w:val="continue"/>
                  <w:tcBorders>
                    <w:tl2br w:val="nil"/>
                    <w:tr2bl w:val="nil"/>
                  </w:tcBorders>
                  <w:noWrap w:val="0"/>
                  <w:vAlign w:val="center"/>
                </w:tcPr>
                <w:p w14:paraId="363260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72" w:type="pct"/>
                  <w:vMerge w:val="continue"/>
                  <w:tcBorders>
                    <w:tl2br w:val="nil"/>
                    <w:tr2bl w:val="nil"/>
                  </w:tcBorders>
                  <w:noWrap w:val="0"/>
                  <w:vAlign w:val="center"/>
                </w:tcPr>
                <w:p w14:paraId="10AF23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5" w:type="pct"/>
                  <w:vMerge w:val="continue"/>
                  <w:tcBorders>
                    <w:tl2br w:val="nil"/>
                    <w:tr2bl w:val="nil"/>
                  </w:tcBorders>
                  <w:noWrap w:val="0"/>
                  <w:vAlign w:val="center"/>
                </w:tcPr>
                <w:p w14:paraId="1F7C1D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3" w:type="pct"/>
                  <w:vMerge w:val="continue"/>
                  <w:tcBorders>
                    <w:tl2br w:val="nil"/>
                    <w:tr2bl w:val="nil"/>
                  </w:tcBorders>
                  <w:noWrap w:val="0"/>
                  <w:vAlign w:val="center"/>
                </w:tcPr>
                <w:p w14:paraId="073A3D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328" w:type="pct"/>
                  <w:tcBorders>
                    <w:tl2br w:val="nil"/>
                    <w:tr2bl w:val="nil"/>
                  </w:tcBorders>
                  <w:noWrap w:val="0"/>
                  <w:vAlign w:val="center"/>
                </w:tcPr>
                <w:p w14:paraId="20C46A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浓度mg/m</w:t>
                  </w:r>
                  <w:r>
                    <w:rPr>
                      <w:rFonts w:hint="default" w:ascii="Times New Roman" w:hAnsi="Times New Roman" w:eastAsia="宋体" w:cs="Times New Roman"/>
                      <w:b/>
                      <w:color w:val="auto"/>
                      <w:kern w:val="0"/>
                      <w:sz w:val="21"/>
                      <w:szCs w:val="21"/>
                      <w:highlight w:val="none"/>
                      <w:vertAlign w:val="superscript"/>
                    </w:rPr>
                    <w:t>3</w:t>
                  </w:r>
                </w:p>
              </w:tc>
              <w:tc>
                <w:tcPr>
                  <w:tcW w:w="304" w:type="pct"/>
                  <w:tcBorders>
                    <w:tl2br w:val="nil"/>
                    <w:tr2bl w:val="nil"/>
                  </w:tcBorders>
                  <w:noWrap w:val="0"/>
                  <w:vAlign w:val="center"/>
                </w:tcPr>
                <w:p w14:paraId="5C3298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350" w:type="pct"/>
                  <w:tcBorders>
                    <w:tl2br w:val="nil"/>
                    <w:tr2bl w:val="nil"/>
                  </w:tcBorders>
                  <w:noWrap w:val="0"/>
                  <w:vAlign w:val="center"/>
                </w:tcPr>
                <w:p w14:paraId="077E77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653" w:type="pct"/>
                  <w:vMerge w:val="continue"/>
                  <w:tcBorders>
                    <w:tl2br w:val="nil"/>
                    <w:tr2bl w:val="nil"/>
                  </w:tcBorders>
                  <w:noWrap w:val="0"/>
                  <w:vAlign w:val="center"/>
                </w:tcPr>
                <w:p w14:paraId="2F86DF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63" w:type="pct"/>
                  <w:vMerge w:val="continue"/>
                  <w:tcBorders>
                    <w:tl2br w:val="nil"/>
                    <w:tr2bl w:val="nil"/>
                  </w:tcBorders>
                  <w:noWrap w:val="0"/>
                  <w:vAlign w:val="center"/>
                </w:tcPr>
                <w:p w14:paraId="08C7B8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305" w:type="pct"/>
                  <w:tcBorders>
                    <w:tl2br w:val="nil"/>
                    <w:tr2bl w:val="nil"/>
                  </w:tcBorders>
                  <w:noWrap w:val="0"/>
                  <w:vAlign w:val="center"/>
                </w:tcPr>
                <w:p w14:paraId="1439F8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浓度mg/m</w:t>
                  </w:r>
                  <w:r>
                    <w:rPr>
                      <w:rFonts w:hint="default" w:ascii="Times New Roman" w:hAnsi="Times New Roman" w:eastAsia="宋体" w:cs="Times New Roman"/>
                      <w:b/>
                      <w:color w:val="auto"/>
                      <w:kern w:val="0"/>
                      <w:sz w:val="21"/>
                      <w:szCs w:val="21"/>
                      <w:highlight w:val="none"/>
                      <w:vertAlign w:val="superscript"/>
                    </w:rPr>
                    <w:t>3</w:t>
                  </w:r>
                </w:p>
              </w:tc>
              <w:tc>
                <w:tcPr>
                  <w:tcW w:w="293" w:type="pct"/>
                  <w:tcBorders>
                    <w:tl2br w:val="nil"/>
                    <w:tr2bl w:val="nil"/>
                  </w:tcBorders>
                  <w:noWrap w:val="0"/>
                  <w:vAlign w:val="center"/>
                </w:tcPr>
                <w:p w14:paraId="22D5AA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336" w:type="pct"/>
                  <w:tcBorders>
                    <w:tl2br w:val="nil"/>
                    <w:tr2bl w:val="nil"/>
                  </w:tcBorders>
                  <w:noWrap w:val="0"/>
                  <w:vAlign w:val="center"/>
                </w:tcPr>
                <w:p w14:paraId="5CA98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319" w:type="pct"/>
                  <w:vMerge w:val="continue"/>
                  <w:tcBorders>
                    <w:tl2br w:val="nil"/>
                    <w:tr2bl w:val="nil"/>
                  </w:tcBorders>
                  <w:noWrap w:val="0"/>
                  <w:vAlign w:val="center"/>
                </w:tcPr>
                <w:p w14:paraId="350FAF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43" w:type="pct"/>
                  <w:tcBorders>
                    <w:tl2br w:val="nil"/>
                    <w:tr2bl w:val="nil"/>
                  </w:tcBorders>
                  <w:noWrap w:val="0"/>
                  <w:vAlign w:val="center"/>
                </w:tcPr>
                <w:p w14:paraId="73E970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排放高度m</w:t>
                  </w:r>
                </w:p>
              </w:tc>
              <w:tc>
                <w:tcPr>
                  <w:tcW w:w="224" w:type="pct"/>
                  <w:tcBorders>
                    <w:tl2br w:val="nil"/>
                    <w:tr2bl w:val="nil"/>
                  </w:tcBorders>
                  <w:noWrap w:val="0"/>
                  <w:vAlign w:val="center"/>
                </w:tcPr>
                <w:p w14:paraId="4329B0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直径m</w:t>
                  </w:r>
                </w:p>
              </w:tc>
              <w:tc>
                <w:tcPr>
                  <w:tcW w:w="284" w:type="pct"/>
                  <w:tcBorders>
                    <w:tl2br w:val="nil"/>
                    <w:tr2bl w:val="nil"/>
                  </w:tcBorders>
                  <w:noWrap w:val="0"/>
                  <w:vAlign w:val="center"/>
                </w:tcPr>
                <w:p w14:paraId="6347E5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烟气出口温度℃</w:t>
                  </w:r>
                </w:p>
              </w:tc>
            </w:tr>
            <w:tr w14:paraId="32FACD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restart"/>
                  <w:tcBorders>
                    <w:tl2br w:val="nil"/>
                    <w:tr2bl w:val="nil"/>
                  </w:tcBorders>
                  <w:noWrap w:val="0"/>
                  <w:vAlign w:val="center"/>
                </w:tcPr>
                <w:p w14:paraId="7EE19B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2" w:type="pct"/>
                  <w:tcBorders>
                    <w:tl2br w:val="nil"/>
                    <w:tr2bl w:val="nil"/>
                  </w:tcBorders>
                  <w:noWrap w:val="0"/>
                  <w:vAlign w:val="center"/>
                </w:tcPr>
                <w:p w14:paraId="6A58B7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打磨</w:t>
                  </w:r>
                </w:p>
              </w:tc>
              <w:tc>
                <w:tcPr>
                  <w:tcW w:w="295" w:type="pct"/>
                  <w:vMerge w:val="restart"/>
                  <w:tcBorders>
                    <w:tl2br w:val="nil"/>
                    <w:tr2bl w:val="nil"/>
                  </w:tcBorders>
                  <w:shd w:val="clear" w:color="auto" w:fill="auto"/>
                  <w:noWrap w:val="0"/>
                  <w:vAlign w:val="center"/>
                </w:tcPr>
                <w:p w14:paraId="31853022">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lang w:val="en-US" w:eastAsia="zh-CN"/>
                    </w:rPr>
                    <w:t>00</w:t>
                  </w:r>
                </w:p>
              </w:tc>
              <w:tc>
                <w:tcPr>
                  <w:tcW w:w="293" w:type="pct"/>
                  <w:vMerge w:val="restart"/>
                  <w:tcBorders>
                    <w:tl2br w:val="nil"/>
                    <w:tr2bl w:val="nil"/>
                  </w:tcBorders>
                  <w:shd w:val="clear" w:color="auto" w:fill="auto"/>
                  <w:noWrap w:val="0"/>
                  <w:vAlign w:val="center"/>
                </w:tcPr>
                <w:p w14:paraId="705D3009">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28" w:type="pct"/>
                  <w:tcBorders>
                    <w:tl2br w:val="nil"/>
                    <w:tr2bl w:val="nil"/>
                  </w:tcBorders>
                  <w:shd w:val="clear" w:color="auto" w:fill="auto"/>
                  <w:noWrap w:val="0"/>
                  <w:vAlign w:val="center"/>
                </w:tcPr>
                <w:p w14:paraId="3B26F42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304" w:type="pct"/>
                  <w:tcBorders>
                    <w:tl2br w:val="nil"/>
                    <w:tr2bl w:val="nil"/>
                  </w:tcBorders>
                  <w:shd w:val="clear" w:color="auto" w:fill="auto"/>
                  <w:noWrap w:val="0"/>
                  <w:vAlign w:val="center"/>
                </w:tcPr>
                <w:p w14:paraId="3123D1D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c>
                <w:tcPr>
                  <w:tcW w:w="350" w:type="pct"/>
                  <w:tcBorders>
                    <w:tl2br w:val="nil"/>
                    <w:tr2bl w:val="nil"/>
                  </w:tcBorders>
                  <w:shd w:val="clear" w:color="auto" w:fill="auto"/>
                  <w:noWrap w:val="0"/>
                  <w:vAlign w:val="center"/>
                </w:tcPr>
                <w:p w14:paraId="07145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0.0313</w:t>
                  </w:r>
                </w:p>
              </w:tc>
              <w:tc>
                <w:tcPr>
                  <w:tcW w:w="653" w:type="pct"/>
                  <w:vMerge w:val="restart"/>
                  <w:tcBorders>
                    <w:tl2br w:val="nil"/>
                    <w:tr2bl w:val="nil"/>
                  </w:tcBorders>
                  <w:noWrap w:val="0"/>
                  <w:vAlign w:val="center"/>
                </w:tcPr>
                <w:p w14:paraId="5D0EB6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1#旋风除尘器+滤筒除尘器</w:t>
                  </w:r>
                </w:p>
              </w:tc>
              <w:tc>
                <w:tcPr>
                  <w:tcW w:w="263" w:type="pct"/>
                  <w:vMerge w:val="restart"/>
                  <w:tcBorders>
                    <w:tl2br w:val="nil"/>
                    <w:tr2bl w:val="nil"/>
                  </w:tcBorders>
                  <w:noWrap w:val="0"/>
                  <w:vAlign w:val="center"/>
                </w:tcPr>
                <w:p w14:paraId="798499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99</w:t>
                  </w:r>
                </w:p>
              </w:tc>
              <w:tc>
                <w:tcPr>
                  <w:tcW w:w="305" w:type="pct"/>
                  <w:vMerge w:val="restart"/>
                  <w:tcBorders>
                    <w:tl2br w:val="nil"/>
                    <w:tr2bl w:val="nil"/>
                  </w:tcBorders>
                  <w:noWrap w:val="0"/>
                  <w:vAlign w:val="center"/>
                </w:tcPr>
                <w:p w14:paraId="215FA4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1.28</w:t>
                  </w:r>
                </w:p>
              </w:tc>
              <w:tc>
                <w:tcPr>
                  <w:tcW w:w="293" w:type="pct"/>
                  <w:vMerge w:val="restart"/>
                  <w:tcBorders>
                    <w:tl2br w:val="nil"/>
                    <w:tr2bl w:val="nil"/>
                  </w:tcBorders>
                  <w:noWrap w:val="0"/>
                  <w:vAlign w:val="center"/>
                </w:tcPr>
                <w:p w14:paraId="5C6859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0.032</w:t>
                  </w:r>
                </w:p>
              </w:tc>
              <w:tc>
                <w:tcPr>
                  <w:tcW w:w="336" w:type="pct"/>
                  <w:vMerge w:val="restart"/>
                  <w:tcBorders>
                    <w:tl2br w:val="nil"/>
                    <w:tr2bl w:val="nil"/>
                  </w:tcBorders>
                  <w:noWrap w:val="0"/>
                  <w:vAlign w:val="center"/>
                </w:tcPr>
                <w:p w14:paraId="46335F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0.077</w:t>
                  </w:r>
                  <w:r>
                    <w:rPr>
                      <w:rFonts w:hint="eastAsia" w:ascii="Times New Roman" w:hAnsi="Times New Roman" w:eastAsia="宋体" w:cs="Times New Roman"/>
                      <w:color w:val="auto"/>
                      <w:sz w:val="21"/>
                      <w:szCs w:val="21"/>
                      <w:highlight w:val="none"/>
                      <w:lang w:val="en-US" w:eastAsia="zh-CN"/>
                    </w:rPr>
                    <w:t>6</w:t>
                  </w:r>
                </w:p>
              </w:tc>
              <w:tc>
                <w:tcPr>
                  <w:tcW w:w="319" w:type="pct"/>
                  <w:vMerge w:val="restart"/>
                  <w:tcBorders>
                    <w:tl2br w:val="nil"/>
                    <w:tr2bl w:val="nil"/>
                  </w:tcBorders>
                  <w:noWrap w:val="0"/>
                  <w:vAlign w:val="center"/>
                </w:tcPr>
                <w:p w14:paraId="7FE342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间断240</w:t>
                  </w:r>
                  <w:r>
                    <w:rPr>
                      <w:rFonts w:hint="default" w:ascii="Times New Roman" w:hAnsi="Times New Roman" w:eastAsia="宋体" w:cs="Times New Roman"/>
                      <w:color w:val="auto"/>
                      <w:sz w:val="21"/>
                      <w:szCs w:val="21"/>
                      <w:highlight w:val="none"/>
                    </w:rPr>
                    <w:t>0h</w:t>
                  </w:r>
                </w:p>
              </w:tc>
              <w:tc>
                <w:tcPr>
                  <w:tcW w:w="243" w:type="pct"/>
                  <w:vMerge w:val="restart"/>
                  <w:tcBorders>
                    <w:tl2br w:val="nil"/>
                    <w:tr2bl w:val="nil"/>
                  </w:tcBorders>
                  <w:noWrap w:val="0"/>
                  <w:vAlign w:val="center"/>
                </w:tcPr>
                <w:p w14:paraId="64496A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224" w:type="pct"/>
                  <w:vMerge w:val="restart"/>
                  <w:tcBorders>
                    <w:tl2br w:val="nil"/>
                    <w:tr2bl w:val="nil"/>
                  </w:tcBorders>
                  <w:noWrap w:val="0"/>
                  <w:vAlign w:val="center"/>
                </w:tcPr>
                <w:p w14:paraId="6EE4E6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54</w:t>
                  </w:r>
                </w:p>
              </w:tc>
              <w:tc>
                <w:tcPr>
                  <w:tcW w:w="284" w:type="pct"/>
                  <w:vMerge w:val="restart"/>
                  <w:tcBorders>
                    <w:tl2br w:val="nil"/>
                    <w:tr2bl w:val="nil"/>
                  </w:tcBorders>
                  <w:noWrap w:val="0"/>
                  <w:vAlign w:val="center"/>
                </w:tcPr>
                <w:p w14:paraId="3C35BA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14:paraId="690E0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continue"/>
                  <w:tcBorders>
                    <w:tl2br w:val="nil"/>
                    <w:tr2bl w:val="nil"/>
                  </w:tcBorders>
                  <w:noWrap w:val="0"/>
                  <w:vAlign w:val="center"/>
                </w:tcPr>
                <w:p w14:paraId="38F5AD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72" w:type="pct"/>
                  <w:tcBorders>
                    <w:tl2br w:val="nil"/>
                    <w:tr2bl w:val="nil"/>
                  </w:tcBorders>
                  <w:noWrap w:val="0"/>
                  <w:vAlign w:val="center"/>
                </w:tcPr>
                <w:p w14:paraId="642982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喷砂</w:t>
                  </w:r>
                </w:p>
              </w:tc>
              <w:tc>
                <w:tcPr>
                  <w:tcW w:w="295" w:type="pct"/>
                  <w:vMerge w:val="continue"/>
                  <w:tcBorders>
                    <w:tl2br w:val="nil"/>
                    <w:tr2bl w:val="nil"/>
                  </w:tcBorders>
                  <w:shd w:val="clear" w:color="auto" w:fill="auto"/>
                  <w:noWrap w:val="0"/>
                  <w:vAlign w:val="center"/>
                </w:tcPr>
                <w:p w14:paraId="32A9D884">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p>
              </w:tc>
              <w:tc>
                <w:tcPr>
                  <w:tcW w:w="293" w:type="pct"/>
                  <w:vMerge w:val="continue"/>
                  <w:tcBorders>
                    <w:tl2br w:val="nil"/>
                    <w:tr2bl w:val="nil"/>
                  </w:tcBorders>
                  <w:shd w:val="clear" w:color="auto" w:fill="auto"/>
                  <w:noWrap w:val="0"/>
                  <w:vAlign w:val="center"/>
                </w:tcPr>
                <w:p w14:paraId="4DFC3A84">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28" w:type="pct"/>
                  <w:tcBorders>
                    <w:tl2br w:val="nil"/>
                    <w:tr2bl w:val="nil"/>
                  </w:tcBorders>
                  <w:shd w:val="clear" w:color="auto" w:fill="auto"/>
                  <w:noWrap w:val="0"/>
                  <w:vAlign w:val="center"/>
                </w:tcPr>
                <w:p w14:paraId="446F1D9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14</w:t>
                  </w:r>
                </w:p>
              </w:tc>
              <w:tc>
                <w:tcPr>
                  <w:tcW w:w="304" w:type="pct"/>
                  <w:tcBorders>
                    <w:tl2br w:val="nil"/>
                    <w:tr2bl w:val="nil"/>
                  </w:tcBorders>
                  <w:shd w:val="clear" w:color="auto" w:fill="auto"/>
                  <w:noWrap w:val="0"/>
                  <w:vAlign w:val="center"/>
                </w:tcPr>
                <w:p w14:paraId="5FD9417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350" w:type="pct"/>
                  <w:tcBorders>
                    <w:tl2br w:val="nil"/>
                    <w:tr2bl w:val="nil"/>
                  </w:tcBorders>
                  <w:shd w:val="clear" w:color="auto" w:fill="auto"/>
                  <w:noWrap w:val="0"/>
                  <w:vAlign w:val="center"/>
                </w:tcPr>
                <w:p w14:paraId="2B9B6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4</w:t>
                  </w:r>
                </w:p>
              </w:tc>
              <w:tc>
                <w:tcPr>
                  <w:tcW w:w="653" w:type="pct"/>
                  <w:vMerge w:val="continue"/>
                  <w:tcBorders>
                    <w:tl2br w:val="nil"/>
                    <w:tr2bl w:val="nil"/>
                  </w:tcBorders>
                  <w:noWrap w:val="0"/>
                  <w:vAlign w:val="center"/>
                </w:tcPr>
                <w:p w14:paraId="6A93E2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63" w:type="pct"/>
                  <w:vMerge w:val="continue"/>
                  <w:tcBorders>
                    <w:tl2br w:val="nil"/>
                    <w:tr2bl w:val="nil"/>
                  </w:tcBorders>
                  <w:noWrap w:val="0"/>
                  <w:vAlign w:val="center"/>
                </w:tcPr>
                <w:p w14:paraId="7B112A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305" w:type="pct"/>
                  <w:vMerge w:val="continue"/>
                  <w:tcBorders>
                    <w:tl2br w:val="nil"/>
                    <w:tr2bl w:val="nil"/>
                  </w:tcBorders>
                  <w:noWrap w:val="0"/>
                  <w:vAlign w:val="center"/>
                </w:tcPr>
                <w:p w14:paraId="5E60FD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3" w:type="pct"/>
                  <w:vMerge w:val="continue"/>
                  <w:tcBorders>
                    <w:tl2br w:val="nil"/>
                    <w:tr2bl w:val="nil"/>
                  </w:tcBorders>
                  <w:noWrap w:val="0"/>
                  <w:vAlign w:val="center"/>
                </w:tcPr>
                <w:p w14:paraId="2CD8FF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36" w:type="pct"/>
                  <w:vMerge w:val="continue"/>
                  <w:tcBorders>
                    <w:tl2br w:val="nil"/>
                    <w:tr2bl w:val="nil"/>
                  </w:tcBorders>
                  <w:noWrap w:val="0"/>
                  <w:vAlign w:val="center"/>
                </w:tcPr>
                <w:p w14:paraId="5F4A21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19" w:type="pct"/>
                  <w:vMerge w:val="continue"/>
                  <w:tcBorders>
                    <w:tl2br w:val="nil"/>
                    <w:tr2bl w:val="nil"/>
                  </w:tcBorders>
                  <w:noWrap w:val="0"/>
                  <w:vAlign w:val="center"/>
                </w:tcPr>
                <w:p w14:paraId="19DB98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43" w:type="pct"/>
                  <w:vMerge w:val="continue"/>
                  <w:tcBorders>
                    <w:tl2br w:val="nil"/>
                    <w:tr2bl w:val="nil"/>
                  </w:tcBorders>
                  <w:noWrap w:val="0"/>
                  <w:vAlign w:val="center"/>
                </w:tcPr>
                <w:p w14:paraId="26AC41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24" w:type="pct"/>
                  <w:vMerge w:val="continue"/>
                  <w:tcBorders>
                    <w:tl2br w:val="nil"/>
                    <w:tr2bl w:val="nil"/>
                  </w:tcBorders>
                  <w:noWrap w:val="0"/>
                  <w:vAlign w:val="center"/>
                </w:tcPr>
                <w:p w14:paraId="4F2876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84" w:type="pct"/>
                  <w:vMerge w:val="continue"/>
                  <w:tcBorders>
                    <w:tl2br w:val="nil"/>
                    <w:tr2bl w:val="nil"/>
                  </w:tcBorders>
                  <w:noWrap w:val="0"/>
                  <w:vAlign w:val="center"/>
                </w:tcPr>
                <w:p w14:paraId="485BA1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r>
            <w:tr w14:paraId="023F60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continue"/>
                  <w:tcBorders>
                    <w:tl2br w:val="nil"/>
                    <w:tr2bl w:val="nil"/>
                  </w:tcBorders>
                  <w:noWrap w:val="0"/>
                  <w:vAlign w:val="center"/>
                </w:tcPr>
                <w:p w14:paraId="0B0A58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72" w:type="pct"/>
                  <w:tcBorders>
                    <w:tl2br w:val="nil"/>
                    <w:tr2bl w:val="nil"/>
                  </w:tcBorders>
                  <w:noWrap w:val="0"/>
                  <w:vAlign w:val="center"/>
                </w:tcPr>
                <w:p w14:paraId="55F28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手工喷粉</w:t>
                  </w:r>
                </w:p>
              </w:tc>
              <w:tc>
                <w:tcPr>
                  <w:tcW w:w="295" w:type="pct"/>
                  <w:vMerge w:val="continue"/>
                  <w:tcBorders>
                    <w:tl2br w:val="nil"/>
                    <w:tr2bl w:val="nil"/>
                  </w:tcBorders>
                  <w:shd w:val="clear" w:color="auto" w:fill="auto"/>
                  <w:noWrap w:val="0"/>
                  <w:vAlign w:val="center"/>
                </w:tcPr>
                <w:p w14:paraId="090BEE62">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p>
              </w:tc>
              <w:tc>
                <w:tcPr>
                  <w:tcW w:w="293" w:type="pct"/>
                  <w:vMerge w:val="continue"/>
                  <w:tcBorders>
                    <w:tl2br w:val="nil"/>
                    <w:tr2bl w:val="nil"/>
                  </w:tcBorders>
                  <w:shd w:val="clear" w:color="auto" w:fill="auto"/>
                  <w:noWrap w:val="0"/>
                  <w:vAlign w:val="center"/>
                </w:tcPr>
                <w:p w14:paraId="338B924A">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28" w:type="pct"/>
                  <w:tcBorders>
                    <w:tl2br w:val="nil"/>
                    <w:tr2bl w:val="nil"/>
                  </w:tcBorders>
                  <w:shd w:val="clear" w:color="auto" w:fill="auto"/>
                  <w:noWrap w:val="0"/>
                  <w:vAlign w:val="center"/>
                </w:tcPr>
                <w:p w14:paraId="4B91490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19.79</w:t>
                  </w:r>
                </w:p>
              </w:tc>
              <w:tc>
                <w:tcPr>
                  <w:tcW w:w="304" w:type="pct"/>
                  <w:tcBorders>
                    <w:tl2br w:val="nil"/>
                    <w:tr2bl w:val="nil"/>
                  </w:tcBorders>
                  <w:shd w:val="clear" w:color="auto" w:fill="auto"/>
                  <w:noWrap w:val="0"/>
                  <w:vAlign w:val="center"/>
                </w:tcPr>
                <w:p w14:paraId="1AC9AD3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0.495</w:t>
                  </w:r>
                </w:p>
              </w:tc>
              <w:tc>
                <w:tcPr>
                  <w:tcW w:w="350" w:type="pct"/>
                  <w:tcBorders>
                    <w:tl2br w:val="nil"/>
                    <w:tr2bl w:val="nil"/>
                  </w:tcBorders>
                  <w:shd w:val="clear" w:color="auto" w:fill="auto"/>
                  <w:noWrap w:val="0"/>
                  <w:vAlign w:val="center"/>
                </w:tcPr>
                <w:p w14:paraId="3AAAE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1.1875</w:t>
                  </w:r>
                </w:p>
              </w:tc>
              <w:tc>
                <w:tcPr>
                  <w:tcW w:w="653" w:type="pct"/>
                  <w:tcBorders>
                    <w:tl2br w:val="nil"/>
                    <w:tr2bl w:val="nil"/>
                  </w:tcBorders>
                  <w:noWrap w:val="0"/>
                  <w:vAlign w:val="center"/>
                </w:tcPr>
                <w:p w14:paraId="7696C2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2#旋风除尘器+滤筒除尘器</w:t>
                  </w:r>
                </w:p>
              </w:tc>
              <w:tc>
                <w:tcPr>
                  <w:tcW w:w="263" w:type="pct"/>
                  <w:tcBorders>
                    <w:tl2br w:val="nil"/>
                    <w:tr2bl w:val="nil"/>
                  </w:tcBorders>
                  <w:noWrap w:val="0"/>
                  <w:vAlign w:val="center"/>
                </w:tcPr>
                <w:p w14:paraId="50B5A9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w:t>
                  </w:r>
                </w:p>
              </w:tc>
              <w:tc>
                <w:tcPr>
                  <w:tcW w:w="305" w:type="pct"/>
                  <w:vMerge w:val="continue"/>
                  <w:tcBorders>
                    <w:tl2br w:val="nil"/>
                    <w:tr2bl w:val="nil"/>
                  </w:tcBorders>
                  <w:noWrap w:val="0"/>
                  <w:vAlign w:val="center"/>
                </w:tcPr>
                <w:p w14:paraId="2FC12D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7.59</w:t>
                  </w:r>
                </w:p>
              </w:tc>
              <w:tc>
                <w:tcPr>
                  <w:tcW w:w="293" w:type="pct"/>
                  <w:vMerge w:val="continue"/>
                  <w:tcBorders>
                    <w:tl2br w:val="nil"/>
                    <w:tr2bl w:val="nil"/>
                  </w:tcBorders>
                  <w:noWrap w:val="0"/>
                  <w:vAlign w:val="center"/>
                </w:tcPr>
                <w:p w14:paraId="412D7E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0.228</w:t>
                  </w:r>
                </w:p>
              </w:tc>
              <w:tc>
                <w:tcPr>
                  <w:tcW w:w="336" w:type="pct"/>
                  <w:vMerge w:val="continue"/>
                  <w:tcBorders>
                    <w:tl2br w:val="nil"/>
                    <w:tr2bl w:val="nil"/>
                  </w:tcBorders>
                  <w:noWrap w:val="0"/>
                  <w:vAlign w:val="center"/>
                </w:tcPr>
                <w:p w14:paraId="5B27A3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0.546</w:t>
                  </w:r>
                </w:p>
              </w:tc>
              <w:tc>
                <w:tcPr>
                  <w:tcW w:w="319" w:type="pct"/>
                  <w:vMerge w:val="continue"/>
                  <w:tcBorders>
                    <w:tl2br w:val="nil"/>
                    <w:tr2bl w:val="nil"/>
                  </w:tcBorders>
                  <w:noWrap w:val="0"/>
                  <w:vAlign w:val="center"/>
                </w:tcPr>
                <w:p w14:paraId="525CF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43" w:type="pct"/>
                  <w:vMerge w:val="continue"/>
                  <w:tcBorders>
                    <w:tl2br w:val="nil"/>
                    <w:tr2bl w:val="nil"/>
                  </w:tcBorders>
                  <w:shd w:val="clear" w:color="auto" w:fill="auto"/>
                  <w:noWrap w:val="0"/>
                  <w:vAlign w:val="center"/>
                </w:tcPr>
                <w:p w14:paraId="5886E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224" w:type="pct"/>
                  <w:vMerge w:val="continue"/>
                  <w:tcBorders>
                    <w:tl2br w:val="nil"/>
                    <w:tr2bl w:val="nil"/>
                  </w:tcBorders>
                  <w:shd w:val="clear" w:color="auto" w:fill="auto"/>
                  <w:noWrap w:val="0"/>
                  <w:vAlign w:val="center"/>
                </w:tcPr>
                <w:p w14:paraId="750478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32</w:t>
                  </w:r>
                </w:p>
              </w:tc>
              <w:tc>
                <w:tcPr>
                  <w:tcW w:w="284" w:type="pct"/>
                  <w:vMerge w:val="continue"/>
                  <w:tcBorders>
                    <w:tl2br w:val="nil"/>
                    <w:tr2bl w:val="nil"/>
                  </w:tcBorders>
                  <w:shd w:val="clear" w:color="auto" w:fill="auto"/>
                  <w:noWrap w:val="0"/>
                  <w:vAlign w:val="center"/>
                </w:tcPr>
                <w:p w14:paraId="190917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14:paraId="6BBB6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continue"/>
                  <w:tcBorders>
                    <w:tl2br w:val="nil"/>
                    <w:tr2bl w:val="nil"/>
                  </w:tcBorders>
                  <w:noWrap w:val="0"/>
                  <w:vAlign w:val="center"/>
                </w:tcPr>
                <w:p w14:paraId="3159F2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72" w:type="pct"/>
                  <w:tcBorders>
                    <w:tl2br w:val="nil"/>
                    <w:tr2bl w:val="nil"/>
                  </w:tcBorders>
                  <w:noWrap w:val="0"/>
                  <w:vAlign w:val="center"/>
                </w:tcPr>
                <w:p w14:paraId="71023A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自动喷粉</w:t>
                  </w:r>
                </w:p>
              </w:tc>
              <w:tc>
                <w:tcPr>
                  <w:tcW w:w="295" w:type="pct"/>
                  <w:vMerge w:val="continue"/>
                  <w:tcBorders>
                    <w:tl2br w:val="nil"/>
                    <w:tr2bl w:val="nil"/>
                  </w:tcBorders>
                  <w:shd w:val="clear" w:color="auto" w:fill="auto"/>
                  <w:noWrap w:val="0"/>
                  <w:vAlign w:val="center"/>
                </w:tcPr>
                <w:p w14:paraId="130960C6">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p>
              </w:tc>
              <w:tc>
                <w:tcPr>
                  <w:tcW w:w="293" w:type="pct"/>
                  <w:vMerge w:val="continue"/>
                  <w:tcBorders>
                    <w:tl2br w:val="nil"/>
                    <w:tr2bl w:val="nil"/>
                  </w:tcBorders>
                  <w:shd w:val="clear" w:color="auto" w:fill="auto"/>
                  <w:noWrap w:val="0"/>
                  <w:vAlign w:val="center"/>
                </w:tcPr>
                <w:p w14:paraId="16C3EF24">
                  <w:pPr>
                    <w:pStyle w:val="7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28" w:type="pct"/>
                  <w:tcBorders>
                    <w:tl2br w:val="nil"/>
                    <w:tr2bl w:val="nil"/>
                  </w:tcBorders>
                  <w:shd w:val="clear" w:color="auto" w:fill="auto"/>
                  <w:noWrap w:val="0"/>
                  <w:vAlign w:val="center"/>
                </w:tcPr>
                <w:p w14:paraId="4B5C2F8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106.88</w:t>
                  </w:r>
                </w:p>
              </w:tc>
              <w:tc>
                <w:tcPr>
                  <w:tcW w:w="304" w:type="pct"/>
                  <w:tcBorders>
                    <w:tl2br w:val="nil"/>
                    <w:tr2bl w:val="nil"/>
                  </w:tcBorders>
                  <w:shd w:val="clear" w:color="auto" w:fill="auto"/>
                  <w:noWrap w:val="0"/>
                  <w:vAlign w:val="center"/>
                </w:tcPr>
                <w:p w14:paraId="63E7ABB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2.672</w:t>
                  </w:r>
                </w:p>
              </w:tc>
              <w:tc>
                <w:tcPr>
                  <w:tcW w:w="350" w:type="pct"/>
                  <w:tcBorders>
                    <w:tl2br w:val="nil"/>
                    <w:tr2bl w:val="nil"/>
                  </w:tcBorders>
                  <w:shd w:val="clear" w:color="auto" w:fill="auto"/>
                  <w:noWrap w:val="0"/>
                  <w:vAlign w:val="center"/>
                </w:tcPr>
                <w:p w14:paraId="2959E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6.4125</w:t>
                  </w:r>
                </w:p>
              </w:tc>
              <w:tc>
                <w:tcPr>
                  <w:tcW w:w="653" w:type="pct"/>
                  <w:tcBorders>
                    <w:tl2br w:val="nil"/>
                    <w:tr2bl w:val="nil"/>
                  </w:tcBorders>
                  <w:noWrap w:val="0"/>
                  <w:vAlign w:val="center"/>
                </w:tcPr>
                <w:p w14:paraId="7163BD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3#旋风除尘器+滤筒除尘器</w:t>
                  </w:r>
                </w:p>
              </w:tc>
              <w:tc>
                <w:tcPr>
                  <w:tcW w:w="263" w:type="pct"/>
                  <w:tcBorders>
                    <w:tl2br w:val="nil"/>
                    <w:tr2bl w:val="nil"/>
                  </w:tcBorders>
                  <w:noWrap w:val="0"/>
                  <w:vAlign w:val="center"/>
                </w:tcPr>
                <w:p w14:paraId="05BD50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99</w:t>
                  </w:r>
                </w:p>
              </w:tc>
              <w:tc>
                <w:tcPr>
                  <w:tcW w:w="305" w:type="pct"/>
                  <w:vMerge w:val="continue"/>
                  <w:tcBorders>
                    <w:tl2br w:val="nil"/>
                    <w:tr2bl w:val="nil"/>
                  </w:tcBorders>
                  <w:noWrap w:val="0"/>
                  <w:vAlign w:val="center"/>
                </w:tcPr>
                <w:p w14:paraId="3DE35E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3" w:type="pct"/>
                  <w:vMerge w:val="continue"/>
                  <w:tcBorders>
                    <w:tl2br w:val="nil"/>
                    <w:tr2bl w:val="nil"/>
                  </w:tcBorders>
                  <w:noWrap w:val="0"/>
                  <w:vAlign w:val="center"/>
                </w:tcPr>
                <w:p w14:paraId="04F29D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6" w:type="pct"/>
                  <w:vMerge w:val="continue"/>
                  <w:tcBorders>
                    <w:tl2br w:val="nil"/>
                    <w:tr2bl w:val="nil"/>
                  </w:tcBorders>
                  <w:noWrap w:val="0"/>
                  <w:vAlign w:val="center"/>
                </w:tcPr>
                <w:p w14:paraId="0BC6EB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19" w:type="pct"/>
                  <w:vMerge w:val="continue"/>
                  <w:tcBorders>
                    <w:tl2br w:val="nil"/>
                    <w:tr2bl w:val="nil"/>
                  </w:tcBorders>
                  <w:noWrap w:val="0"/>
                  <w:vAlign w:val="center"/>
                </w:tcPr>
                <w:p w14:paraId="7130A9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43" w:type="pct"/>
                  <w:vMerge w:val="continue"/>
                  <w:tcBorders>
                    <w:tl2br w:val="nil"/>
                    <w:tr2bl w:val="nil"/>
                  </w:tcBorders>
                  <w:noWrap w:val="0"/>
                  <w:vAlign w:val="center"/>
                </w:tcPr>
                <w:p w14:paraId="76E9AE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24" w:type="pct"/>
                  <w:vMerge w:val="continue"/>
                  <w:tcBorders>
                    <w:tl2br w:val="nil"/>
                    <w:tr2bl w:val="nil"/>
                  </w:tcBorders>
                  <w:noWrap w:val="0"/>
                  <w:vAlign w:val="center"/>
                </w:tcPr>
                <w:p w14:paraId="0BC0C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84" w:type="pct"/>
                  <w:vMerge w:val="continue"/>
                  <w:tcBorders>
                    <w:tl2br w:val="nil"/>
                    <w:tr2bl w:val="nil"/>
                  </w:tcBorders>
                  <w:noWrap w:val="0"/>
                  <w:vAlign w:val="center"/>
                </w:tcPr>
                <w:p w14:paraId="2B7C41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r>
            <w:tr w14:paraId="70EF6B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restart"/>
                  <w:tcBorders>
                    <w:tl2br w:val="nil"/>
                    <w:tr2bl w:val="nil"/>
                  </w:tcBorders>
                  <w:noWrap w:val="0"/>
                  <w:vAlign w:val="center"/>
                </w:tcPr>
                <w:p w14:paraId="1C2EBC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72" w:type="pct"/>
                  <w:tcBorders>
                    <w:tl2br w:val="nil"/>
                    <w:tr2bl w:val="nil"/>
                  </w:tcBorders>
                  <w:shd w:val="clear" w:color="auto" w:fill="auto"/>
                  <w:noWrap w:val="0"/>
                  <w:vAlign w:val="center"/>
                </w:tcPr>
                <w:p w14:paraId="45D79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固化</w:t>
                  </w:r>
                </w:p>
              </w:tc>
              <w:tc>
                <w:tcPr>
                  <w:tcW w:w="295" w:type="pct"/>
                  <w:vMerge w:val="restart"/>
                  <w:tcBorders>
                    <w:tl2br w:val="nil"/>
                    <w:tr2bl w:val="nil"/>
                  </w:tcBorders>
                  <w:shd w:val="clear" w:color="auto" w:fill="auto"/>
                  <w:noWrap w:val="0"/>
                  <w:vAlign w:val="center"/>
                </w:tcPr>
                <w:p w14:paraId="24A250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20000</w:t>
                  </w:r>
                </w:p>
              </w:tc>
              <w:tc>
                <w:tcPr>
                  <w:tcW w:w="293" w:type="pct"/>
                  <w:tcBorders>
                    <w:tl2br w:val="nil"/>
                    <w:tr2bl w:val="nil"/>
                  </w:tcBorders>
                  <w:shd w:val="clear" w:color="auto" w:fill="auto"/>
                  <w:noWrap w:val="0"/>
                  <w:vAlign w:val="center"/>
                </w:tcPr>
                <w:p w14:paraId="50DAAE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非甲烷总烃</w:t>
                  </w:r>
                </w:p>
              </w:tc>
              <w:tc>
                <w:tcPr>
                  <w:tcW w:w="328" w:type="pct"/>
                  <w:tcBorders>
                    <w:tl2br w:val="nil"/>
                    <w:tr2bl w:val="nil"/>
                  </w:tcBorders>
                  <w:shd w:val="clear" w:color="auto" w:fill="auto"/>
                  <w:noWrap w:val="0"/>
                  <w:vAlign w:val="center"/>
                </w:tcPr>
                <w:p w14:paraId="00E9D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45.00</w:t>
                  </w:r>
                </w:p>
              </w:tc>
              <w:tc>
                <w:tcPr>
                  <w:tcW w:w="304" w:type="pct"/>
                  <w:tcBorders>
                    <w:tl2br w:val="nil"/>
                    <w:tr2bl w:val="nil"/>
                  </w:tcBorders>
                  <w:shd w:val="clear" w:color="auto" w:fill="auto"/>
                  <w:noWrap w:val="0"/>
                  <w:vAlign w:val="center"/>
                </w:tcPr>
                <w:p w14:paraId="4E581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0.900</w:t>
                  </w:r>
                </w:p>
              </w:tc>
              <w:tc>
                <w:tcPr>
                  <w:tcW w:w="350" w:type="pct"/>
                  <w:tcBorders>
                    <w:tl2br w:val="nil"/>
                    <w:tr2bl w:val="nil"/>
                  </w:tcBorders>
                  <w:shd w:val="clear" w:color="auto" w:fill="auto"/>
                  <w:noWrap w:val="0"/>
                  <w:vAlign w:val="center"/>
                </w:tcPr>
                <w:p w14:paraId="311D6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5400</w:t>
                  </w:r>
                </w:p>
              </w:tc>
              <w:tc>
                <w:tcPr>
                  <w:tcW w:w="653" w:type="pct"/>
                  <w:tcBorders>
                    <w:tl2br w:val="nil"/>
                    <w:tr2bl w:val="nil"/>
                  </w:tcBorders>
                  <w:shd w:val="clear" w:color="auto" w:fill="auto"/>
                  <w:noWrap w:val="0"/>
                  <w:vAlign w:val="center"/>
                </w:tcPr>
                <w:p w14:paraId="4F3654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1#二级活性炭吸附装置</w:t>
                  </w:r>
                </w:p>
              </w:tc>
              <w:tc>
                <w:tcPr>
                  <w:tcW w:w="263" w:type="pct"/>
                  <w:tcBorders>
                    <w:tl2br w:val="nil"/>
                    <w:tr2bl w:val="nil"/>
                  </w:tcBorders>
                  <w:shd w:val="clear" w:color="auto" w:fill="auto"/>
                  <w:noWrap w:val="0"/>
                  <w:vAlign w:val="center"/>
                </w:tcPr>
                <w:p w14:paraId="2F705B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w:t>
                  </w:r>
                </w:p>
              </w:tc>
              <w:tc>
                <w:tcPr>
                  <w:tcW w:w="305" w:type="pct"/>
                  <w:tcBorders>
                    <w:tl2br w:val="nil"/>
                    <w:tr2bl w:val="nil"/>
                  </w:tcBorders>
                  <w:shd w:val="clear" w:color="auto" w:fill="auto"/>
                  <w:noWrap w:val="0"/>
                  <w:vAlign w:val="center"/>
                </w:tcPr>
                <w:p w14:paraId="63061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4.50</w:t>
                  </w:r>
                </w:p>
              </w:tc>
              <w:tc>
                <w:tcPr>
                  <w:tcW w:w="293" w:type="pct"/>
                  <w:tcBorders>
                    <w:tl2br w:val="nil"/>
                    <w:tr2bl w:val="nil"/>
                  </w:tcBorders>
                  <w:shd w:val="clear" w:color="auto" w:fill="auto"/>
                  <w:noWrap w:val="0"/>
                  <w:vAlign w:val="center"/>
                </w:tcPr>
                <w:p w14:paraId="16A7C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0.090</w:t>
                  </w:r>
                </w:p>
              </w:tc>
              <w:tc>
                <w:tcPr>
                  <w:tcW w:w="336" w:type="pct"/>
                  <w:tcBorders>
                    <w:tl2br w:val="nil"/>
                    <w:tr2bl w:val="nil"/>
                  </w:tcBorders>
                  <w:shd w:val="clear" w:color="auto" w:fill="auto"/>
                  <w:noWrap w:val="0"/>
                  <w:vAlign w:val="center"/>
                </w:tcPr>
                <w:p w14:paraId="6C5D7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54</w:t>
                  </w:r>
                </w:p>
              </w:tc>
              <w:tc>
                <w:tcPr>
                  <w:tcW w:w="319" w:type="pct"/>
                  <w:vMerge w:val="restart"/>
                  <w:tcBorders>
                    <w:tl2br w:val="nil"/>
                    <w:tr2bl w:val="nil"/>
                  </w:tcBorders>
                  <w:shd w:val="clear" w:color="auto" w:fill="auto"/>
                  <w:noWrap w:val="0"/>
                  <w:vAlign w:val="center"/>
                </w:tcPr>
                <w:p w14:paraId="15A049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间断</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0h</w:t>
                  </w:r>
                </w:p>
              </w:tc>
              <w:tc>
                <w:tcPr>
                  <w:tcW w:w="243" w:type="pct"/>
                  <w:vMerge w:val="restart"/>
                  <w:tcBorders>
                    <w:tl2br w:val="nil"/>
                    <w:tr2bl w:val="nil"/>
                  </w:tcBorders>
                  <w:shd w:val="clear" w:color="auto" w:fill="auto"/>
                  <w:noWrap w:val="0"/>
                  <w:vAlign w:val="center"/>
                </w:tcPr>
                <w:p w14:paraId="335C32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224" w:type="pct"/>
                  <w:vMerge w:val="restart"/>
                  <w:tcBorders>
                    <w:tl2br w:val="nil"/>
                    <w:tr2bl w:val="nil"/>
                  </w:tcBorders>
                  <w:shd w:val="clear" w:color="auto" w:fill="auto"/>
                  <w:noWrap w:val="0"/>
                  <w:vAlign w:val="center"/>
                </w:tcPr>
                <w:p w14:paraId="31F3C8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48</w:t>
                  </w:r>
                </w:p>
              </w:tc>
              <w:tc>
                <w:tcPr>
                  <w:tcW w:w="284" w:type="pct"/>
                  <w:vMerge w:val="restart"/>
                  <w:tcBorders>
                    <w:tl2br w:val="nil"/>
                    <w:tr2bl w:val="nil"/>
                  </w:tcBorders>
                  <w:shd w:val="clear" w:color="auto" w:fill="auto"/>
                  <w:noWrap w:val="0"/>
                  <w:vAlign w:val="center"/>
                </w:tcPr>
                <w:p w14:paraId="1B8F71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14:paraId="1AF90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231" w:type="pct"/>
                  <w:vMerge w:val="continue"/>
                  <w:tcBorders>
                    <w:tl2br w:val="nil"/>
                    <w:tr2bl w:val="nil"/>
                  </w:tcBorders>
                  <w:noWrap w:val="0"/>
                  <w:vAlign w:val="center"/>
                </w:tcPr>
                <w:p w14:paraId="61E352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72" w:type="pct"/>
                  <w:vMerge w:val="restart"/>
                  <w:tcBorders>
                    <w:tl2br w:val="nil"/>
                    <w:tr2bl w:val="nil"/>
                  </w:tcBorders>
                  <w:shd w:val="clear" w:color="auto" w:fill="auto"/>
                  <w:noWrap w:val="0"/>
                  <w:vAlign w:val="center"/>
                </w:tcPr>
                <w:p w14:paraId="29072A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天然气燃烧</w:t>
                  </w:r>
                </w:p>
              </w:tc>
              <w:tc>
                <w:tcPr>
                  <w:tcW w:w="295" w:type="pct"/>
                  <w:vMerge w:val="continue"/>
                  <w:tcBorders>
                    <w:tl2br w:val="nil"/>
                    <w:tr2bl w:val="nil"/>
                  </w:tcBorders>
                  <w:shd w:val="clear" w:color="auto" w:fill="auto"/>
                  <w:noWrap w:val="0"/>
                  <w:vAlign w:val="center"/>
                </w:tcPr>
                <w:p w14:paraId="4BD907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3" w:type="pct"/>
                  <w:tcBorders>
                    <w:tl2br w:val="nil"/>
                    <w:tr2bl w:val="nil"/>
                  </w:tcBorders>
                  <w:shd w:val="clear" w:color="auto" w:fill="auto"/>
                  <w:noWrap w:val="0"/>
                  <w:vAlign w:val="center"/>
                </w:tcPr>
                <w:p w14:paraId="4BCAD4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28" w:type="pct"/>
                  <w:tcBorders>
                    <w:tl2br w:val="nil"/>
                    <w:tr2bl w:val="nil"/>
                  </w:tcBorders>
                  <w:shd w:val="clear" w:color="auto" w:fill="auto"/>
                  <w:noWrap w:val="0"/>
                  <w:vAlign w:val="center"/>
                </w:tcPr>
                <w:p w14:paraId="50B5BB2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2.40</w:t>
                  </w:r>
                </w:p>
              </w:tc>
              <w:tc>
                <w:tcPr>
                  <w:tcW w:w="304" w:type="pct"/>
                  <w:tcBorders>
                    <w:tl2br w:val="nil"/>
                    <w:tr2bl w:val="nil"/>
                  </w:tcBorders>
                  <w:shd w:val="clear" w:color="auto" w:fill="auto"/>
                  <w:noWrap w:val="0"/>
                  <w:vAlign w:val="center"/>
                </w:tcPr>
                <w:p w14:paraId="1FD6923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48</w:t>
                  </w:r>
                </w:p>
              </w:tc>
              <w:tc>
                <w:tcPr>
                  <w:tcW w:w="350" w:type="pct"/>
                  <w:tcBorders>
                    <w:tl2br w:val="nil"/>
                    <w:tr2bl w:val="nil"/>
                  </w:tcBorders>
                  <w:shd w:val="clear" w:color="auto" w:fill="auto"/>
                  <w:noWrap w:val="0"/>
                  <w:vAlign w:val="center"/>
                </w:tcPr>
                <w:p w14:paraId="0545A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0.0257</w:t>
                  </w:r>
                </w:p>
              </w:tc>
              <w:tc>
                <w:tcPr>
                  <w:tcW w:w="653" w:type="pct"/>
                  <w:vMerge w:val="restart"/>
                  <w:tcBorders>
                    <w:tl2br w:val="nil"/>
                    <w:tr2bl w:val="nil"/>
                  </w:tcBorders>
                  <w:shd w:val="clear" w:color="auto" w:fill="auto"/>
                  <w:noWrap w:val="0"/>
                  <w:vAlign w:val="center"/>
                </w:tcPr>
                <w:p w14:paraId="046F6F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63" w:type="pct"/>
                  <w:tcBorders>
                    <w:tl2br w:val="nil"/>
                    <w:tr2bl w:val="nil"/>
                  </w:tcBorders>
                  <w:shd w:val="clear" w:color="auto" w:fill="auto"/>
                  <w:noWrap w:val="0"/>
                  <w:vAlign w:val="center"/>
                </w:tcPr>
                <w:p w14:paraId="141CC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5" w:type="pct"/>
                  <w:tcBorders>
                    <w:tl2br w:val="nil"/>
                    <w:tr2bl w:val="nil"/>
                  </w:tcBorders>
                  <w:shd w:val="clear" w:color="auto" w:fill="auto"/>
                  <w:noWrap w:val="0"/>
                  <w:vAlign w:val="center"/>
                </w:tcPr>
                <w:p w14:paraId="26B9076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2.40</w:t>
                  </w:r>
                </w:p>
              </w:tc>
              <w:tc>
                <w:tcPr>
                  <w:tcW w:w="293" w:type="pct"/>
                  <w:tcBorders>
                    <w:tl2br w:val="nil"/>
                    <w:tr2bl w:val="nil"/>
                  </w:tcBorders>
                  <w:shd w:val="clear" w:color="auto" w:fill="auto"/>
                  <w:noWrap w:val="0"/>
                  <w:vAlign w:val="center"/>
                </w:tcPr>
                <w:p w14:paraId="4148349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48</w:t>
                  </w:r>
                </w:p>
              </w:tc>
              <w:tc>
                <w:tcPr>
                  <w:tcW w:w="336" w:type="pct"/>
                  <w:tcBorders>
                    <w:tl2br w:val="nil"/>
                    <w:tr2bl w:val="nil"/>
                  </w:tcBorders>
                  <w:shd w:val="clear" w:color="auto" w:fill="auto"/>
                  <w:noWrap w:val="0"/>
                  <w:vAlign w:val="center"/>
                </w:tcPr>
                <w:p w14:paraId="779B5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0.0257</w:t>
                  </w:r>
                </w:p>
              </w:tc>
              <w:tc>
                <w:tcPr>
                  <w:tcW w:w="319" w:type="pct"/>
                  <w:vMerge w:val="continue"/>
                  <w:tcBorders>
                    <w:tl2br w:val="nil"/>
                    <w:tr2bl w:val="nil"/>
                  </w:tcBorders>
                  <w:shd w:val="clear" w:color="auto" w:fill="auto"/>
                  <w:noWrap w:val="0"/>
                  <w:vAlign w:val="center"/>
                </w:tcPr>
                <w:p w14:paraId="7217D1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43" w:type="pct"/>
                  <w:vMerge w:val="continue"/>
                  <w:tcBorders>
                    <w:tl2br w:val="nil"/>
                    <w:tr2bl w:val="nil"/>
                  </w:tcBorders>
                  <w:shd w:val="clear" w:color="auto" w:fill="auto"/>
                  <w:noWrap w:val="0"/>
                  <w:vAlign w:val="center"/>
                </w:tcPr>
                <w:p w14:paraId="7CF950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24" w:type="pct"/>
                  <w:vMerge w:val="continue"/>
                  <w:tcBorders>
                    <w:tl2br w:val="nil"/>
                    <w:tr2bl w:val="nil"/>
                  </w:tcBorders>
                  <w:shd w:val="clear" w:color="auto" w:fill="auto"/>
                  <w:noWrap w:val="0"/>
                  <w:vAlign w:val="center"/>
                </w:tcPr>
                <w:p w14:paraId="40B12E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84" w:type="pct"/>
                  <w:vMerge w:val="continue"/>
                  <w:tcBorders>
                    <w:tl2br w:val="nil"/>
                    <w:tr2bl w:val="nil"/>
                  </w:tcBorders>
                  <w:shd w:val="clear" w:color="auto" w:fill="auto"/>
                  <w:noWrap w:val="0"/>
                  <w:vAlign w:val="center"/>
                </w:tcPr>
                <w:p w14:paraId="345C93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5296F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231" w:type="pct"/>
                  <w:vMerge w:val="continue"/>
                  <w:tcBorders>
                    <w:tl2br w:val="nil"/>
                    <w:tr2bl w:val="nil"/>
                  </w:tcBorders>
                  <w:noWrap w:val="0"/>
                  <w:vAlign w:val="center"/>
                </w:tcPr>
                <w:p w14:paraId="086ECC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272" w:type="pct"/>
                  <w:vMerge w:val="continue"/>
                  <w:tcBorders>
                    <w:tl2br w:val="nil"/>
                    <w:tr2bl w:val="nil"/>
                  </w:tcBorders>
                  <w:shd w:val="clear" w:color="auto" w:fill="auto"/>
                  <w:noWrap w:val="0"/>
                  <w:vAlign w:val="center"/>
                </w:tcPr>
                <w:p w14:paraId="21371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295" w:type="pct"/>
                  <w:vMerge w:val="continue"/>
                  <w:tcBorders>
                    <w:tl2br w:val="nil"/>
                    <w:tr2bl w:val="nil"/>
                  </w:tcBorders>
                  <w:shd w:val="clear" w:color="auto" w:fill="auto"/>
                  <w:noWrap w:val="0"/>
                  <w:vAlign w:val="center"/>
                </w:tcPr>
                <w:p w14:paraId="68229D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3" w:type="pct"/>
                  <w:tcBorders>
                    <w:tl2br w:val="nil"/>
                    <w:tr2bl w:val="nil"/>
                  </w:tcBorders>
                  <w:shd w:val="clear" w:color="auto" w:fill="auto"/>
                  <w:noWrap w:val="0"/>
                  <w:vAlign w:val="center"/>
                </w:tcPr>
                <w:p w14:paraId="6F3E7C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p>
              </w:tc>
              <w:tc>
                <w:tcPr>
                  <w:tcW w:w="328" w:type="pct"/>
                  <w:tcBorders>
                    <w:tl2br w:val="nil"/>
                    <w:tr2bl w:val="nil"/>
                  </w:tcBorders>
                  <w:shd w:val="clear" w:color="auto" w:fill="auto"/>
                  <w:noWrap w:val="0"/>
                  <w:vAlign w:val="center"/>
                </w:tcPr>
                <w:p w14:paraId="43EAF76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304" w:type="pct"/>
                  <w:tcBorders>
                    <w:tl2br w:val="nil"/>
                    <w:tr2bl w:val="nil"/>
                  </w:tcBorders>
                  <w:shd w:val="clear" w:color="auto" w:fill="auto"/>
                  <w:noWrap w:val="0"/>
                  <w:vAlign w:val="center"/>
                </w:tcPr>
                <w:p w14:paraId="1497406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350" w:type="pct"/>
                  <w:tcBorders>
                    <w:tl2br w:val="nil"/>
                    <w:tr2bl w:val="nil"/>
                  </w:tcBorders>
                  <w:shd w:val="clear" w:color="auto" w:fill="auto"/>
                  <w:noWrap w:val="0"/>
                  <w:vAlign w:val="center"/>
                </w:tcPr>
                <w:p w14:paraId="1143DE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653" w:type="pct"/>
                  <w:vMerge w:val="continue"/>
                  <w:tcBorders>
                    <w:tl2br w:val="nil"/>
                    <w:tr2bl w:val="nil"/>
                  </w:tcBorders>
                  <w:shd w:val="clear" w:color="auto" w:fill="auto"/>
                  <w:noWrap w:val="0"/>
                  <w:vAlign w:val="center"/>
                </w:tcPr>
                <w:p w14:paraId="444B6A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63" w:type="pct"/>
                  <w:tcBorders>
                    <w:tl2br w:val="nil"/>
                    <w:tr2bl w:val="nil"/>
                  </w:tcBorders>
                  <w:shd w:val="clear" w:color="auto" w:fill="auto"/>
                  <w:noWrap w:val="0"/>
                  <w:vAlign w:val="center"/>
                </w:tcPr>
                <w:p w14:paraId="506139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5" w:type="pct"/>
                  <w:tcBorders>
                    <w:tl2br w:val="nil"/>
                    <w:tr2bl w:val="nil"/>
                  </w:tcBorders>
                  <w:shd w:val="clear" w:color="auto" w:fill="auto"/>
                  <w:noWrap w:val="0"/>
                  <w:vAlign w:val="center"/>
                </w:tcPr>
                <w:p w14:paraId="0D6EC21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293" w:type="pct"/>
                  <w:tcBorders>
                    <w:tl2br w:val="nil"/>
                    <w:tr2bl w:val="nil"/>
                  </w:tcBorders>
                  <w:shd w:val="clear" w:color="auto" w:fill="auto"/>
                  <w:noWrap w:val="0"/>
                  <w:vAlign w:val="center"/>
                </w:tcPr>
                <w:p w14:paraId="7D1D6B1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336" w:type="pct"/>
                  <w:tcBorders>
                    <w:tl2br w:val="nil"/>
                    <w:tr2bl w:val="nil"/>
                  </w:tcBorders>
                  <w:shd w:val="clear" w:color="auto" w:fill="auto"/>
                  <w:noWrap w:val="0"/>
                  <w:vAlign w:val="center"/>
                </w:tcPr>
                <w:p w14:paraId="389205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319" w:type="pct"/>
                  <w:vMerge w:val="continue"/>
                  <w:tcBorders>
                    <w:tl2br w:val="nil"/>
                    <w:tr2bl w:val="nil"/>
                  </w:tcBorders>
                  <w:shd w:val="clear" w:color="auto" w:fill="auto"/>
                  <w:noWrap w:val="0"/>
                  <w:vAlign w:val="center"/>
                </w:tcPr>
                <w:p w14:paraId="43DCEE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43" w:type="pct"/>
                  <w:vMerge w:val="continue"/>
                  <w:tcBorders>
                    <w:tl2br w:val="nil"/>
                    <w:tr2bl w:val="nil"/>
                  </w:tcBorders>
                  <w:shd w:val="clear" w:color="auto" w:fill="auto"/>
                  <w:noWrap w:val="0"/>
                  <w:vAlign w:val="center"/>
                </w:tcPr>
                <w:p w14:paraId="1E1BF5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24" w:type="pct"/>
                  <w:vMerge w:val="continue"/>
                  <w:tcBorders>
                    <w:tl2br w:val="nil"/>
                    <w:tr2bl w:val="nil"/>
                  </w:tcBorders>
                  <w:shd w:val="clear" w:color="auto" w:fill="auto"/>
                  <w:noWrap w:val="0"/>
                  <w:vAlign w:val="center"/>
                </w:tcPr>
                <w:p w14:paraId="5C29CF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84" w:type="pct"/>
                  <w:vMerge w:val="continue"/>
                  <w:tcBorders>
                    <w:tl2br w:val="nil"/>
                    <w:tr2bl w:val="nil"/>
                  </w:tcBorders>
                  <w:shd w:val="clear" w:color="auto" w:fill="auto"/>
                  <w:noWrap w:val="0"/>
                  <w:vAlign w:val="center"/>
                </w:tcPr>
                <w:p w14:paraId="493A0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6F7382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1" w:type="pct"/>
                  <w:vMerge w:val="continue"/>
                  <w:tcBorders>
                    <w:tl2br w:val="nil"/>
                    <w:tr2bl w:val="nil"/>
                  </w:tcBorders>
                  <w:noWrap w:val="0"/>
                  <w:vAlign w:val="center"/>
                </w:tcPr>
                <w:p w14:paraId="4710DB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72" w:type="pct"/>
                  <w:vMerge w:val="continue"/>
                  <w:tcBorders>
                    <w:tl2br w:val="nil"/>
                    <w:tr2bl w:val="nil"/>
                  </w:tcBorders>
                  <w:shd w:val="clear" w:color="auto" w:fill="auto"/>
                  <w:noWrap w:val="0"/>
                  <w:vAlign w:val="center"/>
                </w:tcPr>
                <w:p w14:paraId="13259F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5" w:type="pct"/>
                  <w:vMerge w:val="continue"/>
                  <w:tcBorders>
                    <w:tl2br w:val="nil"/>
                    <w:tr2bl w:val="nil"/>
                  </w:tcBorders>
                  <w:shd w:val="clear" w:color="auto" w:fill="auto"/>
                  <w:noWrap w:val="0"/>
                  <w:vAlign w:val="center"/>
                </w:tcPr>
                <w:p w14:paraId="4971AB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93" w:type="pct"/>
                  <w:tcBorders>
                    <w:tl2br w:val="nil"/>
                    <w:tr2bl w:val="nil"/>
                  </w:tcBorders>
                  <w:shd w:val="clear" w:color="auto" w:fill="auto"/>
                  <w:noWrap w:val="0"/>
                  <w:vAlign w:val="center"/>
                </w:tcPr>
                <w:p w14:paraId="19F8A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NOx</w:t>
                  </w:r>
                  <w:r>
                    <w:rPr>
                      <w:rFonts w:hint="eastAsia"/>
                      <w:color w:val="auto"/>
                      <w:sz w:val="21"/>
                      <w:szCs w:val="21"/>
                      <w:vertAlign w:val="superscript"/>
                      <w:lang w:val="en-US" w:eastAsia="zh-CN"/>
                    </w:rPr>
                    <w:t>①</w:t>
                  </w:r>
                </w:p>
              </w:tc>
              <w:tc>
                <w:tcPr>
                  <w:tcW w:w="328" w:type="pct"/>
                  <w:tcBorders>
                    <w:tl2br w:val="nil"/>
                    <w:tr2bl w:val="nil"/>
                  </w:tcBorders>
                  <w:shd w:val="clear" w:color="auto" w:fill="auto"/>
                  <w:noWrap w:val="0"/>
                  <w:vAlign w:val="center"/>
                </w:tcPr>
                <w:p w14:paraId="6E6B8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7.00</w:t>
                  </w:r>
                </w:p>
              </w:tc>
              <w:tc>
                <w:tcPr>
                  <w:tcW w:w="304" w:type="pct"/>
                  <w:tcBorders>
                    <w:tl2br w:val="nil"/>
                    <w:tr2bl w:val="nil"/>
                  </w:tcBorders>
                  <w:shd w:val="clear" w:color="auto" w:fill="auto"/>
                  <w:noWrap w:val="0"/>
                  <w:vAlign w:val="center"/>
                </w:tcPr>
                <w:p w14:paraId="25A86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140</w:t>
                  </w:r>
                </w:p>
              </w:tc>
              <w:tc>
                <w:tcPr>
                  <w:tcW w:w="350" w:type="pct"/>
                  <w:tcBorders>
                    <w:tl2br w:val="nil"/>
                    <w:tr2bl w:val="nil"/>
                  </w:tcBorders>
                  <w:shd w:val="clear" w:color="auto" w:fill="auto"/>
                  <w:noWrap w:val="0"/>
                  <w:vAlign w:val="center"/>
                </w:tcPr>
                <w:p w14:paraId="6BA9B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0.0842</w:t>
                  </w:r>
                </w:p>
              </w:tc>
              <w:tc>
                <w:tcPr>
                  <w:tcW w:w="653" w:type="pct"/>
                  <w:vMerge w:val="continue"/>
                  <w:tcBorders>
                    <w:tl2br w:val="nil"/>
                    <w:tr2bl w:val="nil"/>
                  </w:tcBorders>
                  <w:shd w:val="clear" w:color="auto" w:fill="auto"/>
                  <w:noWrap w:val="0"/>
                  <w:vAlign w:val="center"/>
                </w:tcPr>
                <w:p w14:paraId="01271F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63" w:type="pct"/>
                  <w:tcBorders>
                    <w:tl2br w:val="nil"/>
                    <w:tr2bl w:val="nil"/>
                  </w:tcBorders>
                  <w:shd w:val="clear" w:color="auto" w:fill="auto"/>
                  <w:noWrap w:val="0"/>
                  <w:vAlign w:val="center"/>
                </w:tcPr>
                <w:p w14:paraId="61D482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5" w:type="pct"/>
                  <w:tcBorders>
                    <w:tl2br w:val="nil"/>
                    <w:tr2bl w:val="nil"/>
                  </w:tcBorders>
                  <w:shd w:val="clear" w:color="auto" w:fill="auto"/>
                  <w:noWrap w:val="0"/>
                  <w:vAlign w:val="center"/>
                </w:tcPr>
                <w:p w14:paraId="4A1CE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7.00</w:t>
                  </w:r>
                </w:p>
              </w:tc>
              <w:tc>
                <w:tcPr>
                  <w:tcW w:w="293" w:type="pct"/>
                  <w:tcBorders>
                    <w:tl2br w:val="nil"/>
                    <w:tr2bl w:val="nil"/>
                  </w:tcBorders>
                  <w:shd w:val="clear" w:color="auto" w:fill="auto"/>
                  <w:noWrap w:val="0"/>
                  <w:vAlign w:val="center"/>
                </w:tcPr>
                <w:p w14:paraId="0A51B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140</w:t>
                  </w:r>
                </w:p>
              </w:tc>
              <w:tc>
                <w:tcPr>
                  <w:tcW w:w="336" w:type="pct"/>
                  <w:tcBorders>
                    <w:tl2br w:val="nil"/>
                    <w:tr2bl w:val="nil"/>
                  </w:tcBorders>
                  <w:shd w:val="clear" w:color="auto" w:fill="auto"/>
                  <w:noWrap w:val="0"/>
                  <w:vAlign w:val="center"/>
                </w:tcPr>
                <w:p w14:paraId="308F6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c>
                <w:tcPr>
                  <w:tcW w:w="319" w:type="pct"/>
                  <w:vMerge w:val="continue"/>
                  <w:tcBorders>
                    <w:tl2br w:val="nil"/>
                    <w:tr2bl w:val="nil"/>
                  </w:tcBorders>
                  <w:shd w:val="clear" w:color="auto" w:fill="auto"/>
                  <w:noWrap w:val="0"/>
                  <w:vAlign w:val="center"/>
                </w:tcPr>
                <w:p w14:paraId="388F84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43" w:type="pct"/>
                  <w:vMerge w:val="continue"/>
                  <w:tcBorders>
                    <w:tl2br w:val="nil"/>
                    <w:tr2bl w:val="nil"/>
                  </w:tcBorders>
                  <w:shd w:val="clear" w:color="auto" w:fill="auto"/>
                  <w:noWrap w:val="0"/>
                  <w:vAlign w:val="center"/>
                </w:tcPr>
                <w:p w14:paraId="671C97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24" w:type="pct"/>
                  <w:vMerge w:val="continue"/>
                  <w:tcBorders>
                    <w:tl2br w:val="nil"/>
                    <w:tr2bl w:val="nil"/>
                  </w:tcBorders>
                  <w:shd w:val="clear" w:color="auto" w:fill="auto"/>
                  <w:noWrap w:val="0"/>
                  <w:vAlign w:val="center"/>
                </w:tcPr>
                <w:p w14:paraId="60DA38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284" w:type="pct"/>
                  <w:vMerge w:val="continue"/>
                  <w:tcBorders>
                    <w:tl2br w:val="nil"/>
                    <w:tr2bl w:val="nil"/>
                  </w:tcBorders>
                  <w:shd w:val="clear" w:color="auto" w:fill="auto"/>
                  <w:noWrap w:val="0"/>
                  <w:vAlign w:val="center"/>
                </w:tcPr>
                <w:p w14:paraId="5929F1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F196C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82" w:hRule="atLeast"/>
                <w:jc w:val="center"/>
              </w:trPr>
              <w:tc>
                <w:tcPr>
                  <w:tcW w:w="231" w:type="pct"/>
                  <w:tcBorders>
                    <w:tl2br w:val="nil"/>
                    <w:tr2bl w:val="nil"/>
                  </w:tcBorders>
                  <w:shd w:val="clear" w:color="auto" w:fill="auto"/>
                  <w:noWrap w:val="0"/>
                  <w:vAlign w:val="center"/>
                </w:tcPr>
                <w:p w14:paraId="3B5E64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272" w:type="pct"/>
                  <w:tcBorders>
                    <w:tl2br w:val="nil"/>
                    <w:tr2bl w:val="nil"/>
                  </w:tcBorders>
                  <w:shd w:val="clear" w:color="auto" w:fill="auto"/>
                  <w:noWrap w:val="0"/>
                  <w:vAlign w:val="center"/>
                </w:tcPr>
                <w:p w14:paraId="040980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打胶</w:t>
                  </w:r>
                </w:p>
              </w:tc>
              <w:tc>
                <w:tcPr>
                  <w:tcW w:w="295" w:type="pct"/>
                  <w:tcBorders>
                    <w:tl2br w:val="nil"/>
                    <w:tr2bl w:val="nil"/>
                  </w:tcBorders>
                  <w:shd w:val="clear" w:color="auto" w:fill="auto"/>
                  <w:noWrap w:val="0"/>
                  <w:vAlign w:val="center"/>
                </w:tcPr>
                <w:p w14:paraId="0C587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0</w:t>
                  </w:r>
                </w:p>
              </w:tc>
              <w:tc>
                <w:tcPr>
                  <w:tcW w:w="293" w:type="pct"/>
                  <w:tcBorders>
                    <w:tl2br w:val="nil"/>
                    <w:tr2bl w:val="nil"/>
                  </w:tcBorders>
                  <w:shd w:val="clear" w:color="auto" w:fill="auto"/>
                  <w:noWrap w:val="0"/>
                  <w:vAlign w:val="center"/>
                </w:tcPr>
                <w:p w14:paraId="71C8E2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328" w:type="pct"/>
                  <w:tcBorders>
                    <w:tl2br w:val="nil"/>
                    <w:tr2bl w:val="nil"/>
                  </w:tcBorders>
                  <w:shd w:val="clear" w:color="auto" w:fill="auto"/>
                  <w:noWrap w:val="0"/>
                  <w:vAlign w:val="center"/>
                </w:tcPr>
                <w:p w14:paraId="440EC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21</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22</w:t>
                  </w:r>
                </w:p>
              </w:tc>
              <w:tc>
                <w:tcPr>
                  <w:tcW w:w="304" w:type="pct"/>
                  <w:tcBorders>
                    <w:tl2br w:val="nil"/>
                    <w:tr2bl w:val="nil"/>
                  </w:tcBorders>
                  <w:shd w:val="clear" w:color="auto" w:fill="auto"/>
                  <w:noWrap w:val="0"/>
                  <w:vAlign w:val="center"/>
                </w:tcPr>
                <w:p w14:paraId="4EEF3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424</w:t>
                  </w:r>
                </w:p>
              </w:tc>
              <w:tc>
                <w:tcPr>
                  <w:tcW w:w="350" w:type="pct"/>
                  <w:tcBorders>
                    <w:tl2br w:val="nil"/>
                    <w:tr2bl w:val="nil"/>
                  </w:tcBorders>
                  <w:shd w:val="clear" w:color="auto" w:fill="auto"/>
                  <w:noWrap w:val="0"/>
                  <w:vAlign w:val="center"/>
                </w:tcPr>
                <w:p w14:paraId="3588D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0.1273</w:t>
                  </w:r>
                </w:p>
              </w:tc>
              <w:tc>
                <w:tcPr>
                  <w:tcW w:w="653" w:type="pct"/>
                  <w:tcBorders>
                    <w:tl2br w:val="nil"/>
                    <w:tr2bl w:val="nil"/>
                  </w:tcBorders>
                  <w:shd w:val="clear" w:color="auto" w:fill="auto"/>
                  <w:noWrap w:val="0"/>
                  <w:vAlign w:val="center"/>
                </w:tcPr>
                <w:p w14:paraId="5844E9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2#二级活性炭吸附装置</w:t>
                  </w:r>
                </w:p>
              </w:tc>
              <w:tc>
                <w:tcPr>
                  <w:tcW w:w="263" w:type="pct"/>
                  <w:tcBorders>
                    <w:tl2br w:val="nil"/>
                    <w:tr2bl w:val="nil"/>
                  </w:tcBorders>
                  <w:shd w:val="clear" w:color="auto" w:fill="auto"/>
                  <w:noWrap w:val="0"/>
                  <w:vAlign w:val="center"/>
                </w:tcPr>
                <w:p w14:paraId="5AF401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0</w:t>
                  </w:r>
                </w:p>
              </w:tc>
              <w:tc>
                <w:tcPr>
                  <w:tcW w:w="305" w:type="pct"/>
                  <w:tcBorders>
                    <w:tl2br w:val="nil"/>
                    <w:tr2bl w:val="nil"/>
                  </w:tcBorders>
                  <w:shd w:val="clear" w:color="auto" w:fill="auto"/>
                  <w:noWrap w:val="0"/>
                  <w:vAlign w:val="center"/>
                </w:tcPr>
                <w:p w14:paraId="4D0A7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2.12</w:t>
                  </w:r>
                </w:p>
              </w:tc>
              <w:tc>
                <w:tcPr>
                  <w:tcW w:w="293" w:type="pct"/>
                  <w:tcBorders>
                    <w:tl2br w:val="nil"/>
                    <w:tr2bl w:val="nil"/>
                  </w:tcBorders>
                  <w:shd w:val="clear" w:color="auto" w:fill="auto"/>
                  <w:noWrap w:val="0"/>
                  <w:vAlign w:val="center"/>
                </w:tcPr>
                <w:p w14:paraId="7B6A0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42</w:t>
                  </w:r>
                </w:p>
              </w:tc>
              <w:tc>
                <w:tcPr>
                  <w:tcW w:w="336" w:type="pct"/>
                  <w:tcBorders>
                    <w:tl2br w:val="nil"/>
                    <w:tr2bl w:val="nil"/>
                  </w:tcBorders>
                  <w:shd w:val="clear" w:color="auto" w:fill="auto"/>
                  <w:noWrap w:val="0"/>
                  <w:vAlign w:val="center"/>
                </w:tcPr>
                <w:p w14:paraId="15614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0.0127</w:t>
                  </w:r>
                </w:p>
              </w:tc>
              <w:tc>
                <w:tcPr>
                  <w:tcW w:w="319" w:type="pct"/>
                  <w:tcBorders>
                    <w:tl2br w:val="nil"/>
                    <w:tr2bl w:val="nil"/>
                  </w:tcBorders>
                  <w:shd w:val="clear" w:color="auto" w:fill="auto"/>
                  <w:noWrap w:val="0"/>
                  <w:vAlign w:val="center"/>
                </w:tcPr>
                <w:p w14:paraId="21E74E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间断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0h</w:t>
                  </w:r>
                </w:p>
              </w:tc>
              <w:tc>
                <w:tcPr>
                  <w:tcW w:w="243" w:type="pct"/>
                  <w:tcBorders>
                    <w:tl2br w:val="nil"/>
                    <w:tr2bl w:val="nil"/>
                  </w:tcBorders>
                  <w:shd w:val="clear" w:color="auto" w:fill="auto"/>
                  <w:noWrap w:val="0"/>
                  <w:vAlign w:val="center"/>
                </w:tcPr>
                <w:p w14:paraId="30003A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5</w:t>
                  </w:r>
                </w:p>
              </w:tc>
              <w:tc>
                <w:tcPr>
                  <w:tcW w:w="224" w:type="pct"/>
                  <w:tcBorders>
                    <w:tl2br w:val="nil"/>
                    <w:tr2bl w:val="nil"/>
                  </w:tcBorders>
                  <w:shd w:val="clear" w:color="auto" w:fill="auto"/>
                  <w:noWrap w:val="0"/>
                  <w:vAlign w:val="center"/>
                </w:tcPr>
                <w:p w14:paraId="611A80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48</w:t>
                  </w:r>
                </w:p>
              </w:tc>
              <w:tc>
                <w:tcPr>
                  <w:tcW w:w="284" w:type="pct"/>
                  <w:tcBorders>
                    <w:tl2br w:val="nil"/>
                    <w:tr2bl w:val="nil"/>
                  </w:tcBorders>
                  <w:shd w:val="clear" w:color="auto" w:fill="auto"/>
                  <w:noWrap w:val="0"/>
                  <w:vAlign w:val="center"/>
                </w:tcPr>
                <w:p w14:paraId="3DC440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bl>
          <w:p w14:paraId="73B973B0">
            <w:pPr>
              <w:pStyle w:val="24"/>
              <w:adjustRightInd w:val="0"/>
              <w:snapToGrid w:val="0"/>
              <w:spacing w:before="0" w:beforeAutospacing="0" w:after="0" w:afterAutospacing="0"/>
              <w:ind w:firstLine="422"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注：①NOx</w:t>
            </w:r>
            <w:r>
              <w:rPr>
                <w:rFonts w:hint="eastAsia" w:ascii="Times New Roman" w:hAnsi="Times New Roman" w:cs="Times New Roman"/>
                <w:color w:val="auto"/>
                <w:sz w:val="21"/>
                <w:szCs w:val="21"/>
                <w:lang w:val="en-US" w:eastAsia="zh-CN"/>
              </w:rPr>
              <w:t>有组织</w:t>
            </w:r>
            <w:r>
              <w:rPr>
                <w:rFonts w:hint="default" w:ascii="Times New Roman" w:hAnsi="Times New Roman" w:cs="Times New Roman"/>
                <w:color w:val="auto"/>
                <w:sz w:val="21"/>
                <w:szCs w:val="21"/>
                <w:lang w:val="en-US" w:eastAsia="zh-CN"/>
              </w:rPr>
              <w:t>产生</w:t>
            </w:r>
            <w:r>
              <w:rPr>
                <w:rFonts w:hint="eastAsia" w:ascii="Times New Roman" w:hAnsi="Times New Roman" w:cs="Times New Roman"/>
                <w:color w:val="auto"/>
                <w:sz w:val="21"/>
                <w:szCs w:val="21"/>
                <w:lang w:val="en-US" w:eastAsia="zh-CN"/>
              </w:rPr>
              <w:t>情况</w:t>
            </w:r>
            <w:r>
              <w:rPr>
                <w:rFonts w:hint="default" w:ascii="Times New Roman" w:hAnsi="Times New Roman" w:cs="Times New Roman"/>
                <w:color w:val="auto"/>
                <w:sz w:val="21"/>
                <w:szCs w:val="21"/>
                <w:lang w:val="en-US" w:eastAsia="zh-CN"/>
              </w:rPr>
              <w:t>为经低氮燃烧器处理后的数据。</w:t>
            </w:r>
          </w:p>
          <w:p w14:paraId="023245AB">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6</w:t>
            </w:r>
            <w:r>
              <w:rPr>
                <w:rFonts w:hint="default" w:ascii="Times New Roman" w:hAnsi="Times New Roman" w:eastAsia="宋体" w:cs="Times New Roman"/>
                <w:b/>
                <w:bCs w:val="0"/>
                <w:color w:val="auto"/>
                <w:spacing w:val="0"/>
                <w:sz w:val="24"/>
                <w:szCs w:val="24"/>
                <w:highlight w:val="none"/>
              </w:rPr>
              <w:t xml:space="preserve">  </w:t>
            </w:r>
            <w:r>
              <w:rPr>
                <w:rFonts w:hint="default" w:ascii="Times New Roman" w:hAnsi="Times New Roman" w:eastAsia="宋体" w:cs="Times New Roman"/>
                <w:b/>
                <w:bCs w:val="0"/>
                <w:color w:val="auto"/>
                <w:spacing w:val="0"/>
                <w:sz w:val="24"/>
                <w:szCs w:val="24"/>
                <w:highlight w:val="none"/>
                <w:lang w:val="en-US" w:eastAsia="zh-CN"/>
              </w:rPr>
              <w:t>本项目</w:t>
            </w:r>
            <w:r>
              <w:rPr>
                <w:rFonts w:hint="default" w:ascii="Times New Roman" w:hAnsi="Times New Roman" w:eastAsia="宋体" w:cs="Times New Roman"/>
                <w:b/>
                <w:bCs w:val="0"/>
                <w:color w:val="auto"/>
                <w:spacing w:val="0"/>
                <w:sz w:val="24"/>
                <w:szCs w:val="24"/>
                <w:highlight w:val="none"/>
              </w:rPr>
              <w:t>无组织废气产、排情况表</w:t>
            </w:r>
          </w:p>
          <w:tbl>
            <w:tblPr>
              <w:tblStyle w:val="27"/>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788"/>
              <w:gridCol w:w="1371"/>
              <w:gridCol w:w="2086"/>
              <w:gridCol w:w="1287"/>
              <w:gridCol w:w="1091"/>
              <w:gridCol w:w="887"/>
              <w:gridCol w:w="798"/>
              <w:gridCol w:w="1188"/>
              <w:gridCol w:w="1193"/>
              <w:gridCol w:w="1248"/>
              <w:gridCol w:w="1134"/>
            </w:tblGrid>
            <w:tr w14:paraId="762D279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noWrap w:val="0"/>
                  <w:vAlign w:val="center"/>
                </w:tcPr>
                <w:p w14:paraId="4E3D19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编号</w:t>
                  </w:r>
                </w:p>
              </w:tc>
              <w:tc>
                <w:tcPr>
                  <w:tcW w:w="524" w:type="pct"/>
                  <w:vMerge w:val="restart"/>
                  <w:noWrap w:val="0"/>
                  <w:vAlign w:val="center"/>
                </w:tcPr>
                <w:p w14:paraId="520FCD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污染工序</w:t>
                  </w:r>
                </w:p>
              </w:tc>
              <w:tc>
                <w:tcPr>
                  <w:tcW w:w="797" w:type="pct"/>
                  <w:vMerge w:val="restart"/>
                  <w:noWrap w:val="0"/>
                  <w:vAlign w:val="center"/>
                </w:tcPr>
                <w:p w14:paraId="3ECB3B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污染因子</w:t>
                  </w:r>
                </w:p>
              </w:tc>
              <w:tc>
                <w:tcPr>
                  <w:tcW w:w="909" w:type="pct"/>
                  <w:gridSpan w:val="2"/>
                  <w:noWrap w:val="0"/>
                  <w:vAlign w:val="center"/>
                </w:tcPr>
                <w:p w14:paraId="41D03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产生情况</w:t>
                  </w:r>
                </w:p>
              </w:tc>
              <w:tc>
                <w:tcPr>
                  <w:tcW w:w="339" w:type="pct"/>
                  <w:vMerge w:val="restart"/>
                  <w:noWrap w:val="0"/>
                  <w:vAlign w:val="center"/>
                </w:tcPr>
                <w:p w14:paraId="1B1F00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治理措施</w:t>
                  </w:r>
                </w:p>
              </w:tc>
              <w:tc>
                <w:tcPr>
                  <w:tcW w:w="305" w:type="pct"/>
                  <w:vMerge w:val="restart"/>
                  <w:noWrap w:val="0"/>
                  <w:vAlign w:val="center"/>
                </w:tcPr>
                <w:p w14:paraId="3D8457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去除率%</w:t>
                  </w:r>
                </w:p>
              </w:tc>
              <w:tc>
                <w:tcPr>
                  <w:tcW w:w="910" w:type="pct"/>
                  <w:gridSpan w:val="2"/>
                  <w:noWrap w:val="0"/>
                  <w:vAlign w:val="center"/>
                </w:tcPr>
                <w:p w14:paraId="441695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排放情况</w:t>
                  </w:r>
                </w:p>
              </w:tc>
              <w:tc>
                <w:tcPr>
                  <w:tcW w:w="477" w:type="pct"/>
                  <w:vMerge w:val="restart"/>
                  <w:noWrap w:val="0"/>
                  <w:vAlign w:val="center"/>
                </w:tcPr>
                <w:p w14:paraId="3CB81A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面源面积（m</w:t>
                  </w:r>
                  <w:r>
                    <w:rPr>
                      <w:rFonts w:hint="default" w:ascii="Times New Roman" w:hAnsi="Times New Roman" w:eastAsia="宋体" w:cs="Times New Roman"/>
                      <w:b/>
                      <w:bCs w:val="0"/>
                      <w:smallCaps w:val="0"/>
                      <w:color w:val="auto"/>
                      <w:spacing w:val="0"/>
                      <w:sz w:val="21"/>
                      <w:szCs w:val="21"/>
                      <w:highlight w:val="none"/>
                      <w:vertAlign w:val="superscript"/>
                      <w:lang w:val="en-US" w:eastAsia="zh-CN"/>
                    </w:rPr>
                    <w:t>2</w:t>
                  </w:r>
                  <w:r>
                    <w:rPr>
                      <w:rFonts w:hint="default" w:ascii="Times New Roman" w:hAnsi="Times New Roman" w:eastAsia="宋体" w:cs="Times New Roman"/>
                      <w:b/>
                      <w:bCs w:val="0"/>
                      <w:smallCaps w:val="0"/>
                      <w:color w:val="auto"/>
                      <w:spacing w:val="0"/>
                      <w:sz w:val="21"/>
                      <w:szCs w:val="21"/>
                      <w:highlight w:val="none"/>
                      <w:lang w:val="en-US" w:eastAsia="zh-CN"/>
                    </w:rPr>
                    <w:t>）</w:t>
                  </w:r>
                </w:p>
              </w:tc>
              <w:tc>
                <w:tcPr>
                  <w:tcW w:w="433" w:type="pct"/>
                  <w:vMerge w:val="restart"/>
                  <w:noWrap w:val="0"/>
                  <w:vAlign w:val="center"/>
                </w:tcPr>
                <w:p w14:paraId="45476C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面源高度（m）</w:t>
                  </w:r>
                </w:p>
              </w:tc>
            </w:tr>
            <w:tr w14:paraId="047E94B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noWrap w:val="0"/>
                  <w:vAlign w:val="center"/>
                </w:tcPr>
                <w:p w14:paraId="24BC1A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524" w:type="pct"/>
                  <w:vMerge w:val="continue"/>
                  <w:noWrap w:val="0"/>
                  <w:vAlign w:val="center"/>
                </w:tcPr>
                <w:p w14:paraId="36B8F5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797" w:type="pct"/>
                  <w:vMerge w:val="continue"/>
                  <w:noWrap w:val="0"/>
                  <w:vAlign w:val="center"/>
                </w:tcPr>
                <w:p w14:paraId="098D7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492" w:type="pct"/>
                  <w:noWrap w:val="0"/>
                  <w:vAlign w:val="center"/>
                </w:tcPr>
                <w:p w14:paraId="7A3048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产生速率（kg/h）</w:t>
                  </w:r>
                </w:p>
              </w:tc>
              <w:tc>
                <w:tcPr>
                  <w:tcW w:w="417" w:type="pct"/>
                  <w:noWrap w:val="0"/>
                  <w:vAlign w:val="center"/>
                </w:tcPr>
                <w:p w14:paraId="78714E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产生量（t/a）</w:t>
                  </w:r>
                </w:p>
              </w:tc>
              <w:tc>
                <w:tcPr>
                  <w:tcW w:w="339" w:type="pct"/>
                  <w:vMerge w:val="continue"/>
                  <w:noWrap w:val="0"/>
                  <w:vAlign w:val="center"/>
                </w:tcPr>
                <w:p w14:paraId="16A07C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c>
                <w:tcPr>
                  <w:tcW w:w="305" w:type="pct"/>
                  <w:vMerge w:val="continue"/>
                  <w:noWrap w:val="0"/>
                  <w:vAlign w:val="center"/>
                </w:tcPr>
                <w:p w14:paraId="7DC54C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c>
                <w:tcPr>
                  <w:tcW w:w="454" w:type="pct"/>
                  <w:noWrap w:val="0"/>
                  <w:vAlign w:val="center"/>
                </w:tcPr>
                <w:p w14:paraId="4DED6F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2"/>
                      <w:sz w:val="21"/>
                      <w:szCs w:val="21"/>
                      <w:highlight w:val="none"/>
                      <w:lang w:val="en-US" w:eastAsia="zh-CN" w:bidi="ar-SA"/>
                    </w:rPr>
                  </w:pPr>
                  <w:r>
                    <w:rPr>
                      <w:rFonts w:hint="default" w:ascii="Times New Roman" w:hAnsi="Times New Roman" w:eastAsia="宋体" w:cs="Times New Roman"/>
                      <w:b/>
                      <w:bCs w:val="0"/>
                      <w:smallCaps w:val="0"/>
                      <w:color w:val="auto"/>
                      <w:spacing w:val="0"/>
                      <w:sz w:val="21"/>
                      <w:szCs w:val="21"/>
                      <w:highlight w:val="none"/>
                      <w:lang w:val="en-US" w:eastAsia="zh-CN"/>
                    </w:rPr>
                    <w:t>排放速率（kg/h）</w:t>
                  </w:r>
                </w:p>
              </w:tc>
              <w:tc>
                <w:tcPr>
                  <w:tcW w:w="456" w:type="pct"/>
                  <w:noWrap w:val="0"/>
                  <w:vAlign w:val="center"/>
                </w:tcPr>
                <w:p w14:paraId="22EF4B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bidi="ar-SA"/>
                    </w:rPr>
                  </w:pPr>
                  <w:r>
                    <w:rPr>
                      <w:rFonts w:hint="default" w:ascii="Times New Roman" w:hAnsi="Times New Roman" w:eastAsia="宋体" w:cs="Times New Roman"/>
                      <w:b/>
                      <w:bCs w:val="0"/>
                      <w:smallCaps w:val="0"/>
                      <w:color w:val="auto"/>
                      <w:spacing w:val="0"/>
                      <w:sz w:val="21"/>
                      <w:szCs w:val="21"/>
                      <w:highlight w:val="none"/>
                      <w:lang w:val="en-US" w:eastAsia="zh-CN"/>
                    </w:rPr>
                    <w:t>排放量（t/a）</w:t>
                  </w:r>
                </w:p>
              </w:tc>
              <w:tc>
                <w:tcPr>
                  <w:tcW w:w="477" w:type="pct"/>
                  <w:vMerge w:val="continue"/>
                  <w:noWrap w:val="0"/>
                  <w:vAlign w:val="center"/>
                </w:tcPr>
                <w:p w14:paraId="5AEFBB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bidi="ar-SA"/>
                    </w:rPr>
                  </w:pPr>
                </w:p>
              </w:tc>
              <w:tc>
                <w:tcPr>
                  <w:tcW w:w="433" w:type="pct"/>
                  <w:vMerge w:val="continue"/>
                  <w:noWrap w:val="0"/>
                  <w:vAlign w:val="center"/>
                </w:tcPr>
                <w:p w14:paraId="2B45D6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r>
            <w:tr w14:paraId="0C9447B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14:paraId="1270B8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w:t>
                  </w:r>
                </w:p>
              </w:tc>
              <w:tc>
                <w:tcPr>
                  <w:tcW w:w="524" w:type="pct"/>
                  <w:noWrap w:val="0"/>
                  <w:vAlign w:val="center"/>
                </w:tcPr>
                <w:p w14:paraId="3C2D4F9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切割烟尘</w:t>
                  </w:r>
                </w:p>
              </w:tc>
              <w:tc>
                <w:tcPr>
                  <w:tcW w:w="797" w:type="pct"/>
                  <w:noWrap w:val="0"/>
                  <w:vAlign w:val="center"/>
                </w:tcPr>
                <w:p w14:paraId="57D0F3C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noWrap w:val="0"/>
                  <w:vAlign w:val="center"/>
                </w:tcPr>
                <w:p w14:paraId="7C062AB8">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0.015</w:t>
                  </w:r>
                </w:p>
              </w:tc>
              <w:tc>
                <w:tcPr>
                  <w:tcW w:w="417" w:type="pct"/>
                  <w:noWrap w:val="0"/>
                  <w:vAlign w:val="center"/>
                </w:tcPr>
                <w:p w14:paraId="325B46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0.0356</w:t>
                  </w:r>
                </w:p>
              </w:tc>
              <w:tc>
                <w:tcPr>
                  <w:tcW w:w="339" w:type="pct"/>
                  <w:noWrap w:val="0"/>
                  <w:vAlign w:val="center"/>
                </w:tcPr>
                <w:p w14:paraId="78D01D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移动式烟尘净化器</w:t>
                  </w:r>
                </w:p>
              </w:tc>
              <w:tc>
                <w:tcPr>
                  <w:tcW w:w="305" w:type="pct"/>
                  <w:noWrap w:val="0"/>
                  <w:vAlign w:val="center"/>
                </w:tcPr>
                <w:p w14:paraId="28D71C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80</w:t>
                  </w:r>
                </w:p>
              </w:tc>
              <w:tc>
                <w:tcPr>
                  <w:tcW w:w="454" w:type="pct"/>
                  <w:shd w:val="clear" w:color="auto" w:fill="auto"/>
                  <w:noWrap w:val="0"/>
                  <w:vAlign w:val="center"/>
                </w:tcPr>
                <w:p w14:paraId="167DF491">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0.003</w:t>
                  </w:r>
                </w:p>
              </w:tc>
              <w:tc>
                <w:tcPr>
                  <w:tcW w:w="456" w:type="pct"/>
                  <w:shd w:val="clear" w:color="auto" w:fill="auto"/>
                  <w:noWrap w:val="0"/>
                  <w:vAlign w:val="center"/>
                </w:tcPr>
                <w:p w14:paraId="5BEFD5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w:t>
                  </w:r>
                  <w:r>
                    <w:rPr>
                      <w:rFonts w:hint="eastAsia" w:ascii="Times New Roman" w:hAnsi="Times New Roman" w:eastAsia="宋体" w:cs="Times New Roman"/>
                      <w:color w:val="auto"/>
                      <w:kern w:val="0"/>
                      <w:sz w:val="21"/>
                      <w:szCs w:val="21"/>
                      <w:highlight w:val="none"/>
                      <w:lang w:val="en-US" w:eastAsia="zh-CN"/>
                    </w:rPr>
                    <w:t>071</w:t>
                  </w:r>
                </w:p>
              </w:tc>
              <w:tc>
                <w:tcPr>
                  <w:tcW w:w="477" w:type="pct"/>
                  <w:vMerge w:val="restart"/>
                  <w:noWrap w:val="0"/>
                  <w:vAlign w:val="center"/>
                </w:tcPr>
                <w:p w14:paraId="114F0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lang w:val="en-US" w:eastAsia="zh-CN" w:bidi="ar-SA"/>
                    </w:rPr>
                  </w:pPr>
                  <w:r>
                    <w:rPr>
                      <w:rFonts w:hint="default" w:ascii="Times New Roman" w:hAnsi="Times New Roman" w:eastAsia="宋体" w:cs="Times New Roman"/>
                      <w:b w:val="0"/>
                      <w:bCs w:val="0"/>
                      <w:smallCaps w:val="0"/>
                      <w:color w:val="auto"/>
                      <w:spacing w:val="0"/>
                      <w:sz w:val="21"/>
                      <w:szCs w:val="21"/>
                      <w:highlight w:val="none"/>
                      <w:lang w:val="en-US" w:eastAsia="zh-CN"/>
                    </w:rPr>
                    <w:t>4523.17</w:t>
                  </w:r>
                </w:p>
              </w:tc>
              <w:tc>
                <w:tcPr>
                  <w:tcW w:w="433" w:type="pct"/>
                  <w:vMerge w:val="restart"/>
                  <w:noWrap w:val="0"/>
                  <w:vAlign w:val="center"/>
                </w:tcPr>
                <w:p w14:paraId="0AB4CA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lang w:val="en-US" w:eastAsia="zh-CN" w:bidi="ar-SA"/>
                    </w:rPr>
                  </w:pPr>
                  <w:r>
                    <w:rPr>
                      <w:rFonts w:hint="default" w:ascii="Times New Roman" w:hAnsi="Times New Roman" w:eastAsia="宋体" w:cs="Times New Roman"/>
                      <w:b w:val="0"/>
                      <w:bCs w:val="0"/>
                      <w:smallCaps w:val="0"/>
                      <w:color w:val="auto"/>
                      <w:spacing w:val="0"/>
                      <w:sz w:val="21"/>
                      <w:szCs w:val="21"/>
                      <w:highlight w:val="none"/>
                      <w:lang w:val="en-US" w:eastAsia="zh-CN"/>
                    </w:rPr>
                    <w:t>8</w:t>
                  </w:r>
                </w:p>
              </w:tc>
            </w:tr>
            <w:tr w14:paraId="0631F7D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4728C1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2</w:t>
                  </w:r>
                </w:p>
              </w:tc>
              <w:tc>
                <w:tcPr>
                  <w:tcW w:w="524" w:type="pct"/>
                  <w:shd w:val="clear" w:color="auto" w:fill="auto"/>
                  <w:noWrap w:val="0"/>
                  <w:vAlign w:val="center"/>
                </w:tcPr>
                <w:p w14:paraId="340D49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焊接烟尘</w:t>
                  </w:r>
                </w:p>
              </w:tc>
              <w:tc>
                <w:tcPr>
                  <w:tcW w:w="797" w:type="pct"/>
                  <w:shd w:val="clear" w:color="auto" w:fill="auto"/>
                  <w:noWrap w:val="0"/>
                  <w:vAlign w:val="center"/>
                </w:tcPr>
                <w:p w14:paraId="0381A9D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shd w:val="clear" w:color="auto" w:fill="auto"/>
                  <w:noWrap w:val="0"/>
                  <w:vAlign w:val="center"/>
                </w:tcPr>
                <w:p w14:paraId="5F1D034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0.006</w:t>
                  </w:r>
                </w:p>
              </w:tc>
              <w:tc>
                <w:tcPr>
                  <w:tcW w:w="417" w:type="pct"/>
                  <w:shd w:val="clear" w:color="auto" w:fill="auto"/>
                  <w:noWrap w:val="0"/>
                  <w:vAlign w:val="center"/>
                </w:tcPr>
                <w:p w14:paraId="1826D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0.014</w:t>
                  </w:r>
                </w:p>
              </w:tc>
              <w:tc>
                <w:tcPr>
                  <w:tcW w:w="339" w:type="pct"/>
                  <w:shd w:val="clear" w:color="auto" w:fill="auto"/>
                  <w:noWrap w:val="0"/>
                  <w:vAlign w:val="center"/>
                </w:tcPr>
                <w:p w14:paraId="6D641E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移动式烟尘净化器</w:t>
                  </w:r>
                </w:p>
              </w:tc>
              <w:tc>
                <w:tcPr>
                  <w:tcW w:w="305" w:type="pct"/>
                  <w:noWrap w:val="0"/>
                  <w:vAlign w:val="center"/>
                </w:tcPr>
                <w:p w14:paraId="2DF1EB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80</w:t>
                  </w:r>
                </w:p>
              </w:tc>
              <w:tc>
                <w:tcPr>
                  <w:tcW w:w="454" w:type="pct"/>
                  <w:shd w:val="clear" w:color="auto" w:fill="auto"/>
                  <w:noWrap w:val="0"/>
                  <w:vAlign w:val="center"/>
                </w:tcPr>
                <w:p w14:paraId="0EE11FC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c>
                <w:tcPr>
                  <w:tcW w:w="456" w:type="pct"/>
                  <w:shd w:val="clear" w:color="auto" w:fill="auto"/>
                  <w:noWrap w:val="0"/>
                  <w:vAlign w:val="center"/>
                </w:tcPr>
                <w:p w14:paraId="20B9A6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0.0</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28</w:t>
                  </w:r>
                </w:p>
              </w:tc>
              <w:tc>
                <w:tcPr>
                  <w:tcW w:w="477" w:type="pct"/>
                  <w:vMerge w:val="continue"/>
                  <w:noWrap w:val="0"/>
                  <w:vAlign w:val="center"/>
                </w:tcPr>
                <w:p w14:paraId="2F43B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2EEFD4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46C1694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6FF679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w:t>
                  </w:r>
                </w:p>
              </w:tc>
              <w:tc>
                <w:tcPr>
                  <w:tcW w:w="524" w:type="pct"/>
                  <w:shd w:val="clear" w:color="auto" w:fill="auto"/>
                  <w:noWrap w:val="0"/>
                  <w:vAlign w:val="center"/>
                </w:tcPr>
                <w:p w14:paraId="6B87C59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未补集的打磨废气</w:t>
                  </w:r>
                </w:p>
              </w:tc>
              <w:tc>
                <w:tcPr>
                  <w:tcW w:w="797" w:type="pct"/>
                  <w:shd w:val="clear" w:color="auto" w:fill="auto"/>
                  <w:noWrap w:val="0"/>
                  <w:vAlign w:val="center"/>
                </w:tcPr>
                <w:p w14:paraId="4DF31BD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shd w:val="clear" w:color="auto" w:fill="auto"/>
                  <w:noWrap w:val="0"/>
                  <w:vAlign w:val="center"/>
                </w:tcPr>
                <w:p w14:paraId="685B6BD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417" w:type="pct"/>
                  <w:shd w:val="clear" w:color="auto" w:fill="auto"/>
                  <w:noWrap w:val="0"/>
                  <w:vAlign w:val="center"/>
                </w:tcPr>
                <w:p w14:paraId="622AAB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0.0017</w:t>
                  </w:r>
                </w:p>
              </w:tc>
              <w:tc>
                <w:tcPr>
                  <w:tcW w:w="339" w:type="pct"/>
                  <w:shd w:val="clear" w:color="auto" w:fill="auto"/>
                  <w:noWrap w:val="0"/>
                  <w:vAlign w:val="center"/>
                </w:tcPr>
                <w:p w14:paraId="34334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13099F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2287C4C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456" w:type="pct"/>
                  <w:shd w:val="clear" w:color="auto" w:fill="auto"/>
                  <w:noWrap w:val="0"/>
                  <w:vAlign w:val="center"/>
                </w:tcPr>
                <w:p w14:paraId="6CC322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0.0017</w:t>
                  </w:r>
                </w:p>
              </w:tc>
              <w:tc>
                <w:tcPr>
                  <w:tcW w:w="477" w:type="pct"/>
                  <w:vMerge w:val="continue"/>
                  <w:noWrap w:val="0"/>
                  <w:vAlign w:val="center"/>
                </w:tcPr>
                <w:p w14:paraId="7103B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7D220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51534D6F">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1CDA06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4</w:t>
                  </w:r>
                </w:p>
              </w:tc>
              <w:tc>
                <w:tcPr>
                  <w:tcW w:w="524" w:type="pct"/>
                  <w:shd w:val="clear" w:color="auto" w:fill="auto"/>
                  <w:noWrap w:val="0"/>
                  <w:vAlign w:val="center"/>
                </w:tcPr>
                <w:p w14:paraId="082F575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未补集的喷砂废气</w:t>
                  </w:r>
                </w:p>
              </w:tc>
              <w:tc>
                <w:tcPr>
                  <w:tcW w:w="797" w:type="pct"/>
                  <w:shd w:val="clear" w:color="auto" w:fill="auto"/>
                  <w:noWrap w:val="0"/>
                  <w:vAlign w:val="center"/>
                </w:tcPr>
                <w:p w14:paraId="59D285C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shd w:val="clear" w:color="auto" w:fill="auto"/>
                  <w:noWrap w:val="0"/>
                  <w:vAlign w:val="center"/>
                </w:tcPr>
                <w:p w14:paraId="61CA69C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417" w:type="pct"/>
                  <w:shd w:val="clear" w:color="auto" w:fill="auto"/>
                  <w:noWrap w:val="0"/>
                  <w:vAlign w:val="center"/>
                </w:tcPr>
                <w:p w14:paraId="3CC7B6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6</w:t>
                  </w:r>
                </w:p>
              </w:tc>
              <w:tc>
                <w:tcPr>
                  <w:tcW w:w="339" w:type="pct"/>
                  <w:shd w:val="clear" w:color="auto" w:fill="auto"/>
                  <w:noWrap w:val="0"/>
                  <w:vAlign w:val="center"/>
                </w:tcPr>
                <w:p w14:paraId="0201D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48CBAE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6EAF5B9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001</w:t>
                  </w:r>
                </w:p>
              </w:tc>
              <w:tc>
                <w:tcPr>
                  <w:tcW w:w="456" w:type="pct"/>
                  <w:shd w:val="clear" w:color="auto" w:fill="auto"/>
                  <w:noWrap w:val="0"/>
                  <w:vAlign w:val="center"/>
                </w:tcPr>
                <w:p w14:paraId="251183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6</w:t>
                  </w:r>
                </w:p>
              </w:tc>
              <w:tc>
                <w:tcPr>
                  <w:tcW w:w="477" w:type="pct"/>
                  <w:vMerge w:val="continue"/>
                  <w:noWrap w:val="0"/>
                  <w:vAlign w:val="center"/>
                </w:tcPr>
                <w:p w14:paraId="6AD6A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585B6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445491C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shd w:val="clear" w:color="auto" w:fill="auto"/>
                  <w:noWrap w:val="0"/>
                  <w:vAlign w:val="center"/>
                </w:tcPr>
                <w:p w14:paraId="060054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5</w:t>
                  </w:r>
                </w:p>
              </w:tc>
              <w:tc>
                <w:tcPr>
                  <w:tcW w:w="524" w:type="pct"/>
                  <w:noWrap w:val="0"/>
                  <w:vAlign w:val="center"/>
                </w:tcPr>
                <w:p w14:paraId="08F9A6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未补集的喷粉废气</w:t>
                  </w:r>
                </w:p>
              </w:tc>
              <w:tc>
                <w:tcPr>
                  <w:tcW w:w="797" w:type="pct"/>
                  <w:noWrap w:val="0"/>
                  <w:vAlign w:val="center"/>
                </w:tcPr>
                <w:p w14:paraId="70AD86C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noWrap w:val="0"/>
                  <w:vAlign w:val="center"/>
                </w:tcPr>
                <w:p w14:paraId="2057264E">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0.067</w:t>
                  </w:r>
                </w:p>
              </w:tc>
              <w:tc>
                <w:tcPr>
                  <w:tcW w:w="417" w:type="pct"/>
                  <w:noWrap w:val="0"/>
                  <w:vAlign w:val="center"/>
                </w:tcPr>
                <w:p w14:paraId="6D70A0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16</w:t>
                  </w:r>
                  <w:r>
                    <w:rPr>
                      <w:rFonts w:hint="default" w:ascii="Times New Roman" w:hAnsi="Times New Roman" w:eastAsia="宋体" w:cs="Times New Roman"/>
                      <w:color w:val="auto"/>
                      <w:kern w:val="0"/>
                      <w:sz w:val="21"/>
                      <w:szCs w:val="21"/>
                      <w:highlight w:val="none"/>
                      <w:lang w:val="en-US" w:eastAsia="zh-CN"/>
                    </w:rPr>
                    <w:t>00</w:t>
                  </w:r>
                </w:p>
              </w:tc>
              <w:tc>
                <w:tcPr>
                  <w:tcW w:w="339" w:type="pct"/>
                  <w:noWrap w:val="0"/>
                  <w:vAlign w:val="center"/>
                </w:tcPr>
                <w:p w14:paraId="4E7F7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noWrap w:val="0"/>
                  <w:vAlign w:val="center"/>
                </w:tcPr>
                <w:p w14:paraId="3FDB9C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0A5B6C4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0.067</w:t>
                  </w:r>
                </w:p>
              </w:tc>
              <w:tc>
                <w:tcPr>
                  <w:tcW w:w="456" w:type="pct"/>
                  <w:shd w:val="clear" w:color="auto" w:fill="auto"/>
                  <w:noWrap w:val="0"/>
                  <w:vAlign w:val="center"/>
                </w:tcPr>
                <w:p w14:paraId="5EFB30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16</w:t>
                  </w:r>
                  <w:r>
                    <w:rPr>
                      <w:rFonts w:hint="default" w:ascii="Times New Roman" w:hAnsi="Times New Roman" w:eastAsia="宋体" w:cs="Times New Roman"/>
                      <w:color w:val="auto"/>
                      <w:kern w:val="0"/>
                      <w:sz w:val="21"/>
                      <w:szCs w:val="21"/>
                      <w:highlight w:val="none"/>
                      <w:lang w:val="en-US" w:eastAsia="zh-CN"/>
                    </w:rPr>
                    <w:t>00</w:t>
                  </w:r>
                </w:p>
              </w:tc>
              <w:tc>
                <w:tcPr>
                  <w:tcW w:w="477" w:type="pct"/>
                  <w:vMerge w:val="continue"/>
                  <w:noWrap w:val="0"/>
                  <w:vAlign w:val="center"/>
                </w:tcPr>
                <w:p w14:paraId="06C03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19938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2FD2DBEC">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14:paraId="0F5B39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6</w:t>
                  </w:r>
                </w:p>
              </w:tc>
              <w:tc>
                <w:tcPr>
                  <w:tcW w:w="524" w:type="pct"/>
                  <w:shd w:val="clear" w:color="auto" w:fill="auto"/>
                  <w:noWrap w:val="0"/>
                  <w:vAlign w:val="center"/>
                </w:tcPr>
                <w:p w14:paraId="464849E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default" w:ascii="Times New Roman" w:hAnsi="Times New Roman" w:eastAsia="宋体" w:cs="Times New Roman"/>
                      <w:color w:val="auto"/>
                      <w:sz w:val="21"/>
                      <w:szCs w:val="21"/>
                      <w:highlight w:val="none"/>
                      <w:lang w:val="en-US" w:eastAsia="zh-CN"/>
                    </w:rPr>
                    <w:t>固化废气</w:t>
                  </w:r>
                </w:p>
              </w:tc>
              <w:tc>
                <w:tcPr>
                  <w:tcW w:w="797" w:type="pct"/>
                  <w:shd w:val="clear" w:color="auto" w:fill="auto"/>
                  <w:noWrap w:val="0"/>
                  <w:vAlign w:val="center"/>
                </w:tcPr>
                <w:p w14:paraId="7EF0E0D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492" w:type="pct"/>
                  <w:shd w:val="clear" w:color="auto" w:fill="auto"/>
                  <w:noWrap w:val="0"/>
                  <w:vAlign w:val="center"/>
                </w:tcPr>
                <w:p w14:paraId="6403476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0.100</w:t>
                  </w:r>
                </w:p>
              </w:tc>
              <w:tc>
                <w:tcPr>
                  <w:tcW w:w="417" w:type="pct"/>
                  <w:shd w:val="clear" w:color="auto" w:fill="auto"/>
                  <w:noWrap w:val="0"/>
                  <w:vAlign w:val="center"/>
                </w:tcPr>
                <w:p w14:paraId="2BDD04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0600</w:t>
                  </w:r>
                </w:p>
              </w:tc>
              <w:tc>
                <w:tcPr>
                  <w:tcW w:w="339" w:type="pct"/>
                  <w:shd w:val="clear" w:color="auto" w:fill="auto"/>
                  <w:noWrap w:val="0"/>
                  <w:vAlign w:val="center"/>
                </w:tcPr>
                <w:p w14:paraId="301F5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4BB51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679A22C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0.100</w:t>
                  </w:r>
                </w:p>
              </w:tc>
              <w:tc>
                <w:tcPr>
                  <w:tcW w:w="456" w:type="pct"/>
                  <w:shd w:val="clear" w:color="auto" w:fill="auto"/>
                  <w:noWrap w:val="0"/>
                  <w:vAlign w:val="center"/>
                </w:tcPr>
                <w:p w14:paraId="70C0D8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0600</w:t>
                  </w:r>
                </w:p>
              </w:tc>
              <w:tc>
                <w:tcPr>
                  <w:tcW w:w="477" w:type="pct"/>
                  <w:vMerge w:val="continue"/>
                  <w:noWrap w:val="0"/>
                  <w:vAlign w:val="center"/>
                </w:tcPr>
                <w:p w14:paraId="17286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4AD61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752DF43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restart"/>
                  <w:noWrap w:val="0"/>
                  <w:vAlign w:val="center"/>
                </w:tcPr>
                <w:p w14:paraId="292755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7</w:t>
                  </w:r>
                </w:p>
              </w:tc>
              <w:tc>
                <w:tcPr>
                  <w:tcW w:w="524" w:type="pct"/>
                  <w:vMerge w:val="restart"/>
                  <w:shd w:val="clear" w:color="auto" w:fill="auto"/>
                  <w:noWrap w:val="0"/>
                  <w:vAlign w:val="center"/>
                </w:tcPr>
                <w:p w14:paraId="0D7A1E0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default" w:ascii="Times New Roman" w:hAnsi="Times New Roman" w:eastAsia="宋体" w:cs="Times New Roman"/>
                      <w:color w:val="auto"/>
                      <w:sz w:val="21"/>
                      <w:szCs w:val="21"/>
                      <w:highlight w:val="none"/>
                      <w:lang w:val="en-US" w:eastAsia="zh-CN"/>
                    </w:rPr>
                    <w:t>天然气燃烧废气</w:t>
                  </w:r>
                </w:p>
              </w:tc>
              <w:tc>
                <w:tcPr>
                  <w:tcW w:w="797" w:type="pct"/>
                  <w:shd w:val="clear" w:color="auto" w:fill="auto"/>
                  <w:noWrap w:val="0"/>
                  <w:vAlign w:val="center"/>
                </w:tcPr>
                <w:p w14:paraId="176457E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p>
              </w:tc>
              <w:tc>
                <w:tcPr>
                  <w:tcW w:w="492" w:type="pct"/>
                  <w:shd w:val="clear" w:color="auto" w:fill="auto"/>
                  <w:noWrap w:val="0"/>
                  <w:vAlign w:val="center"/>
                </w:tcPr>
                <w:p w14:paraId="68BC22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eastAsia" w:ascii="Times New Roman" w:hAnsi="Times New Roman" w:eastAsia="宋体" w:cs="Times New Roman"/>
                      <w:smallCaps w:val="0"/>
                      <w:color w:val="auto"/>
                      <w:spacing w:val="0"/>
                      <w:sz w:val="21"/>
                      <w:szCs w:val="21"/>
                      <w:highlight w:val="none"/>
                      <w:lang w:val="en-US" w:eastAsia="zh-CN"/>
                    </w:rPr>
                    <w:t>001</w:t>
                  </w:r>
                </w:p>
              </w:tc>
              <w:tc>
                <w:tcPr>
                  <w:tcW w:w="417" w:type="pct"/>
                  <w:shd w:val="clear" w:color="auto" w:fill="auto"/>
                  <w:noWrap w:val="0"/>
                  <w:vAlign w:val="center"/>
                </w:tcPr>
                <w:p w14:paraId="706D26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0.0004</w:t>
                  </w:r>
                </w:p>
              </w:tc>
              <w:tc>
                <w:tcPr>
                  <w:tcW w:w="339" w:type="pct"/>
                  <w:vMerge w:val="restart"/>
                  <w:shd w:val="clear" w:color="auto" w:fill="auto"/>
                  <w:noWrap w:val="0"/>
                  <w:vAlign w:val="center"/>
                </w:tcPr>
                <w:p w14:paraId="16C8CB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7FB8FA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363684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eastAsia" w:ascii="Times New Roman" w:hAnsi="Times New Roman" w:eastAsia="宋体" w:cs="Times New Roman"/>
                      <w:smallCaps w:val="0"/>
                      <w:color w:val="auto"/>
                      <w:spacing w:val="0"/>
                      <w:sz w:val="21"/>
                      <w:szCs w:val="21"/>
                      <w:highlight w:val="none"/>
                      <w:lang w:val="en-US" w:eastAsia="zh-CN"/>
                    </w:rPr>
                    <w:t>001</w:t>
                  </w:r>
                </w:p>
              </w:tc>
              <w:tc>
                <w:tcPr>
                  <w:tcW w:w="1193" w:type="dxa"/>
                  <w:shd w:val="clear" w:color="auto" w:fill="auto"/>
                  <w:noWrap w:val="0"/>
                  <w:vAlign w:val="center"/>
                </w:tcPr>
                <w:p w14:paraId="4F38BE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0.0004</w:t>
                  </w:r>
                </w:p>
              </w:tc>
              <w:tc>
                <w:tcPr>
                  <w:tcW w:w="477" w:type="pct"/>
                  <w:vMerge w:val="continue"/>
                  <w:noWrap w:val="0"/>
                  <w:vAlign w:val="center"/>
                </w:tcPr>
                <w:p w14:paraId="47623E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018B72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5603558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90" w:hRule="atLeast"/>
                <w:jc w:val="center"/>
              </w:trPr>
              <w:tc>
                <w:tcPr>
                  <w:tcW w:w="301" w:type="pct"/>
                  <w:vMerge w:val="continue"/>
                  <w:noWrap w:val="0"/>
                  <w:vAlign w:val="center"/>
                </w:tcPr>
                <w:p w14:paraId="7A0D73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p>
              </w:tc>
              <w:tc>
                <w:tcPr>
                  <w:tcW w:w="524" w:type="pct"/>
                  <w:vMerge w:val="continue"/>
                  <w:shd w:val="clear" w:color="auto" w:fill="auto"/>
                  <w:noWrap w:val="0"/>
                  <w:vAlign w:val="center"/>
                </w:tcPr>
                <w:p w14:paraId="3FCF5D7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797" w:type="pct"/>
                  <w:shd w:val="clear" w:color="auto" w:fill="auto"/>
                  <w:noWrap w:val="0"/>
                  <w:vAlign w:val="center"/>
                </w:tcPr>
                <w:p w14:paraId="1D3D9E4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shd w:val="clear" w:color="auto" w:fill="auto"/>
                  <w:noWrap w:val="0"/>
                  <w:vAlign w:val="center"/>
                </w:tcPr>
                <w:p w14:paraId="0688D9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0.005</w:t>
                  </w:r>
                </w:p>
              </w:tc>
              <w:tc>
                <w:tcPr>
                  <w:tcW w:w="417" w:type="pct"/>
                  <w:shd w:val="clear" w:color="auto" w:fill="auto"/>
                  <w:noWrap w:val="0"/>
                  <w:vAlign w:val="center"/>
                </w:tcPr>
                <w:p w14:paraId="02CA3C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0.0029</w:t>
                  </w:r>
                </w:p>
              </w:tc>
              <w:tc>
                <w:tcPr>
                  <w:tcW w:w="339" w:type="pct"/>
                  <w:vMerge w:val="continue"/>
                  <w:shd w:val="clear" w:color="auto" w:fill="auto"/>
                  <w:noWrap w:val="0"/>
                  <w:vAlign w:val="center"/>
                </w:tcPr>
                <w:p w14:paraId="633895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305" w:type="pct"/>
                  <w:shd w:val="clear" w:color="auto" w:fill="auto"/>
                  <w:noWrap w:val="0"/>
                  <w:vAlign w:val="center"/>
                </w:tcPr>
                <w:p w14:paraId="2BF98F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p>
              </w:tc>
              <w:tc>
                <w:tcPr>
                  <w:tcW w:w="1188" w:type="dxa"/>
                  <w:shd w:val="clear" w:color="auto" w:fill="auto"/>
                  <w:noWrap w:val="0"/>
                  <w:vAlign w:val="center"/>
                </w:tcPr>
                <w:p w14:paraId="4F49CA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0.005</w:t>
                  </w:r>
                </w:p>
              </w:tc>
              <w:tc>
                <w:tcPr>
                  <w:tcW w:w="1193" w:type="dxa"/>
                  <w:shd w:val="clear" w:color="auto" w:fill="auto"/>
                  <w:noWrap w:val="0"/>
                  <w:vAlign w:val="center"/>
                </w:tcPr>
                <w:p w14:paraId="15F8D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0.0029</w:t>
                  </w:r>
                </w:p>
              </w:tc>
              <w:tc>
                <w:tcPr>
                  <w:tcW w:w="477" w:type="pct"/>
                  <w:vMerge w:val="continue"/>
                  <w:noWrap w:val="0"/>
                  <w:vAlign w:val="center"/>
                </w:tcPr>
                <w:p w14:paraId="407F5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406DC6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436858B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65" w:hRule="atLeast"/>
                <w:jc w:val="center"/>
              </w:trPr>
              <w:tc>
                <w:tcPr>
                  <w:tcW w:w="301" w:type="pct"/>
                  <w:vMerge w:val="continue"/>
                  <w:noWrap w:val="0"/>
                  <w:vAlign w:val="center"/>
                </w:tcPr>
                <w:p w14:paraId="25F3FC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24" w:type="pct"/>
                  <w:vMerge w:val="continue"/>
                  <w:shd w:val="clear" w:color="auto" w:fill="auto"/>
                  <w:noWrap w:val="0"/>
                  <w:vAlign w:val="center"/>
                </w:tcPr>
                <w:p w14:paraId="4BF2F1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797" w:type="pct"/>
                  <w:shd w:val="clear" w:color="auto" w:fill="auto"/>
                  <w:noWrap w:val="0"/>
                  <w:vAlign w:val="center"/>
                </w:tcPr>
                <w:p w14:paraId="69881B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NOx</w:t>
                  </w:r>
                </w:p>
              </w:tc>
              <w:tc>
                <w:tcPr>
                  <w:tcW w:w="492" w:type="pct"/>
                  <w:shd w:val="clear" w:color="auto" w:fill="auto"/>
                  <w:noWrap w:val="0"/>
                  <w:vAlign w:val="center"/>
                </w:tcPr>
                <w:p w14:paraId="39722B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0.031</w:t>
                  </w:r>
                </w:p>
              </w:tc>
              <w:tc>
                <w:tcPr>
                  <w:tcW w:w="417" w:type="pct"/>
                  <w:shd w:val="clear" w:color="auto" w:fill="auto"/>
                  <w:noWrap w:val="0"/>
                  <w:vAlign w:val="center"/>
                </w:tcPr>
                <w:p w14:paraId="0B384B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0.0094</w:t>
                  </w:r>
                </w:p>
              </w:tc>
              <w:tc>
                <w:tcPr>
                  <w:tcW w:w="339" w:type="pct"/>
                  <w:vMerge w:val="continue"/>
                  <w:shd w:val="clear" w:color="auto" w:fill="auto"/>
                  <w:noWrap w:val="0"/>
                  <w:vAlign w:val="center"/>
                </w:tcPr>
                <w:p w14:paraId="0B1A8D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305" w:type="pct"/>
                  <w:shd w:val="clear" w:color="auto" w:fill="auto"/>
                  <w:noWrap w:val="0"/>
                  <w:vAlign w:val="center"/>
                </w:tcPr>
                <w:p w14:paraId="6A8274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88" w:type="dxa"/>
                  <w:shd w:val="clear" w:color="auto" w:fill="auto"/>
                  <w:noWrap w:val="0"/>
                  <w:vAlign w:val="center"/>
                </w:tcPr>
                <w:p w14:paraId="16E1CC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0.031</w:t>
                  </w:r>
                </w:p>
              </w:tc>
              <w:tc>
                <w:tcPr>
                  <w:tcW w:w="1193" w:type="dxa"/>
                  <w:shd w:val="clear" w:color="auto" w:fill="auto"/>
                  <w:noWrap w:val="0"/>
                  <w:vAlign w:val="center"/>
                </w:tcPr>
                <w:p w14:paraId="4467ED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0.0094</w:t>
                  </w:r>
                </w:p>
              </w:tc>
              <w:tc>
                <w:tcPr>
                  <w:tcW w:w="477" w:type="pct"/>
                  <w:vMerge w:val="continue"/>
                  <w:noWrap w:val="0"/>
                  <w:vAlign w:val="center"/>
                </w:tcPr>
                <w:p w14:paraId="3975C6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433" w:type="pct"/>
                  <w:vMerge w:val="continue"/>
                  <w:noWrap w:val="0"/>
                  <w:vAlign w:val="center"/>
                </w:tcPr>
                <w:p w14:paraId="3DA36A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33C14EA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65" w:hRule="atLeast"/>
                <w:jc w:val="center"/>
              </w:trPr>
              <w:tc>
                <w:tcPr>
                  <w:tcW w:w="301" w:type="pct"/>
                  <w:noWrap w:val="0"/>
                  <w:vAlign w:val="center"/>
                </w:tcPr>
                <w:p w14:paraId="2EC015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24" w:type="pct"/>
                  <w:shd w:val="clear" w:color="auto" w:fill="auto"/>
                  <w:noWrap w:val="0"/>
                  <w:vAlign w:val="center"/>
                </w:tcPr>
                <w:p w14:paraId="5705828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未补集的打胶废气</w:t>
                  </w:r>
                </w:p>
              </w:tc>
              <w:tc>
                <w:tcPr>
                  <w:tcW w:w="797" w:type="pct"/>
                  <w:shd w:val="clear" w:color="auto" w:fill="auto"/>
                  <w:noWrap w:val="0"/>
                  <w:vAlign w:val="center"/>
                </w:tcPr>
                <w:p w14:paraId="665E556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492" w:type="pct"/>
                  <w:shd w:val="clear" w:color="auto" w:fill="auto"/>
                  <w:noWrap w:val="0"/>
                  <w:vAlign w:val="center"/>
                </w:tcPr>
                <w:p w14:paraId="7FFC8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w:t>
                  </w:r>
                  <w:r>
                    <w:rPr>
                      <w:rFonts w:hint="eastAsia" w:ascii="Times New Roman" w:hAnsi="Times New Roman" w:eastAsia="宋体" w:cs="Times New Roman"/>
                      <w:smallCaps w:val="0"/>
                      <w:color w:val="auto"/>
                      <w:spacing w:val="0"/>
                      <w:sz w:val="21"/>
                      <w:szCs w:val="21"/>
                      <w:highlight w:val="none"/>
                      <w:lang w:val="en-US" w:eastAsia="zh-CN"/>
                    </w:rPr>
                    <w:t>22</w:t>
                  </w:r>
                </w:p>
              </w:tc>
              <w:tc>
                <w:tcPr>
                  <w:tcW w:w="417" w:type="pct"/>
                  <w:shd w:val="clear" w:color="auto" w:fill="auto"/>
                  <w:noWrap w:val="0"/>
                  <w:vAlign w:val="center"/>
                </w:tcPr>
                <w:p w14:paraId="58C231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0.0067</w:t>
                  </w:r>
                </w:p>
              </w:tc>
              <w:tc>
                <w:tcPr>
                  <w:tcW w:w="339" w:type="pct"/>
                  <w:shd w:val="clear" w:color="auto" w:fill="auto"/>
                  <w:noWrap w:val="0"/>
                  <w:vAlign w:val="center"/>
                </w:tcPr>
                <w:p w14:paraId="25521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47D682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209DF1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w:t>
                  </w:r>
                  <w:r>
                    <w:rPr>
                      <w:rFonts w:hint="eastAsia" w:ascii="Times New Roman" w:hAnsi="Times New Roman" w:eastAsia="宋体" w:cs="Times New Roman"/>
                      <w:smallCaps w:val="0"/>
                      <w:color w:val="auto"/>
                      <w:spacing w:val="0"/>
                      <w:sz w:val="21"/>
                      <w:szCs w:val="21"/>
                      <w:highlight w:val="none"/>
                      <w:lang w:val="en-US" w:eastAsia="zh-CN"/>
                    </w:rPr>
                    <w:t>22</w:t>
                  </w:r>
                </w:p>
              </w:tc>
              <w:tc>
                <w:tcPr>
                  <w:tcW w:w="456" w:type="pct"/>
                  <w:shd w:val="clear" w:color="auto" w:fill="auto"/>
                  <w:noWrap w:val="0"/>
                  <w:vAlign w:val="center"/>
                </w:tcPr>
                <w:p w14:paraId="0DFAF1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0.0067</w:t>
                  </w:r>
                </w:p>
              </w:tc>
              <w:tc>
                <w:tcPr>
                  <w:tcW w:w="477" w:type="pct"/>
                  <w:vMerge w:val="continue"/>
                  <w:noWrap w:val="0"/>
                  <w:vAlign w:val="center"/>
                </w:tcPr>
                <w:p w14:paraId="0886DC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433" w:type="pct"/>
                  <w:vMerge w:val="continue"/>
                  <w:noWrap w:val="0"/>
                  <w:vAlign w:val="center"/>
                </w:tcPr>
                <w:p w14:paraId="4A6AD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bl>
          <w:p w14:paraId="27E5A1EF">
            <w:pPr>
              <w:pStyle w:val="59"/>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lang w:val="en-US" w:eastAsia="zh-CN"/>
              </w:rPr>
              <w:t>4、</w:t>
            </w:r>
            <w:r>
              <w:rPr>
                <w:rFonts w:hint="default" w:ascii="Times New Roman" w:hAnsi="Times New Roman" w:eastAsia="宋体" w:cs="Times New Roman"/>
                <w:b/>
                <w:color w:val="auto"/>
                <w:spacing w:val="0"/>
                <w:sz w:val="24"/>
                <w:szCs w:val="24"/>
                <w:highlight w:val="none"/>
              </w:rPr>
              <w:t>本项目非正常工况大气污染源情况</w:t>
            </w:r>
          </w:p>
          <w:p w14:paraId="62EDACDE">
            <w:pPr>
              <w:pStyle w:val="59"/>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500" w:lineRule="exact"/>
              <w:ind w:left="0" w:right="0" w:firstLine="500"/>
              <w:textAlignment w:val="auto"/>
              <w:rPr>
                <w:rFonts w:hint="default" w:ascii="Times New Roman" w:hAnsi="Times New Roman" w:eastAsia="宋体" w:cs="Times New Roman"/>
                <w:bCs/>
                <w:smallCaps w:val="0"/>
                <w:color w:val="auto"/>
                <w:spacing w:val="0"/>
                <w:sz w:val="24"/>
                <w:szCs w:val="24"/>
                <w:highlight w:val="none"/>
                <w:lang w:val="en-US" w:eastAsia="zh-CN"/>
              </w:rPr>
            </w:pPr>
            <w:r>
              <w:rPr>
                <w:rFonts w:hint="default" w:ascii="Times New Roman" w:hAnsi="Times New Roman" w:eastAsia="宋体" w:cs="Times New Roman"/>
                <w:bCs/>
                <w:smallCaps w:val="0"/>
                <w:color w:val="auto"/>
                <w:spacing w:val="0"/>
                <w:sz w:val="24"/>
                <w:szCs w:val="24"/>
                <w:highlight w:val="none"/>
                <w:lang w:val="en-US" w:eastAsia="zh-CN"/>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2FB5BD5E">
            <w:pPr>
              <w:pStyle w:val="59"/>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bCs/>
                <w:smallCaps w:val="0"/>
                <w:color w:val="auto"/>
                <w:spacing w:val="0"/>
                <w:sz w:val="24"/>
                <w:szCs w:val="24"/>
                <w:highlight w:val="none"/>
                <w:lang w:val="en-US" w:eastAsia="zh-CN"/>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3294FE98">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7</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 xml:space="preserve"> </w:t>
            </w:r>
            <w:r>
              <w:rPr>
                <w:rFonts w:hint="default" w:ascii="Times New Roman" w:hAnsi="Times New Roman" w:eastAsia="宋体" w:cs="Times New Roman"/>
                <w:b/>
                <w:bCs w:val="0"/>
                <w:color w:val="auto"/>
                <w:spacing w:val="0"/>
                <w:sz w:val="24"/>
                <w:szCs w:val="24"/>
                <w:highlight w:val="none"/>
              </w:rPr>
              <w:t>非正常工况下废气污染源强及排放状况</w:t>
            </w:r>
          </w:p>
          <w:tbl>
            <w:tblPr>
              <w:tblStyle w:val="27"/>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1433"/>
              <w:gridCol w:w="3088"/>
              <w:gridCol w:w="5119"/>
              <w:gridCol w:w="1335"/>
              <w:gridCol w:w="670"/>
              <w:gridCol w:w="548"/>
              <w:gridCol w:w="644"/>
            </w:tblGrid>
            <w:tr w14:paraId="4B678E4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 w:type="pct"/>
                  <w:vMerge w:val="restart"/>
                  <w:tcBorders>
                    <w:bottom w:val="single" w:color="auto" w:sz="12" w:space="0"/>
                  </w:tcBorders>
                  <w:noWrap w:val="0"/>
                  <w:tcMar>
                    <w:top w:w="15" w:type="dxa"/>
                    <w:left w:w="15" w:type="dxa"/>
                    <w:bottom w:w="0" w:type="dxa"/>
                    <w:right w:w="15" w:type="dxa"/>
                  </w:tcMar>
                  <w:vAlign w:val="center"/>
                </w:tcPr>
                <w:p w14:paraId="0767E0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排气筒m</w:t>
                  </w:r>
                </w:p>
              </w:tc>
              <w:tc>
                <w:tcPr>
                  <w:tcW w:w="541" w:type="pct"/>
                  <w:vMerge w:val="restart"/>
                  <w:tcBorders>
                    <w:bottom w:val="single" w:color="auto" w:sz="12" w:space="0"/>
                  </w:tcBorders>
                  <w:noWrap/>
                  <w:tcMar>
                    <w:top w:w="15" w:type="dxa"/>
                    <w:left w:w="15" w:type="dxa"/>
                    <w:bottom w:w="0" w:type="dxa"/>
                    <w:right w:w="15" w:type="dxa"/>
                  </w:tcMar>
                  <w:vAlign w:val="center"/>
                </w:tcPr>
                <w:p w14:paraId="1A78FA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废气量m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/h</w:t>
                  </w:r>
                </w:p>
              </w:tc>
              <w:tc>
                <w:tcPr>
                  <w:tcW w:w="1166" w:type="pct"/>
                  <w:vMerge w:val="restart"/>
                  <w:tcBorders>
                    <w:bottom w:val="single" w:color="auto" w:sz="12" w:space="0"/>
                  </w:tcBorders>
                  <w:noWrap/>
                  <w:tcMar>
                    <w:top w:w="15" w:type="dxa"/>
                    <w:left w:w="15" w:type="dxa"/>
                    <w:bottom w:w="0" w:type="dxa"/>
                    <w:right w:w="15" w:type="dxa"/>
                  </w:tcMar>
                  <w:vAlign w:val="center"/>
                </w:tcPr>
                <w:p w14:paraId="1BEF3E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污染物名称</w:t>
                  </w:r>
                </w:p>
              </w:tc>
              <w:tc>
                <w:tcPr>
                  <w:tcW w:w="1933" w:type="pct"/>
                  <w:vMerge w:val="restart"/>
                  <w:tcBorders>
                    <w:bottom w:val="single" w:color="auto" w:sz="12" w:space="0"/>
                  </w:tcBorders>
                  <w:noWrap/>
                  <w:tcMar>
                    <w:top w:w="15" w:type="dxa"/>
                    <w:left w:w="15" w:type="dxa"/>
                    <w:bottom w:w="0" w:type="dxa"/>
                    <w:right w:w="15" w:type="dxa"/>
                  </w:tcMar>
                  <w:vAlign w:val="center"/>
                </w:tcPr>
                <w:p w14:paraId="5507F2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事故工况</w:t>
                  </w:r>
                </w:p>
              </w:tc>
              <w:tc>
                <w:tcPr>
                  <w:tcW w:w="757" w:type="pct"/>
                  <w:gridSpan w:val="2"/>
                  <w:noWrap/>
                  <w:tcMar>
                    <w:top w:w="15" w:type="dxa"/>
                    <w:left w:w="15" w:type="dxa"/>
                    <w:bottom w:w="0" w:type="dxa"/>
                    <w:right w:w="15" w:type="dxa"/>
                  </w:tcMar>
                  <w:vAlign w:val="center"/>
                </w:tcPr>
                <w:p w14:paraId="035502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排放状况</w:t>
                  </w:r>
                </w:p>
              </w:tc>
              <w:tc>
                <w:tcPr>
                  <w:tcW w:w="207" w:type="pct"/>
                  <w:vMerge w:val="restart"/>
                  <w:noWrap w:val="0"/>
                  <w:vAlign w:val="center"/>
                </w:tcPr>
                <w:p w14:paraId="2BD58A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单次持续时间（h）</w:t>
                  </w:r>
                </w:p>
              </w:tc>
              <w:tc>
                <w:tcPr>
                  <w:tcW w:w="243" w:type="pct"/>
                  <w:vMerge w:val="restart"/>
                  <w:noWrap w:val="0"/>
                  <w:vAlign w:val="center"/>
                </w:tcPr>
                <w:p w14:paraId="0D9A83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年发生频次（次）</w:t>
                  </w:r>
                </w:p>
              </w:tc>
            </w:tr>
            <w:tr w14:paraId="058ED11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 w:type="pct"/>
                  <w:vMerge w:val="continue"/>
                  <w:tcBorders>
                    <w:top w:val="single" w:color="auto" w:sz="12" w:space="0"/>
                    <w:bottom w:val="single" w:color="auto" w:sz="12" w:space="0"/>
                    <w:tl2br w:val="nil"/>
                    <w:tr2bl w:val="nil"/>
                  </w:tcBorders>
                  <w:noWrap w:val="0"/>
                  <w:tcMar>
                    <w:top w:w="15" w:type="dxa"/>
                    <w:left w:w="15" w:type="dxa"/>
                    <w:bottom w:w="0" w:type="dxa"/>
                    <w:right w:w="15" w:type="dxa"/>
                  </w:tcMar>
                  <w:vAlign w:val="center"/>
                </w:tcPr>
                <w:p w14:paraId="50B747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541"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1B4702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1166"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39F978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1933"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707762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504" w:type="pct"/>
                  <w:tcBorders>
                    <w:bottom w:val="single" w:color="auto" w:sz="12" w:space="0"/>
                  </w:tcBorders>
                  <w:noWrap/>
                  <w:tcMar>
                    <w:top w:w="15" w:type="dxa"/>
                    <w:left w:w="15" w:type="dxa"/>
                    <w:bottom w:w="0" w:type="dxa"/>
                    <w:right w:w="15" w:type="dxa"/>
                  </w:tcMar>
                  <w:vAlign w:val="center"/>
                </w:tcPr>
                <w:p w14:paraId="482ABC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浓度(mg/m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w:t>
                  </w:r>
                </w:p>
              </w:tc>
              <w:tc>
                <w:tcPr>
                  <w:tcW w:w="253" w:type="pct"/>
                  <w:tcBorders>
                    <w:bottom w:val="single" w:color="auto" w:sz="12" w:space="0"/>
                  </w:tcBorders>
                  <w:noWrap w:val="0"/>
                  <w:vAlign w:val="center"/>
                </w:tcPr>
                <w:p w14:paraId="177FA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速率(kg/h)</w:t>
                  </w:r>
                </w:p>
              </w:tc>
              <w:tc>
                <w:tcPr>
                  <w:tcW w:w="207" w:type="pct"/>
                  <w:vMerge w:val="continue"/>
                  <w:tcBorders>
                    <w:bottom w:val="single" w:color="auto" w:sz="12" w:space="0"/>
                  </w:tcBorders>
                  <w:noWrap w:val="0"/>
                  <w:vAlign w:val="center"/>
                </w:tcPr>
                <w:p w14:paraId="167EB1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243" w:type="pct"/>
                  <w:vMerge w:val="continue"/>
                  <w:tcBorders>
                    <w:bottom w:val="single" w:color="auto" w:sz="12" w:space="0"/>
                  </w:tcBorders>
                  <w:noWrap w:val="0"/>
                  <w:vAlign w:val="center"/>
                </w:tcPr>
                <w:p w14:paraId="074DAE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r>
            <w:tr w14:paraId="3EE316F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trHeight w:val="690" w:hRule="atLeast"/>
                <w:jc w:val="center"/>
              </w:trPr>
              <w:tc>
                <w:tcPr>
                  <w:tcW w:w="150" w:type="pct"/>
                  <w:vMerge w:val="restart"/>
                  <w:tcBorders>
                    <w:top w:val="single" w:color="auto" w:sz="12" w:space="0"/>
                  </w:tcBorders>
                  <w:noWrap w:val="0"/>
                  <w:tcMar>
                    <w:top w:w="15" w:type="dxa"/>
                    <w:left w:w="15" w:type="dxa"/>
                    <w:bottom w:w="0" w:type="dxa"/>
                    <w:right w:w="15" w:type="dxa"/>
                  </w:tcMar>
                  <w:vAlign w:val="center"/>
                </w:tcPr>
                <w:p w14:paraId="69898C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lang w:val="en-US" w:eastAsia="zh-CN"/>
                    </w:rPr>
                    <w:t>1#</w:t>
                  </w:r>
                </w:p>
              </w:tc>
              <w:tc>
                <w:tcPr>
                  <w:tcW w:w="541" w:type="pct"/>
                  <w:vMerge w:val="restart"/>
                  <w:tcBorders>
                    <w:top w:val="single" w:color="auto" w:sz="12" w:space="0"/>
                  </w:tcBorders>
                  <w:noWrap/>
                  <w:tcMar>
                    <w:top w:w="15" w:type="dxa"/>
                    <w:left w:w="15" w:type="dxa"/>
                    <w:bottom w:w="0" w:type="dxa"/>
                    <w:right w:w="15" w:type="dxa"/>
                  </w:tcMar>
                  <w:vAlign w:val="center"/>
                </w:tcPr>
                <w:p w14:paraId="3A3792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rPr>
                    <w:t>250</w:t>
                  </w:r>
                  <w:r>
                    <w:rPr>
                      <w:rFonts w:hint="default" w:ascii="Times New Roman" w:hAnsi="Times New Roman" w:eastAsia="宋体" w:cs="Times New Roman"/>
                      <w:smallCaps w:val="0"/>
                      <w:color w:val="auto"/>
                      <w:spacing w:val="0"/>
                      <w:kern w:val="0"/>
                      <w:sz w:val="21"/>
                      <w:szCs w:val="21"/>
                      <w:highlight w:val="none"/>
                      <w:lang w:val="en-US" w:eastAsia="zh-CN"/>
                    </w:rPr>
                    <w:t>00</w:t>
                  </w:r>
                </w:p>
              </w:tc>
              <w:tc>
                <w:tcPr>
                  <w:tcW w:w="1166" w:type="pct"/>
                  <w:tcBorders>
                    <w:top w:val="single" w:color="auto" w:sz="12" w:space="0"/>
                  </w:tcBorders>
                  <w:noWrap/>
                  <w:tcMar>
                    <w:top w:w="15" w:type="dxa"/>
                    <w:left w:w="15" w:type="dxa"/>
                    <w:bottom w:w="0" w:type="dxa"/>
                    <w:right w:w="15" w:type="dxa"/>
                  </w:tcMar>
                  <w:vAlign w:val="center"/>
                </w:tcPr>
                <w:p w14:paraId="6F962F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颗粒物</w:t>
                  </w:r>
                </w:p>
              </w:tc>
              <w:tc>
                <w:tcPr>
                  <w:tcW w:w="1933" w:type="pct"/>
                  <w:vMerge w:val="restart"/>
                  <w:tcBorders>
                    <w:top w:val="single" w:color="auto" w:sz="12" w:space="0"/>
                  </w:tcBorders>
                  <w:noWrap/>
                  <w:tcMar>
                    <w:top w:w="15" w:type="dxa"/>
                    <w:left w:w="15" w:type="dxa"/>
                    <w:bottom w:w="0" w:type="dxa"/>
                    <w:right w:w="15" w:type="dxa"/>
                  </w:tcMar>
                  <w:vAlign w:val="center"/>
                </w:tcPr>
                <w:p w14:paraId="5455F6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504" w:type="pct"/>
                  <w:tcBorders>
                    <w:top w:val="single" w:color="auto" w:sz="12" w:space="0"/>
                  </w:tcBorders>
                  <w:shd w:val="clear" w:color="auto" w:fill="auto"/>
                  <w:noWrap/>
                  <w:tcMar>
                    <w:top w:w="15" w:type="dxa"/>
                    <w:left w:w="15" w:type="dxa"/>
                    <w:bottom w:w="0" w:type="dxa"/>
                    <w:right w:w="15" w:type="dxa"/>
                  </w:tcMar>
                  <w:vAlign w:val="center"/>
                </w:tcPr>
                <w:p w14:paraId="55E7F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129.33</w:t>
                  </w:r>
                </w:p>
              </w:tc>
              <w:tc>
                <w:tcPr>
                  <w:tcW w:w="253" w:type="pct"/>
                  <w:tcBorders>
                    <w:top w:val="single" w:color="auto" w:sz="12" w:space="0"/>
                  </w:tcBorders>
                  <w:shd w:val="clear" w:color="auto" w:fill="auto"/>
                  <w:noWrap w:val="0"/>
                  <w:vAlign w:val="center"/>
                </w:tcPr>
                <w:p w14:paraId="141FE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3.234</w:t>
                  </w:r>
                </w:p>
              </w:tc>
              <w:tc>
                <w:tcPr>
                  <w:tcW w:w="207" w:type="pct"/>
                  <w:vMerge w:val="restart"/>
                  <w:tcBorders>
                    <w:top w:val="single" w:color="auto" w:sz="12" w:space="0"/>
                  </w:tcBorders>
                  <w:shd w:val="clear" w:color="auto" w:fill="auto"/>
                  <w:noWrap w:val="0"/>
                  <w:vAlign w:val="center"/>
                </w:tcPr>
                <w:p w14:paraId="25523A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0.25</w:t>
                  </w:r>
                </w:p>
              </w:tc>
              <w:tc>
                <w:tcPr>
                  <w:tcW w:w="243" w:type="pct"/>
                  <w:vMerge w:val="restart"/>
                  <w:tcBorders>
                    <w:top w:val="single" w:color="auto" w:sz="12" w:space="0"/>
                    <w:bottom w:val="single" w:color="auto" w:sz="4" w:space="0"/>
                  </w:tcBorders>
                  <w:noWrap w:val="0"/>
                  <w:vAlign w:val="center"/>
                </w:tcPr>
                <w:p w14:paraId="0F7C9D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w:t>
                  </w:r>
                </w:p>
              </w:tc>
            </w:tr>
            <w:tr w14:paraId="6C256D3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150" w:type="pct"/>
                  <w:vMerge w:val="restart"/>
                  <w:tcBorders>
                    <w:top w:val="single" w:color="auto" w:sz="4" w:space="0"/>
                  </w:tcBorders>
                  <w:shd w:val="clear" w:color="auto" w:fill="auto"/>
                  <w:noWrap w:val="0"/>
                  <w:tcMar>
                    <w:top w:w="15" w:type="dxa"/>
                    <w:left w:w="15" w:type="dxa"/>
                    <w:bottom w:w="0" w:type="dxa"/>
                    <w:right w:w="15" w:type="dxa"/>
                  </w:tcMar>
                  <w:vAlign w:val="center"/>
                </w:tcPr>
                <w:p w14:paraId="471D76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default" w:ascii="Times New Roman" w:hAnsi="Times New Roman" w:eastAsia="宋体" w:cs="Times New Roman"/>
                      <w:smallCaps w:val="0"/>
                      <w:color w:val="auto"/>
                      <w:spacing w:val="0"/>
                      <w:kern w:val="0"/>
                      <w:sz w:val="21"/>
                      <w:szCs w:val="21"/>
                      <w:highlight w:val="none"/>
                      <w:lang w:val="en-US" w:eastAsia="zh-CN"/>
                    </w:rPr>
                    <w:t>2#</w:t>
                  </w:r>
                </w:p>
              </w:tc>
              <w:tc>
                <w:tcPr>
                  <w:tcW w:w="541" w:type="pct"/>
                  <w:vMerge w:val="restart"/>
                  <w:tcBorders>
                    <w:top w:val="single" w:color="auto" w:sz="4" w:space="0"/>
                  </w:tcBorders>
                  <w:shd w:val="clear" w:color="auto" w:fill="auto"/>
                  <w:noWrap/>
                  <w:tcMar>
                    <w:top w:w="15" w:type="dxa"/>
                    <w:left w:w="15" w:type="dxa"/>
                    <w:bottom w:w="0" w:type="dxa"/>
                    <w:right w:w="15" w:type="dxa"/>
                  </w:tcMar>
                  <w:vAlign w:val="center"/>
                </w:tcPr>
                <w:p w14:paraId="6E2E71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eastAsia" w:ascii="Times New Roman" w:hAnsi="Times New Roman" w:eastAsia="宋体" w:cs="Times New Roman"/>
                      <w:smallCaps w:val="0"/>
                      <w:color w:val="auto"/>
                      <w:spacing w:val="0"/>
                      <w:kern w:val="0"/>
                      <w:sz w:val="21"/>
                      <w:szCs w:val="21"/>
                      <w:highlight w:val="none"/>
                      <w:lang w:val="en-US" w:eastAsia="zh-CN"/>
                    </w:rPr>
                    <w:t>20</w:t>
                  </w:r>
                  <w:r>
                    <w:rPr>
                      <w:rFonts w:hint="default" w:ascii="Times New Roman" w:hAnsi="Times New Roman" w:eastAsia="宋体" w:cs="Times New Roman"/>
                      <w:smallCaps w:val="0"/>
                      <w:color w:val="auto"/>
                      <w:spacing w:val="0"/>
                      <w:kern w:val="0"/>
                      <w:sz w:val="21"/>
                      <w:szCs w:val="21"/>
                      <w:highlight w:val="none"/>
                      <w:lang w:val="en-US" w:eastAsia="zh-CN"/>
                    </w:rPr>
                    <w:t>000</w:t>
                  </w:r>
                </w:p>
              </w:tc>
              <w:tc>
                <w:tcPr>
                  <w:tcW w:w="1166"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74125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非甲烷总烃</w:t>
                  </w:r>
                </w:p>
              </w:tc>
              <w:tc>
                <w:tcPr>
                  <w:tcW w:w="1933" w:type="pct"/>
                  <w:vMerge w:val="restart"/>
                  <w:tcBorders>
                    <w:top w:val="single" w:color="auto" w:sz="4" w:space="0"/>
                  </w:tcBorders>
                  <w:shd w:val="clear" w:color="auto" w:fill="auto"/>
                  <w:noWrap/>
                  <w:tcMar>
                    <w:top w:w="15" w:type="dxa"/>
                    <w:left w:w="15" w:type="dxa"/>
                    <w:bottom w:w="0" w:type="dxa"/>
                    <w:right w:w="15" w:type="dxa"/>
                  </w:tcMar>
                  <w:vAlign w:val="center"/>
                </w:tcPr>
                <w:p w14:paraId="75B052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1335" w:type="dxa"/>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46865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45.00</w:t>
                  </w:r>
                </w:p>
              </w:tc>
              <w:tc>
                <w:tcPr>
                  <w:tcW w:w="670" w:type="dxa"/>
                  <w:tcBorders>
                    <w:top w:val="single" w:color="auto" w:sz="4" w:space="0"/>
                    <w:bottom w:val="single" w:color="auto" w:sz="4" w:space="0"/>
                  </w:tcBorders>
                  <w:shd w:val="clear" w:color="auto" w:fill="auto"/>
                  <w:noWrap w:val="0"/>
                  <w:vAlign w:val="center"/>
                </w:tcPr>
                <w:p w14:paraId="48F5D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0.900</w:t>
                  </w:r>
                </w:p>
              </w:tc>
              <w:tc>
                <w:tcPr>
                  <w:tcW w:w="207" w:type="pct"/>
                  <w:vMerge w:val="restart"/>
                  <w:tcBorders>
                    <w:top w:val="single" w:color="auto" w:sz="4" w:space="0"/>
                  </w:tcBorders>
                  <w:shd w:val="clear" w:color="auto" w:fill="auto"/>
                  <w:noWrap w:val="0"/>
                  <w:vAlign w:val="center"/>
                </w:tcPr>
                <w:p w14:paraId="07E2B8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0.25</w:t>
                  </w:r>
                </w:p>
              </w:tc>
              <w:tc>
                <w:tcPr>
                  <w:tcW w:w="243" w:type="pct"/>
                  <w:vMerge w:val="restart"/>
                  <w:tcBorders>
                    <w:top w:val="single" w:color="auto" w:sz="4" w:space="0"/>
                  </w:tcBorders>
                  <w:shd w:val="clear" w:color="auto" w:fill="auto"/>
                  <w:noWrap w:val="0"/>
                  <w:vAlign w:val="center"/>
                </w:tcPr>
                <w:p w14:paraId="4615F5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w:t>
                  </w:r>
                </w:p>
              </w:tc>
            </w:tr>
            <w:tr w14:paraId="02E9EB1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trHeight w:val="86" w:hRule="atLeast"/>
                <w:jc w:val="center"/>
              </w:trPr>
              <w:tc>
                <w:tcPr>
                  <w:tcW w:w="150" w:type="pct"/>
                  <w:vMerge w:val="continue"/>
                  <w:shd w:val="clear" w:color="auto" w:fill="auto"/>
                  <w:noWrap w:val="0"/>
                  <w:tcMar>
                    <w:top w:w="15" w:type="dxa"/>
                    <w:left w:w="15" w:type="dxa"/>
                    <w:bottom w:w="0" w:type="dxa"/>
                    <w:right w:w="15" w:type="dxa"/>
                  </w:tcMar>
                  <w:vAlign w:val="center"/>
                </w:tcPr>
                <w:p w14:paraId="1ACC8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p>
              </w:tc>
              <w:tc>
                <w:tcPr>
                  <w:tcW w:w="541" w:type="pct"/>
                  <w:vMerge w:val="continue"/>
                  <w:shd w:val="clear" w:color="auto" w:fill="auto"/>
                  <w:noWrap/>
                  <w:tcMar>
                    <w:top w:w="15" w:type="dxa"/>
                    <w:left w:w="15" w:type="dxa"/>
                    <w:bottom w:w="0" w:type="dxa"/>
                    <w:right w:w="15" w:type="dxa"/>
                  </w:tcMar>
                  <w:vAlign w:val="center"/>
                </w:tcPr>
                <w:p w14:paraId="5EC21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p>
              </w:tc>
              <w:tc>
                <w:tcPr>
                  <w:tcW w:w="1166"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5C146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颗粒物</w:t>
                  </w:r>
                </w:p>
              </w:tc>
              <w:tc>
                <w:tcPr>
                  <w:tcW w:w="1933" w:type="pct"/>
                  <w:vMerge w:val="continue"/>
                  <w:shd w:val="clear" w:color="auto" w:fill="auto"/>
                  <w:noWrap/>
                  <w:tcMar>
                    <w:top w:w="15" w:type="dxa"/>
                    <w:left w:w="15" w:type="dxa"/>
                    <w:bottom w:w="0" w:type="dxa"/>
                    <w:right w:w="15" w:type="dxa"/>
                  </w:tcMar>
                  <w:vAlign w:val="center"/>
                </w:tcPr>
                <w:p w14:paraId="21D62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1335" w:type="dxa"/>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39E83D4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2.40</w:t>
                  </w:r>
                </w:p>
              </w:tc>
              <w:tc>
                <w:tcPr>
                  <w:tcW w:w="670" w:type="dxa"/>
                  <w:tcBorders>
                    <w:top w:val="single" w:color="auto" w:sz="4" w:space="0"/>
                    <w:bottom w:val="single" w:color="auto" w:sz="4" w:space="0"/>
                  </w:tcBorders>
                  <w:shd w:val="clear" w:color="auto" w:fill="auto"/>
                  <w:noWrap w:val="0"/>
                  <w:vAlign w:val="center"/>
                </w:tcPr>
                <w:p w14:paraId="72E3A4C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48</w:t>
                  </w:r>
                </w:p>
              </w:tc>
              <w:tc>
                <w:tcPr>
                  <w:tcW w:w="207" w:type="pct"/>
                  <w:vMerge w:val="continue"/>
                  <w:shd w:val="clear" w:color="auto" w:fill="auto"/>
                  <w:noWrap w:val="0"/>
                  <w:vAlign w:val="center"/>
                </w:tcPr>
                <w:p w14:paraId="6BF0A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243" w:type="pct"/>
                  <w:vMerge w:val="continue"/>
                  <w:shd w:val="clear" w:color="auto" w:fill="auto"/>
                  <w:noWrap w:val="0"/>
                  <w:vAlign w:val="center"/>
                </w:tcPr>
                <w:p w14:paraId="68DE2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r>
            <w:tr w14:paraId="539379A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150" w:type="pct"/>
                  <w:vMerge w:val="continue"/>
                  <w:shd w:val="clear" w:color="auto" w:fill="auto"/>
                  <w:noWrap w:val="0"/>
                  <w:tcMar>
                    <w:top w:w="15" w:type="dxa"/>
                    <w:left w:w="15" w:type="dxa"/>
                    <w:bottom w:w="0" w:type="dxa"/>
                    <w:right w:w="15" w:type="dxa"/>
                  </w:tcMar>
                  <w:vAlign w:val="center"/>
                </w:tcPr>
                <w:p w14:paraId="3258A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541" w:type="pct"/>
                  <w:vMerge w:val="continue"/>
                  <w:shd w:val="clear" w:color="auto" w:fill="auto"/>
                  <w:noWrap/>
                  <w:tcMar>
                    <w:top w:w="15" w:type="dxa"/>
                    <w:left w:w="15" w:type="dxa"/>
                    <w:bottom w:w="0" w:type="dxa"/>
                    <w:right w:w="15" w:type="dxa"/>
                  </w:tcMar>
                  <w:vAlign w:val="center"/>
                </w:tcPr>
                <w:p w14:paraId="1E7C3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1166"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1DE6F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SO</w:t>
                  </w:r>
                  <w:r>
                    <w:rPr>
                      <w:rFonts w:hint="eastAsia" w:ascii="Times New Roman" w:hAnsi="Times New Roman" w:eastAsia="宋体" w:cs="Times New Roman"/>
                      <w:smallCaps w:val="0"/>
                      <w:color w:val="auto"/>
                      <w:spacing w:val="0"/>
                      <w:sz w:val="21"/>
                      <w:szCs w:val="21"/>
                      <w:highlight w:val="none"/>
                      <w:vertAlign w:val="subscript"/>
                      <w:lang w:val="en-US" w:eastAsia="zh-CN"/>
                    </w:rPr>
                    <w:t>2</w:t>
                  </w:r>
                </w:p>
              </w:tc>
              <w:tc>
                <w:tcPr>
                  <w:tcW w:w="1933" w:type="pct"/>
                  <w:vMerge w:val="continue"/>
                  <w:shd w:val="clear" w:color="auto" w:fill="auto"/>
                  <w:noWrap/>
                  <w:tcMar>
                    <w:top w:w="15" w:type="dxa"/>
                    <w:left w:w="15" w:type="dxa"/>
                    <w:bottom w:w="0" w:type="dxa"/>
                    <w:right w:w="15" w:type="dxa"/>
                  </w:tcMar>
                  <w:vAlign w:val="center"/>
                </w:tcPr>
                <w:p w14:paraId="6C4AB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1335" w:type="dxa"/>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5327F05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670" w:type="dxa"/>
                  <w:tcBorders>
                    <w:top w:val="single" w:color="auto" w:sz="4" w:space="0"/>
                    <w:bottom w:val="single" w:color="auto" w:sz="4" w:space="0"/>
                  </w:tcBorders>
                  <w:shd w:val="clear" w:color="auto" w:fill="auto"/>
                  <w:noWrap w:val="0"/>
                  <w:vAlign w:val="center"/>
                </w:tcPr>
                <w:p w14:paraId="601933D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207" w:type="pct"/>
                  <w:vMerge w:val="continue"/>
                  <w:shd w:val="clear" w:color="auto" w:fill="auto"/>
                  <w:noWrap w:val="0"/>
                  <w:vAlign w:val="center"/>
                </w:tcPr>
                <w:p w14:paraId="618A1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243" w:type="pct"/>
                  <w:vMerge w:val="continue"/>
                  <w:shd w:val="clear" w:color="auto" w:fill="auto"/>
                  <w:noWrap w:val="0"/>
                  <w:vAlign w:val="center"/>
                </w:tcPr>
                <w:p w14:paraId="7ED77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r>
            <w:tr w14:paraId="1C78187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150" w:type="pct"/>
                  <w:vMerge w:val="continue"/>
                  <w:tcBorders>
                    <w:bottom w:val="single" w:color="auto" w:sz="4" w:space="0"/>
                  </w:tcBorders>
                  <w:shd w:val="clear" w:color="auto" w:fill="auto"/>
                  <w:noWrap w:val="0"/>
                  <w:tcMar>
                    <w:top w:w="15" w:type="dxa"/>
                    <w:left w:w="15" w:type="dxa"/>
                    <w:bottom w:w="0" w:type="dxa"/>
                    <w:right w:w="15" w:type="dxa"/>
                  </w:tcMar>
                  <w:vAlign w:val="center"/>
                </w:tcPr>
                <w:p w14:paraId="64C3F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541" w:type="pct"/>
                  <w:vMerge w:val="continue"/>
                  <w:tcBorders>
                    <w:bottom w:val="single" w:color="auto" w:sz="4" w:space="0"/>
                  </w:tcBorders>
                  <w:shd w:val="clear" w:color="auto" w:fill="auto"/>
                  <w:noWrap/>
                  <w:tcMar>
                    <w:top w:w="15" w:type="dxa"/>
                    <w:left w:w="15" w:type="dxa"/>
                    <w:bottom w:w="0" w:type="dxa"/>
                    <w:right w:w="15" w:type="dxa"/>
                  </w:tcMar>
                  <w:vAlign w:val="center"/>
                </w:tcPr>
                <w:p w14:paraId="4ABC6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1166"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04811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NOx</w:t>
                  </w:r>
                </w:p>
              </w:tc>
              <w:tc>
                <w:tcPr>
                  <w:tcW w:w="1933" w:type="pct"/>
                  <w:vMerge w:val="continue"/>
                  <w:tcBorders>
                    <w:bottom w:val="single" w:color="auto" w:sz="4" w:space="0"/>
                  </w:tcBorders>
                  <w:shd w:val="clear" w:color="auto" w:fill="auto"/>
                  <w:noWrap/>
                  <w:tcMar>
                    <w:top w:w="15" w:type="dxa"/>
                    <w:left w:w="15" w:type="dxa"/>
                    <w:bottom w:w="0" w:type="dxa"/>
                    <w:right w:w="15" w:type="dxa"/>
                  </w:tcMar>
                  <w:vAlign w:val="center"/>
                </w:tcPr>
                <w:p w14:paraId="28CA6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1335" w:type="dxa"/>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26526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7.00</w:t>
                  </w:r>
                </w:p>
              </w:tc>
              <w:tc>
                <w:tcPr>
                  <w:tcW w:w="670" w:type="dxa"/>
                  <w:tcBorders>
                    <w:top w:val="single" w:color="auto" w:sz="4" w:space="0"/>
                    <w:bottom w:val="single" w:color="auto" w:sz="4" w:space="0"/>
                  </w:tcBorders>
                  <w:shd w:val="clear" w:color="auto" w:fill="auto"/>
                  <w:noWrap w:val="0"/>
                  <w:vAlign w:val="center"/>
                </w:tcPr>
                <w:p w14:paraId="2AAAA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140</w:t>
                  </w:r>
                </w:p>
              </w:tc>
              <w:tc>
                <w:tcPr>
                  <w:tcW w:w="207" w:type="pct"/>
                  <w:vMerge w:val="continue"/>
                  <w:tcBorders>
                    <w:bottom w:val="single" w:color="auto" w:sz="4" w:space="0"/>
                  </w:tcBorders>
                  <w:shd w:val="clear" w:color="auto" w:fill="auto"/>
                  <w:noWrap w:val="0"/>
                  <w:vAlign w:val="center"/>
                </w:tcPr>
                <w:p w14:paraId="52E96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c>
                <w:tcPr>
                  <w:tcW w:w="243" w:type="pct"/>
                  <w:vMerge w:val="continue"/>
                  <w:tcBorders>
                    <w:bottom w:val="single" w:color="auto" w:sz="4" w:space="0"/>
                  </w:tcBorders>
                  <w:shd w:val="clear" w:color="auto" w:fill="auto"/>
                  <w:noWrap w:val="0"/>
                  <w:vAlign w:val="center"/>
                </w:tcPr>
                <w:p w14:paraId="5B9BF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p>
              </w:tc>
            </w:tr>
            <w:tr w14:paraId="59F667D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 w:type="pct"/>
                  <w:tcBorders>
                    <w:top w:val="single" w:color="auto" w:sz="4" w:space="0"/>
                  </w:tcBorders>
                  <w:shd w:val="clear" w:color="auto" w:fill="auto"/>
                  <w:noWrap w:val="0"/>
                  <w:tcMar>
                    <w:top w:w="15" w:type="dxa"/>
                    <w:left w:w="15" w:type="dxa"/>
                    <w:bottom w:w="0" w:type="dxa"/>
                    <w:right w:w="15" w:type="dxa"/>
                  </w:tcMar>
                  <w:vAlign w:val="center"/>
                </w:tcPr>
                <w:p w14:paraId="34B507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eastAsia" w:ascii="Times New Roman" w:hAnsi="Times New Roman" w:eastAsia="宋体" w:cs="Times New Roman"/>
                      <w:smallCaps w:val="0"/>
                      <w:color w:val="auto"/>
                      <w:spacing w:val="0"/>
                      <w:kern w:val="0"/>
                      <w:sz w:val="21"/>
                      <w:szCs w:val="21"/>
                      <w:highlight w:val="none"/>
                      <w:lang w:val="en-US" w:eastAsia="zh-CN"/>
                    </w:rPr>
                    <w:t>3#</w:t>
                  </w:r>
                </w:p>
              </w:tc>
              <w:tc>
                <w:tcPr>
                  <w:tcW w:w="541" w:type="pct"/>
                  <w:tcBorders>
                    <w:top w:val="single" w:color="auto" w:sz="4" w:space="0"/>
                  </w:tcBorders>
                  <w:shd w:val="clear" w:color="auto" w:fill="auto"/>
                  <w:noWrap/>
                  <w:tcMar>
                    <w:top w:w="15" w:type="dxa"/>
                    <w:left w:w="15" w:type="dxa"/>
                    <w:bottom w:w="0" w:type="dxa"/>
                    <w:right w:w="15" w:type="dxa"/>
                  </w:tcMar>
                  <w:vAlign w:val="center"/>
                </w:tcPr>
                <w:p w14:paraId="34B7E0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eastAsia" w:ascii="Times New Roman" w:hAnsi="Times New Roman" w:eastAsia="宋体" w:cs="Times New Roman"/>
                      <w:smallCaps w:val="0"/>
                      <w:color w:val="auto"/>
                      <w:spacing w:val="0"/>
                      <w:kern w:val="0"/>
                      <w:sz w:val="21"/>
                      <w:szCs w:val="21"/>
                      <w:highlight w:val="none"/>
                      <w:lang w:val="en-US" w:eastAsia="zh-CN"/>
                    </w:rPr>
                    <w:t>20</w:t>
                  </w:r>
                  <w:r>
                    <w:rPr>
                      <w:rFonts w:hint="default" w:ascii="Times New Roman" w:hAnsi="Times New Roman" w:eastAsia="宋体" w:cs="Times New Roman"/>
                      <w:smallCaps w:val="0"/>
                      <w:color w:val="auto"/>
                      <w:spacing w:val="0"/>
                      <w:kern w:val="0"/>
                      <w:sz w:val="21"/>
                      <w:szCs w:val="21"/>
                      <w:highlight w:val="none"/>
                      <w:lang w:val="en-US" w:eastAsia="zh-CN"/>
                    </w:rPr>
                    <w:t>000</w:t>
                  </w:r>
                </w:p>
              </w:tc>
              <w:tc>
                <w:tcPr>
                  <w:tcW w:w="1166" w:type="pct"/>
                  <w:tcBorders>
                    <w:top w:val="single" w:color="auto" w:sz="4" w:space="0"/>
                  </w:tcBorders>
                  <w:shd w:val="clear" w:color="auto" w:fill="auto"/>
                  <w:noWrap/>
                  <w:tcMar>
                    <w:top w:w="15" w:type="dxa"/>
                    <w:left w:w="15" w:type="dxa"/>
                    <w:bottom w:w="0" w:type="dxa"/>
                    <w:right w:w="15" w:type="dxa"/>
                  </w:tcMar>
                  <w:vAlign w:val="center"/>
                </w:tcPr>
                <w:p w14:paraId="6AE858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非甲烷总烃</w:t>
                  </w:r>
                </w:p>
              </w:tc>
              <w:tc>
                <w:tcPr>
                  <w:tcW w:w="1933" w:type="pct"/>
                  <w:tcBorders>
                    <w:top w:val="single" w:color="auto" w:sz="4" w:space="0"/>
                  </w:tcBorders>
                  <w:shd w:val="clear" w:color="auto" w:fill="auto"/>
                  <w:noWrap/>
                  <w:tcMar>
                    <w:top w:w="15" w:type="dxa"/>
                    <w:left w:w="15" w:type="dxa"/>
                    <w:bottom w:w="0" w:type="dxa"/>
                    <w:right w:w="15" w:type="dxa"/>
                  </w:tcMar>
                  <w:vAlign w:val="center"/>
                </w:tcPr>
                <w:p w14:paraId="458452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1335" w:type="dxa"/>
                  <w:tcBorders>
                    <w:top w:val="single" w:color="auto" w:sz="4" w:space="0"/>
                  </w:tcBorders>
                  <w:shd w:val="clear" w:color="auto" w:fill="auto"/>
                  <w:noWrap/>
                  <w:tcMar>
                    <w:top w:w="15" w:type="dxa"/>
                    <w:left w:w="15" w:type="dxa"/>
                    <w:bottom w:w="0" w:type="dxa"/>
                    <w:right w:w="15" w:type="dxa"/>
                  </w:tcMar>
                  <w:vAlign w:val="center"/>
                </w:tcPr>
                <w:p w14:paraId="4D81C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21</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22</w:t>
                  </w:r>
                </w:p>
              </w:tc>
              <w:tc>
                <w:tcPr>
                  <w:tcW w:w="670" w:type="dxa"/>
                  <w:tcBorders>
                    <w:top w:val="single" w:color="auto" w:sz="4" w:space="0"/>
                  </w:tcBorders>
                  <w:shd w:val="clear" w:color="auto" w:fill="auto"/>
                  <w:noWrap w:val="0"/>
                  <w:vAlign w:val="center"/>
                </w:tcPr>
                <w:p w14:paraId="1A62C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424</w:t>
                  </w:r>
                </w:p>
              </w:tc>
              <w:tc>
                <w:tcPr>
                  <w:tcW w:w="207" w:type="pct"/>
                  <w:tcBorders>
                    <w:top w:val="single" w:color="auto" w:sz="4" w:space="0"/>
                  </w:tcBorders>
                  <w:shd w:val="clear" w:color="auto" w:fill="auto"/>
                  <w:noWrap w:val="0"/>
                  <w:vAlign w:val="center"/>
                </w:tcPr>
                <w:p w14:paraId="76141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0.25</w:t>
                  </w:r>
                </w:p>
              </w:tc>
              <w:tc>
                <w:tcPr>
                  <w:tcW w:w="243" w:type="pct"/>
                  <w:tcBorders>
                    <w:top w:val="single" w:color="auto" w:sz="4" w:space="0"/>
                  </w:tcBorders>
                  <w:shd w:val="clear" w:color="auto" w:fill="auto"/>
                  <w:noWrap w:val="0"/>
                  <w:vAlign w:val="center"/>
                </w:tcPr>
                <w:p w14:paraId="55FAC3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w:t>
                  </w:r>
                </w:p>
              </w:tc>
            </w:tr>
          </w:tbl>
          <w:p w14:paraId="7A307A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pacing w:val="0"/>
                <w:sz w:val="24"/>
                <w:szCs w:val="24"/>
                <w:highlight w:val="none"/>
              </w:rPr>
              <w:t>本项目废气处理设施设置专人维护管理，当废气收集处理系统发生故障或检修时，厂内相应废气产生工段均停工，待废气处理设施检修完毕后再同步投入使用。</w:t>
            </w:r>
          </w:p>
        </w:tc>
      </w:tr>
    </w:tbl>
    <w:p w14:paraId="6B89C6E5">
      <w:pPr>
        <w:numPr>
          <w:ilvl w:val="0"/>
          <w:numId w:val="0"/>
        </w:numPr>
        <w:rPr>
          <w:rFonts w:hint="default" w:ascii="Times New Roman" w:hAnsi="Times New Roman" w:cs="Times New Roman"/>
          <w:color w:val="auto"/>
          <w:highlight w:val="none"/>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502"/>
      </w:tblGrid>
      <w:tr w14:paraId="6FB0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0" w:hRule="atLeast"/>
        </w:trPr>
        <w:tc>
          <w:tcPr>
            <w:tcW w:w="392" w:type="pct"/>
            <w:vAlign w:val="center"/>
          </w:tcPr>
          <w:p w14:paraId="2354021F">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607" w:type="pct"/>
          </w:tcPr>
          <w:p w14:paraId="1ED4C0D3">
            <w:pPr>
              <w:pStyle w:val="2"/>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2" w:firstLineChars="200"/>
              <w:textAlignment w:val="auto"/>
              <w:rPr>
                <w:rFonts w:hint="default" w:ascii="Times New Roman" w:hAnsi="Times New Roman" w:eastAsia="宋体" w:cs="Times New Roman"/>
                <w:b/>
                <w:bCs/>
                <w:smallCaps w:val="0"/>
                <w:color w:val="auto"/>
                <w:spacing w:val="0"/>
                <w:kern w:val="2"/>
                <w:sz w:val="24"/>
                <w:szCs w:val="24"/>
                <w:highlight w:val="none"/>
                <w:lang w:val="en-US" w:eastAsia="zh-CN" w:bidi="ar-SA"/>
              </w:rPr>
            </w:pPr>
            <w:r>
              <w:rPr>
                <w:rFonts w:hint="eastAsia" w:ascii="Times New Roman" w:hAnsi="Times New Roman" w:eastAsia="宋体" w:cs="Times New Roman"/>
                <w:b/>
                <w:bCs/>
                <w:smallCaps w:val="0"/>
                <w:color w:val="auto"/>
                <w:spacing w:val="0"/>
                <w:kern w:val="2"/>
                <w:sz w:val="24"/>
                <w:szCs w:val="24"/>
                <w:highlight w:val="none"/>
                <w:lang w:val="en-US" w:eastAsia="zh-CN" w:bidi="ar-SA"/>
              </w:rPr>
              <w:t>5.</w:t>
            </w:r>
            <w:r>
              <w:rPr>
                <w:rFonts w:hint="default" w:ascii="Times New Roman" w:hAnsi="Times New Roman" w:eastAsia="宋体" w:cs="Times New Roman"/>
                <w:b/>
                <w:bCs/>
                <w:smallCaps w:val="0"/>
                <w:color w:val="auto"/>
                <w:spacing w:val="0"/>
                <w:kern w:val="2"/>
                <w:sz w:val="24"/>
                <w:szCs w:val="24"/>
                <w:highlight w:val="none"/>
                <w:lang w:val="en-US" w:eastAsia="zh-CN" w:bidi="ar-SA"/>
              </w:rPr>
              <w:t>排放口基本情况</w:t>
            </w:r>
          </w:p>
          <w:p w14:paraId="1EA44DFF">
            <w:pPr>
              <w:pStyle w:val="2"/>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0" w:firstLineChars="200"/>
              <w:textAlignment w:val="auto"/>
              <w:rPr>
                <w:rFonts w:hint="default" w:ascii="Times New Roman" w:hAnsi="Times New Roman" w:eastAsia="宋体" w:cs="Times New Roman"/>
                <w:smallCaps w:val="0"/>
                <w:color w:val="auto"/>
                <w:spacing w:val="0"/>
                <w:kern w:val="2"/>
                <w:sz w:val="24"/>
                <w:szCs w:val="24"/>
                <w:highlight w:val="none"/>
                <w:lang w:val="en-US" w:eastAsia="zh-CN" w:bidi="ar-SA"/>
              </w:rPr>
            </w:pPr>
            <w:r>
              <w:rPr>
                <w:rFonts w:hint="default" w:ascii="Times New Roman" w:hAnsi="Times New Roman" w:eastAsia="宋体" w:cs="Times New Roman"/>
                <w:smallCaps w:val="0"/>
                <w:color w:val="auto"/>
                <w:spacing w:val="0"/>
                <w:kern w:val="2"/>
                <w:sz w:val="24"/>
                <w:szCs w:val="24"/>
                <w:highlight w:val="none"/>
                <w:lang w:val="en-US" w:eastAsia="zh-CN" w:bidi="ar-SA"/>
              </w:rPr>
              <w:t>本项目废气排放基本情况如下：</w:t>
            </w:r>
          </w:p>
          <w:p w14:paraId="1697E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bCs w:val="0"/>
                <w:smallCaps w:val="0"/>
                <w:color w:val="auto"/>
                <w:spacing w:val="0"/>
                <w:kern w:val="0"/>
                <w:sz w:val="24"/>
                <w:szCs w:val="24"/>
                <w:highlight w:val="none"/>
                <w:lang w:val="en-US" w:eastAsia="zh-CN" w:bidi="ar-SA"/>
              </w:rPr>
            </w:pPr>
            <w:r>
              <w:rPr>
                <w:rFonts w:hint="default" w:ascii="Times New Roman" w:hAnsi="Times New Roman" w:eastAsia="宋体" w:cs="Times New Roman"/>
                <w:b/>
                <w:bCs w:val="0"/>
                <w:smallCaps w:val="0"/>
                <w:color w:val="auto"/>
                <w:spacing w:val="0"/>
                <w:kern w:val="0"/>
                <w:sz w:val="24"/>
                <w:szCs w:val="24"/>
                <w:highlight w:val="none"/>
                <w:lang w:val="en-US" w:eastAsia="zh-CN" w:bidi="ar-SA"/>
              </w:rPr>
              <w:t>表4-</w:t>
            </w:r>
            <w:r>
              <w:rPr>
                <w:rFonts w:hint="eastAsia" w:ascii="Times New Roman" w:hAnsi="Times New Roman" w:eastAsia="宋体" w:cs="Times New Roman"/>
                <w:b/>
                <w:bCs w:val="0"/>
                <w:smallCaps w:val="0"/>
                <w:color w:val="auto"/>
                <w:spacing w:val="0"/>
                <w:kern w:val="0"/>
                <w:sz w:val="24"/>
                <w:szCs w:val="24"/>
                <w:highlight w:val="none"/>
                <w:lang w:val="en-US" w:eastAsia="zh-CN" w:bidi="ar-SA"/>
              </w:rPr>
              <w:t xml:space="preserve">8 </w:t>
            </w:r>
            <w:r>
              <w:rPr>
                <w:rFonts w:hint="default" w:ascii="Times New Roman" w:hAnsi="Times New Roman" w:eastAsia="宋体" w:cs="Times New Roman"/>
                <w:b/>
                <w:bCs w:val="0"/>
                <w:smallCaps w:val="0"/>
                <w:color w:val="auto"/>
                <w:spacing w:val="0"/>
                <w:kern w:val="0"/>
                <w:sz w:val="24"/>
                <w:szCs w:val="24"/>
                <w:highlight w:val="none"/>
                <w:lang w:val="en-US" w:eastAsia="zh-CN" w:bidi="ar-SA"/>
              </w:rPr>
              <w:t xml:space="preserve"> 本项目废气排放口基本情况信息表</w:t>
            </w:r>
          </w:p>
          <w:tbl>
            <w:tblPr>
              <w:tblStyle w:val="27"/>
              <w:tblW w:w="4931"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fixed"/>
              <w:tblCellMar>
                <w:top w:w="0" w:type="dxa"/>
                <w:left w:w="0" w:type="dxa"/>
                <w:bottom w:w="0" w:type="dxa"/>
                <w:right w:w="0" w:type="dxa"/>
              </w:tblCellMar>
            </w:tblPr>
            <w:tblGrid>
              <w:gridCol w:w="756"/>
              <w:gridCol w:w="1107"/>
              <w:gridCol w:w="1547"/>
              <w:gridCol w:w="1682"/>
              <w:gridCol w:w="890"/>
              <w:gridCol w:w="1075"/>
              <w:gridCol w:w="1106"/>
            </w:tblGrid>
            <w:tr w14:paraId="6DA9BCAB">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48C359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编号</w:t>
                  </w:r>
                </w:p>
              </w:tc>
              <w:tc>
                <w:tcPr>
                  <w:tcW w:w="678" w:type="pct"/>
                  <w:vMerge w:val="restart"/>
                  <w:tcBorders>
                    <w:tl2br w:val="nil"/>
                    <w:tr2bl w:val="nil"/>
                  </w:tcBorders>
                  <w:noWrap w:val="0"/>
                  <w:tcMar>
                    <w:top w:w="0" w:type="dxa"/>
                    <w:left w:w="28" w:type="dxa"/>
                    <w:bottom w:w="0" w:type="dxa"/>
                    <w:right w:w="28" w:type="dxa"/>
                  </w:tcMar>
                  <w:vAlign w:val="center"/>
                </w:tcPr>
                <w:p w14:paraId="6B98AC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名称</w:t>
                  </w:r>
                </w:p>
              </w:tc>
              <w:tc>
                <w:tcPr>
                  <w:tcW w:w="1977" w:type="pct"/>
                  <w:gridSpan w:val="2"/>
                  <w:tcBorders>
                    <w:tl2br w:val="nil"/>
                    <w:tr2bl w:val="nil"/>
                  </w:tcBorders>
                  <w:noWrap w:val="0"/>
                  <w:tcMar>
                    <w:top w:w="0" w:type="dxa"/>
                    <w:left w:w="28" w:type="dxa"/>
                    <w:bottom w:w="0" w:type="dxa"/>
                    <w:right w:w="28" w:type="dxa"/>
                  </w:tcMar>
                  <w:vAlign w:val="center"/>
                </w:tcPr>
                <w:p w14:paraId="3193D5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排气筒底部中心坐标/m</w:t>
                  </w:r>
                </w:p>
              </w:tc>
              <w:tc>
                <w:tcPr>
                  <w:tcW w:w="545" w:type="pct"/>
                  <w:vMerge w:val="restart"/>
                  <w:tcBorders>
                    <w:tl2br w:val="nil"/>
                    <w:tr2bl w:val="nil"/>
                  </w:tcBorders>
                  <w:noWrap w:val="0"/>
                  <w:tcMar>
                    <w:top w:w="0" w:type="dxa"/>
                    <w:left w:w="28" w:type="dxa"/>
                    <w:bottom w:w="0" w:type="dxa"/>
                    <w:right w:w="28" w:type="dxa"/>
                  </w:tcMar>
                  <w:vAlign w:val="center"/>
                </w:tcPr>
                <w:p w14:paraId="3D1B62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排气筒高度/m</w:t>
                  </w:r>
                </w:p>
              </w:tc>
              <w:tc>
                <w:tcPr>
                  <w:tcW w:w="658" w:type="pct"/>
                  <w:vMerge w:val="restart"/>
                  <w:tcBorders>
                    <w:tl2br w:val="nil"/>
                    <w:tr2bl w:val="nil"/>
                  </w:tcBorders>
                  <w:noWrap w:val="0"/>
                  <w:tcMar>
                    <w:top w:w="0" w:type="dxa"/>
                    <w:left w:w="28" w:type="dxa"/>
                    <w:bottom w:w="0" w:type="dxa"/>
                    <w:right w:w="28" w:type="dxa"/>
                  </w:tcMar>
                  <w:vAlign w:val="center"/>
                </w:tcPr>
                <w:p w14:paraId="09AF4F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排气筒出口</w:t>
                  </w:r>
                </w:p>
                <w:p w14:paraId="54FA88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内径/m</w:t>
                  </w:r>
                </w:p>
              </w:tc>
              <w:tc>
                <w:tcPr>
                  <w:tcW w:w="677" w:type="pct"/>
                  <w:vMerge w:val="restart"/>
                  <w:tcBorders>
                    <w:tl2br w:val="nil"/>
                    <w:tr2bl w:val="nil"/>
                  </w:tcBorders>
                  <w:noWrap w:val="0"/>
                  <w:tcMar>
                    <w:top w:w="0" w:type="dxa"/>
                    <w:left w:w="28" w:type="dxa"/>
                    <w:bottom w:w="0" w:type="dxa"/>
                    <w:right w:w="28" w:type="dxa"/>
                  </w:tcMar>
                  <w:vAlign w:val="center"/>
                </w:tcPr>
                <w:p w14:paraId="4C8DA2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烟气温度/℃</w:t>
                  </w:r>
                </w:p>
              </w:tc>
            </w:tr>
            <w:tr w14:paraId="5A80A91E">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598822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78" w:type="pct"/>
                  <w:vMerge w:val="continue"/>
                  <w:tcBorders>
                    <w:tl2br w:val="nil"/>
                    <w:tr2bl w:val="nil"/>
                  </w:tcBorders>
                  <w:noWrap w:val="0"/>
                  <w:vAlign w:val="center"/>
                </w:tcPr>
                <w:p w14:paraId="36FFDD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947" w:type="pct"/>
                  <w:tcBorders>
                    <w:tl2br w:val="nil"/>
                    <w:tr2bl w:val="nil"/>
                  </w:tcBorders>
                  <w:noWrap w:val="0"/>
                  <w:tcMar>
                    <w:top w:w="0" w:type="dxa"/>
                    <w:left w:w="28" w:type="dxa"/>
                    <w:bottom w:w="0" w:type="dxa"/>
                    <w:right w:w="28" w:type="dxa"/>
                  </w:tcMar>
                  <w:vAlign w:val="center"/>
                </w:tcPr>
                <w:p w14:paraId="4B0CA9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X</w:t>
                  </w:r>
                </w:p>
              </w:tc>
              <w:tc>
                <w:tcPr>
                  <w:tcW w:w="1030" w:type="pct"/>
                  <w:tcBorders>
                    <w:tl2br w:val="nil"/>
                    <w:tr2bl w:val="nil"/>
                  </w:tcBorders>
                  <w:noWrap w:val="0"/>
                  <w:tcMar>
                    <w:top w:w="0" w:type="dxa"/>
                    <w:left w:w="28" w:type="dxa"/>
                    <w:bottom w:w="0" w:type="dxa"/>
                    <w:right w:w="28" w:type="dxa"/>
                  </w:tcMar>
                  <w:vAlign w:val="center"/>
                </w:tcPr>
                <w:p w14:paraId="49E0DE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Y</w:t>
                  </w:r>
                </w:p>
              </w:tc>
              <w:tc>
                <w:tcPr>
                  <w:tcW w:w="545" w:type="pct"/>
                  <w:vMerge w:val="continue"/>
                  <w:tcBorders>
                    <w:tl2br w:val="nil"/>
                    <w:tr2bl w:val="nil"/>
                  </w:tcBorders>
                  <w:noWrap w:val="0"/>
                  <w:vAlign w:val="center"/>
                </w:tcPr>
                <w:p w14:paraId="74EE5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58" w:type="pct"/>
                  <w:vMerge w:val="continue"/>
                  <w:tcBorders>
                    <w:tl2br w:val="nil"/>
                    <w:tr2bl w:val="nil"/>
                  </w:tcBorders>
                  <w:noWrap w:val="0"/>
                  <w:vAlign w:val="center"/>
                </w:tcPr>
                <w:p w14:paraId="2E6A9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77" w:type="pct"/>
                  <w:vMerge w:val="continue"/>
                  <w:tcBorders>
                    <w:tl2br w:val="nil"/>
                    <w:tr2bl w:val="nil"/>
                  </w:tcBorders>
                  <w:noWrap w:val="0"/>
                  <w:vAlign w:val="center"/>
                </w:tcPr>
                <w:p w14:paraId="1672C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r>
            <w:tr w14:paraId="717D98A6">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4998CC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1</w:t>
                  </w:r>
                </w:p>
              </w:tc>
              <w:tc>
                <w:tcPr>
                  <w:tcW w:w="678" w:type="pct"/>
                  <w:tcBorders>
                    <w:tl2br w:val="nil"/>
                    <w:tr2bl w:val="nil"/>
                  </w:tcBorders>
                  <w:noWrap w:val="0"/>
                  <w:tcMar>
                    <w:top w:w="0" w:type="dxa"/>
                    <w:left w:w="28" w:type="dxa"/>
                    <w:bottom w:w="0" w:type="dxa"/>
                    <w:right w:w="28" w:type="dxa"/>
                  </w:tcMar>
                  <w:vAlign w:val="center"/>
                </w:tcPr>
                <w:p w14:paraId="0197B7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p>
              </w:tc>
              <w:tc>
                <w:tcPr>
                  <w:tcW w:w="947" w:type="pct"/>
                  <w:tcBorders>
                    <w:tl2br w:val="nil"/>
                    <w:tr2bl w:val="nil"/>
                  </w:tcBorders>
                  <w:noWrap w:val="0"/>
                  <w:tcMar>
                    <w:top w:w="0" w:type="dxa"/>
                    <w:left w:w="28" w:type="dxa"/>
                    <w:bottom w:w="0" w:type="dxa"/>
                    <w:right w:w="28" w:type="dxa"/>
                  </w:tcMar>
                  <w:vAlign w:val="center"/>
                </w:tcPr>
                <w:p w14:paraId="4FD336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w:t>
                  </w:r>
                  <w:r>
                    <w:rPr>
                      <w:rFonts w:hint="eastAsia" w:ascii="Times New Roman" w:hAnsi="Times New Roman" w:eastAsia="宋体" w:cs="Times New Roman"/>
                      <w:smallCaps w:val="0"/>
                      <w:color w:val="auto"/>
                      <w:spacing w:val="0"/>
                      <w:sz w:val="21"/>
                      <w:szCs w:val="21"/>
                      <w:highlight w:val="none"/>
                      <w:lang w:val="en-US" w:eastAsia="zh-CN"/>
                    </w:rPr>
                    <w:t>637675</w:t>
                  </w:r>
                </w:p>
              </w:tc>
              <w:tc>
                <w:tcPr>
                  <w:tcW w:w="1030" w:type="pct"/>
                  <w:tcBorders>
                    <w:tl2br w:val="nil"/>
                    <w:tr2bl w:val="nil"/>
                  </w:tcBorders>
                  <w:noWrap w:val="0"/>
                  <w:tcMar>
                    <w:top w:w="0" w:type="dxa"/>
                    <w:left w:w="28" w:type="dxa"/>
                    <w:bottom w:w="0" w:type="dxa"/>
                    <w:right w:w="28" w:type="dxa"/>
                  </w:tcMar>
                  <w:vAlign w:val="center"/>
                </w:tcPr>
                <w:p w14:paraId="5BA51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31.697675</w:t>
                  </w:r>
                </w:p>
              </w:tc>
              <w:tc>
                <w:tcPr>
                  <w:tcW w:w="545" w:type="pct"/>
                  <w:tcBorders>
                    <w:tl2br w:val="nil"/>
                    <w:tr2bl w:val="nil"/>
                  </w:tcBorders>
                  <w:noWrap w:val="0"/>
                  <w:tcMar>
                    <w:top w:w="0" w:type="dxa"/>
                    <w:left w:w="28" w:type="dxa"/>
                    <w:bottom w:w="0" w:type="dxa"/>
                    <w:right w:w="28" w:type="dxa"/>
                  </w:tcMar>
                  <w:vAlign w:val="center"/>
                </w:tcPr>
                <w:p w14:paraId="5AA4EF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25</w:t>
                  </w:r>
                </w:p>
              </w:tc>
              <w:tc>
                <w:tcPr>
                  <w:tcW w:w="1075" w:type="dxa"/>
                  <w:tcBorders>
                    <w:tl2br w:val="nil"/>
                    <w:tr2bl w:val="nil"/>
                  </w:tcBorders>
                  <w:noWrap w:val="0"/>
                  <w:tcMar>
                    <w:top w:w="0" w:type="dxa"/>
                    <w:left w:w="28" w:type="dxa"/>
                    <w:bottom w:w="0" w:type="dxa"/>
                    <w:right w:w="28" w:type="dxa"/>
                  </w:tcMar>
                  <w:vAlign w:val="center"/>
                </w:tcPr>
                <w:p w14:paraId="254F53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54</w:t>
                  </w:r>
                </w:p>
              </w:tc>
              <w:tc>
                <w:tcPr>
                  <w:tcW w:w="677" w:type="pct"/>
                  <w:tcBorders>
                    <w:tl2br w:val="nil"/>
                    <w:tr2bl w:val="nil"/>
                  </w:tcBorders>
                  <w:noWrap w:val="0"/>
                  <w:tcMar>
                    <w:top w:w="0" w:type="dxa"/>
                    <w:left w:w="28" w:type="dxa"/>
                    <w:bottom w:w="0" w:type="dxa"/>
                    <w:right w:w="28" w:type="dxa"/>
                  </w:tcMar>
                  <w:vAlign w:val="center"/>
                </w:tcPr>
                <w:p w14:paraId="0BE984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25</w:t>
                  </w:r>
                </w:p>
              </w:tc>
            </w:tr>
            <w:tr w14:paraId="753A06BD">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70DE71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w:t>
                  </w:r>
                </w:p>
              </w:tc>
              <w:tc>
                <w:tcPr>
                  <w:tcW w:w="678" w:type="pct"/>
                  <w:tcBorders>
                    <w:tl2br w:val="nil"/>
                    <w:tr2bl w:val="nil"/>
                  </w:tcBorders>
                  <w:noWrap w:val="0"/>
                  <w:tcMar>
                    <w:top w:w="0" w:type="dxa"/>
                    <w:left w:w="28" w:type="dxa"/>
                    <w:bottom w:w="0" w:type="dxa"/>
                    <w:right w:w="28" w:type="dxa"/>
                  </w:tcMar>
                  <w:vAlign w:val="center"/>
                </w:tcPr>
                <w:p w14:paraId="63CA42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p>
              </w:tc>
              <w:tc>
                <w:tcPr>
                  <w:tcW w:w="947" w:type="pct"/>
                  <w:tcBorders>
                    <w:tl2br w:val="nil"/>
                    <w:tr2bl w:val="nil"/>
                  </w:tcBorders>
                  <w:noWrap w:val="0"/>
                  <w:tcMar>
                    <w:top w:w="0" w:type="dxa"/>
                    <w:left w:w="28" w:type="dxa"/>
                    <w:bottom w:w="0" w:type="dxa"/>
                    <w:right w:w="28" w:type="dxa"/>
                  </w:tcMar>
                  <w:vAlign w:val="center"/>
                </w:tcPr>
                <w:p w14:paraId="517B63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119.637655</w:t>
                  </w:r>
                </w:p>
              </w:tc>
              <w:tc>
                <w:tcPr>
                  <w:tcW w:w="1030" w:type="pct"/>
                  <w:tcBorders>
                    <w:tl2br w:val="nil"/>
                    <w:tr2bl w:val="nil"/>
                  </w:tcBorders>
                  <w:noWrap w:val="0"/>
                  <w:tcMar>
                    <w:top w:w="0" w:type="dxa"/>
                    <w:left w:w="28" w:type="dxa"/>
                    <w:bottom w:w="0" w:type="dxa"/>
                    <w:right w:w="28" w:type="dxa"/>
                  </w:tcMar>
                  <w:vAlign w:val="center"/>
                </w:tcPr>
                <w:p w14:paraId="390B0F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31.698044</w:t>
                  </w:r>
                </w:p>
              </w:tc>
              <w:tc>
                <w:tcPr>
                  <w:tcW w:w="545" w:type="pct"/>
                  <w:tcBorders>
                    <w:tl2br w:val="nil"/>
                    <w:tr2bl w:val="nil"/>
                  </w:tcBorders>
                  <w:noWrap w:val="0"/>
                  <w:tcMar>
                    <w:top w:w="0" w:type="dxa"/>
                    <w:left w:w="28" w:type="dxa"/>
                    <w:bottom w:w="0" w:type="dxa"/>
                    <w:right w:w="28" w:type="dxa"/>
                  </w:tcMar>
                  <w:vAlign w:val="center"/>
                </w:tcPr>
                <w:p w14:paraId="68C0CE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25</w:t>
                  </w:r>
                </w:p>
              </w:tc>
              <w:tc>
                <w:tcPr>
                  <w:tcW w:w="1075" w:type="dxa"/>
                  <w:tcBorders>
                    <w:tl2br w:val="nil"/>
                    <w:tr2bl w:val="nil"/>
                  </w:tcBorders>
                  <w:noWrap w:val="0"/>
                  <w:tcMar>
                    <w:top w:w="0" w:type="dxa"/>
                    <w:left w:w="28" w:type="dxa"/>
                    <w:bottom w:w="0" w:type="dxa"/>
                    <w:right w:w="28" w:type="dxa"/>
                  </w:tcMar>
                  <w:vAlign w:val="center"/>
                </w:tcPr>
                <w:p w14:paraId="1C3AC1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48</w:t>
                  </w:r>
                </w:p>
              </w:tc>
              <w:tc>
                <w:tcPr>
                  <w:tcW w:w="677" w:type="pct"/>
                  <w:tcBorders>
                    <w:tl2br w:val="nil"/>
                    <w:tr2bl w:val="nil"/>
                  </w:tcBorders>
                  <w:noWrap w:val="0"/>
                  <w:tcMar>
                    <w:top w:w="0" w:type="dxa"/>
                    <w:left w:w="28" w:type="dxa"/>
                    <w:bottom w:w="0" w:type="dxa"/>
                    <w:right w:w="28" w:type="dxa"/>
                  </w:tcMar>
                  <w:vAlign w:val="center"/>
                </w:tcPr>
                <w:p w14:paraId="4B1E80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25</w:t>
                  </w:r>
                </w:p>
              </w:tc>
            </w:tr>
            <w:tr w14:paraId="2C35E7A5">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4E3F5F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w:t>
                  </w:r>
                </w:p>
              </w:tc>
              <w:tc>
                <w:tcPr>
                  <w:tcW w:w="678" w:type="pct"/>
                  <w:tcBorders>
                    <w:tl2br w:val="nil"/>
                    <w:tr2bl w:val="nil"/>
                  </w:tcBorders>
                  <w:noWrap w:val="0"/>
                  <w:tcMar>
                    <w:top w:w="0" w:type="dxa"/>
                    <w:left w:w="28" w:type="dxa"/>
                    <w:bottom w:w="0" w:type="dxa"/>
                    <w:right w:w="28" w:type="dxa"/>
                  </w:tcMar>
                  <w:vAlign w:val="center"/>
                </w:tcPr>
                <w:p w14:paraId="4AB27A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w:t>
                  </w:r>
                </w:p>
              </w:tc>
              <w:tc>
                <w:tcPr>
                  <w:tcW w:w="947" w:type="pct"/>
                  <w:tcBorders>
                    <w:tl2br w:val="nil"/>
                    <w:tr2bl w:val="nil"/>
                  </w:tcBorders>
                  <w:shd w:val="clear" w:color="auto" w:fill="auto"/>
                  <w:noWrap w:val="0"/>
                  <w:tcMar>
                    <w:top w:w="0" w:type="dxa"/>
                    <w:left w:w="28" w:type="dxa"/>
                    <w:bottom w:w="0" w:type="dxa"/>
                    <w:right w:w="28" w:type="dxa"/>
                  </w:tcMar>
                  <w:vAlign w:val="center"/>
                </w:tcPr>
                <w:p w14:paraId="73691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119.637</w:t>
                  </w:r>
                  <w:r>
                    <w:rPr>
                      <w:rFonts w:hint="eastAsia" w:ascii="Times New Roman" w:hAnsi="Times New Roman" w:eastAsia="宋体" w:cs="Times New Roman"/>
                      <w:smallCaps w:val="0"/>
                      <w:color w:val="auto"/>
                      <w:spacing w:val="0"/>
                      <w:sz w:val="21"/>
                      <w:szCs w:val="21"/>
                      <w:highlight w:val="none"/>
                      <w:lang w:val="en-US" w:eastAsia="zh-CN"/>
                    </w:rPr>
                    <w:t>75</w:t>
                  </w:r>
                  <w:r>
                    <w:rPr>
                      <w:rFonts w:hint="default" w:ascii="Times New Roman" w:hAnsi="Times New Roman" w:eastAsia="宋体" w:cs="Times New Roman"/>
                      <w:smallCaps w:val="0"/>
                      <w:color w:val="auto"/>
                      <w:spacing w:val="0"/>
                      <w:sz w:val="21"/>
                      <w:szCs w:val="21"/>
                      <w:highlight w:val="none"/>
                      <w:lang w:val="en-US" w:eastAsia="zh-CN"/>
                    </w:rPr>
                    <w:t>5</w:t>
                  </w:r>
                </w:p>
              </w:tc>
              <w:tc>
                <w:tcPr>
                  <w:tcW w:w="1030" w:type="pct"/>
                  <w:tcBorders>
                    <w:tl2br w:val="nil"/>
                    <w:tr2bl w:val="nil"/>
                  </w:tcBorders>
                  <w:shd w:val="clear" w:color="auto" w:fill="auto"/>
                  <w:noWrap w:val="0"/>
                  <w:tcMar>
                    <w:top w:w="0" w:type="dxa"/>
                    <w:left w:w="28" w:type="dxa"/>
                    <w:bottom w:w="0" w:type="dxa"/>
                    <w:right w:w="28" w:type="dxa"/>
                  </w:tcMar>
                  <w:vAlign w:val="center"/>
                </w:tcPr>
                <w:p w14:paraId="2A8CC0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31.698</w:t>
                  </w:r>
                  <w:r>
                    <w:rPr>
                      <w:rFonts w:hint="eastAsia" w:ascii="Times New Roman" w:hAnsi="Times New Roman" w:eastAsia="宋体" w:cs="Times New Roman"/>
                      <w:smallCaps w:val="0"/>
                      <w:color w:val="auto"/>
                      <w:spacing w:val="0"/>
                      <w:sz w:val="21"/>
                      <w:szCs w:val="21"/>
                      <w:highlight w:val="none"/>
                      <w:lang w:val="en-US" w:eastAsia="zh-CN"/>
                    </w:rPr>
                    <w:t>134</w:t>
                  </w:r>
                </w:p>
              </w:tc>
              <w:tc>
                <w:tcPr>
                  <w:tcW w:w="545" w:type="pct"/>
                  <w:tcBorders>
                    <w:tl2br w:val="nil"/>
                    <w:tr2bl w:val="nil"/>
                  </w:tcBorders>
                  <w:noWrap w:val="0"/>
                  <w:tcMar>
                    <w:top w:w="0" w:type="dxa"/>
                    <w:left w:w="28" w:type="dxa"/>
                    <w:bottom w:w="0" w:type="dxa"/>
                    <w:right w:w="28" w:type="dxa"/>
                  </w:tcMar>
                  <w:vAlign w:val="center"/>
                </w:tcPr>
                <w:p w14:paraId="0DCBF9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25</w:t>
                  </w:r>
                </w:p>
              </w:tc>
              <w:tc>
                <w:tcPr>
                  <w:tcW w:w="1075" w:type="dxa"/>
                  <w:tcBorders>
                    <w:tl2br w:val="nil"/>
                    <w:tr2bl w:val="nil"/>
                  </w:tcBorders>
                  <w:noWrap w:val="0"/>
                  <w:tcMar>
                    <w:top w:w="0" w:type="dxa"/>
                    <w:left w:w="28" w:type="dxa"/>
                    <w:bottom w:w="0" w:type="dxa"/>
                    <w:right w:w="28" w:type="dxa"/>
                  </w:tcMar>
                  <w:vAlign w:val="center"/>
                </w:tcPr>
                <w:p w14:paraId="238525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48</w:t>
                  </w:r>
                </w:p>
              </w:tc>
              <w:tc>
                <w:tcPr>
                  <w:tcW w:w="677" w:type="pct"/>
                  <w:tcBorders>
                    <w:tl2br w:val="nil"/>
                    <w:tr2bl w:val="nil"/>
                  </w:tcBorders>
                  <w:noWrap w:val="0"/>
                  <w:tcMar>
                    <w:top w:w="0" w:type="dxa"/>
                    <w:left w:w="28" w:type="dxa"/>
                    <w:bottom w:w="0" w:type="dxa"/>
                    <w:right w:w="28" w:type="dxa"/>
                  </w:tcMar>
                  <w:vAlign w:val="center"/>
                </w:tcPr>
                <w:p w14:paraId="18DBC6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25</w:t>
                  </w:r>
                </w:p>
              </w:tc>
            </w:tr>
            <w:tr w14:paraId="6173FAF2">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12E3E7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编号</w:t>
                  </w:r>
                </w:p>
              </w:tc>
              <w:tc>
                <w:tcPr>
                  <w:tcW w:w="678" w:type="pct"/>
                  <w:vMerge w:val="restart"/>
                  <w:tcBorders>
                    <w:tl2br w:val="nil"/>
                    <w:tr2bl w:val="nil"/>
                  </w:tcBorders>
                  <w:noWrap w:val="0"/>
                  <w:tcMar>
                    <w:top w:w="0" w:type="dxa"/>
                    <w:left w:w="28" w:type="dxa"/>
                    <w:bottom w:w="0" w:type="dxa"/>
                    <w:right w:w="28" w:type="dxa"/>
                  </w:tcMar>
                  <w:vAlign w:val="center"/>
                </w:tcPr>
                <w:p w14:paraId="7D6959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名称</w:t>
                  </w:r>
                </w:p>
              </w:tc>
              <w:tc>
                <w:tcPr>
                  <w:tcW w:w="1977" w:type="pct"/>
                  <w:gridSpan w:val="2"/>
                  <w:tcBorders>
                    <w:tl2br w:val="nil"/>
                    <w:tr2bl w:val="nil"/>
                  </w:tcBorders>
                  <w:noWrap w:val="0"/>
                  <w:tcMar>
                    <w:top w:w="0" w:type="dxa"/>
                    <w:left w:w="28" w:type="dxa"/>
                    <w:bottom w:w="0" w:type="dxa"/>
                    <w:right w:w="28" w:type="dxa"/>
                  </w:tcMar>
                  <w:vAlign w:val="center"/>
                </w:tcPr>
                <w:p w14:paraId="1779DD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面源起点坐标/m</w:t>
                  </w:r>
                </w:p>
              </w:tc>
              <w:tc>
                <w:tcPr>
                  <w:tcW w:w="545" w:type="pct"/>
                  <w:vMerge w:val="restart"/>
                  <w:tcBorders>
                    <w:tl2br w:val="nil"/>
                    <w:tr2bl w:val="nil"/>
                  </w:tcBorders>
                  <w:noWrap w:val="0"/>
                  <w:tcMar>
                    <w:top w:w="0" w:type="dxa"/>
                    <w:left w:w="28" w:type="dxa"/>
                    <w:bottom w:w="0" w:type="dxa"/>
                    <w:right w:w="28" w:type="dxa"/>
                  </w:tcMar>
                  <w:vAlign w:val="center"/>
                </w:tcPr>
                <w:p w14:paraId="24517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面源长度/m</w:t>
                  </w:r>
                </w:p>
              </w:tc>
              <w:tc>
                <w:tcPr>
                  <w:tcW w:w="658" w:type="pct"/>
                  <w:vMerge w:val="restart"/>
                  <w:tcBorders>
                    <w:tl2br w:val="nil"/>
                    <w:tr2bl w:val="nil"/>
                  </w:tcBorders>
                  <w:noWrap w:val="0"/>
                  <w:tcMar>
                    <w:top w:w="0" w:type="dxa"/>
                    <w:left w:w="28" w:type="dxa"/>
                    <w:bottom w:w="0" w:type="dxa"/>
                    <w:right w:w="28" w:type="dxa"/>
                  </w:tcMar>
                  <w:vAlign w:val="center"/>
                </w:tcPr>
                <w:p w14:paraId="671041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面源宽度/m</w:t>
                  </w:r>
                </w:p>
              </w:tc>
              <w:tc>
                <w:tcPr>
                  <w:tcW w:w="677" w:type="pct"/>
                  <w:vMerge w:val="restart"/>
                  <w:tcBorders>
                    <w:tl2br w:val="nil"/>
                    <w:tr2bl w:val="nil"/>
                  </w:tcBorders>
                  <w:noWrap w:val="0"/>
                  <w:tcMar>
                    <w:top w:w="0" w:type="dxa"/>
                    <w:left w:w="28" w:type="dxa"/>
                    <w:bottom w:w="0" w:type="dxa"/>
                    <w:right w:w="28" w:type="dxa"/>
                  </w:tcMar>
                  <w:vAlign w:val="center"/>
                </w:tcPr>
                <w:p w14:paraId="18D87D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面源有效排放高度/m</w:t>
                  </w:r>
                </w:p>
              </w:tc>
            </w:tr>
            <w:tr w14:paraId="01B740A4">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0A7AF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78" w:type="pct"/>
                  <w:vMerge w:val="continue"/>
                  <w:tcBorders>
                    <w:tl2br w:val="nil"/>
                    <w:tr2bl w:val="nil"/>
                  </w:tcBorders>
                  <w:noWrap w:val="0"/>
                  <w:vAlign w:val="center"/>
                </w:tcPr>
                <w:p w14:paraId="7817D3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947" w:type="pct"/>
                  <w:tcBorders>
                    <w:tl2br w:val="nil"/>
                    <w:tr2bl w:val="nil"/>
                  </w:tcBorders>
                  <w:noWrap w:val="0"/>
                  <w:tcMar>
                    <w:top w:w="0" w:type="dxa"/>
                    <w:left w:w="28" w:type="dxa"/>
                    <w:bottom w:w="0" w:type="dxa"/>
                    <w:right w:w="28" w:type="dxa"/>
                  </w:tcMar>
                  <w:vAlign w:val="center"/>
                </w:tcPr>
                <w:p w14:paraId="4CEE6C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X</w:t>
                  </w:r>
                </w:p>
              </w:tc>
              <w:tc>
                <w:tcPr>
                  <w:tcW w:w="1030" w:type="pct"/>
                  <w:tcBorders>
                    <w:tl2br w:val="nil"/>
                    <w:tr2bl w:val="nil"/>
                  </w:tcBorders>
                  <w:noWrap w:val="0"/>
                  <w:tcMar>
                    <w:top w:w="0" w:type="dxa"/>
                    <w:left w:w="28" w:type="dxa"/>
                    <w:bottom w:w="0" w:type="dxa"/>
                    <w:right w:w="28" w:type="dxa"/>
                  </w:tcMar>
                  <w:vAlign w:val="center"/>
                </w:tcPr>
                <w:p w14:paraId="3AC82A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Y</w:t>
                  </w:r>
                </w:p>
              </w:tc>
              <w:tc>
                <w:tcPr>
                  <w:tcW w:w="545" w:type="pct"/>
                  <w:vMerge w:val="continue"/>
                  <w:tcBorders>
                    <w:tl2br w:val="nil"/>
                    <w:tr2bl w:val="nil"/>
                  </w:tcBorders>
                  <w:noWrap w:val="0"/>
                  <w:vAlign w:val="center"/>
                </w:tcPr>
                <w:p w14:paraId="788072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58" w:type="pct"/>
                  <w:vMerge w:val="continue"/>
                  <w:tcBorders>
                    <w:tl2br w:val="nil"/>
                    <w:tr2bl w:val="nil"/>
                  </w:tcBorders>
                  <w:noWrap w:val="0"/>
                  <w:vAlign w:val="center"/>
                </w:tcPr>
                <w:p w14:paraId="366501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77" w:type="pct"/>
                  <w:vMerge w:val="continue"/>
                  <w:tcBorders>
                    <w:tl2br w:val="nil"/>
                    <w:tr2bl w:val="nil"/>
                  </w:tcBorders>
                  <w:noWrap w:val="0"/>
                  <w:vAlign w:val="center"/>
                </w:tcPr>
                <w:p w14:paraId="1C2D6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r>
            <w:tr w14:paraId="79BE4C0D">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68D215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1</w:t>
                  </w:r>
                </w:p>
              </w:tc>
              <w:tc>
                <w:tcPr>
                  <w:tcW w:w="678" w:type="pct"/>
                  <w:tcBorders>
                    <w:tl2br w:val="nil"/>
                    <w:tr2bl w:val="nil"/>
                  </w:tcBorders>
                  <w:noWrap w:val="0"/>
                  <w:tcMar>
                    <w:top w:w="0" w:type="dxa"/>
                    <w:left w:w="28" w:type="dxa"/>
                    <w:bottom w:w="0" w:type="dxa"/>
                    <w:right w:w="28" w:type="dxa"/>
                  </w:tcMar>
                  <w:vAlign w:val="center"/>
                </w:tcPr>
                <w:p w14:paraId="2F249E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eastAsia="zh-CN"/>
                    </w:rPr>
                  </w:pPr>
                  <w:r>
                    <w:rPr>
                      <w:rFonts w:hint="default" w:ascii="Times New Roman" w:hAnsi="Times New Roman" w:eastAsia="宋体" w:cs="Times New Roman"/>
                      <w:smallCaps w:val="0"/>
                      <w:color w:val="auto"/>
                      <w:spacing w:val="0"/>
                      <w:sz w:val="21"/>
                      <w:szCs w:val="21"/>
                      <w:highlight w:val="none"/>
                    </w:rPr>
                    <w:t>生产车间</w:t>
                  </w:r>
                </w:p>
              </w:tc>
              <w:tc>
                <w:tcPr>
                  <w:tcW w:w="947" w:type="pct"/>
                  <w:tcBorders>
                    <w:tl2br w:val="nil"/>
                    <w:tr2bl w:val="nil"/>
                  </w:tcBorders>
                  <w:noWrap w:val="0"/>
                  <w:tcMar>
                    <w:top w:w="0" w:type="dxa"/>
                    <w:left w:w="28" w:type="dxa"/>
                    <w:bottom w:w="0" w:type="dxa"/>
                    <w:right w:w="28" w:type="dxa"/>
                  </w:tcMar>
                  <w:vAlign w:val="center"/>
                </w:tcPr>
                <w:p w14:paraId="58F5A7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119.637931</w:t>
                  </w:r>
                </w:p>
              </w:tc>
              <w:tc>
                <w:tcPr>
                  <w:tcW w:w="1030" w:type="pct"/>
                  <w:tcBorders>
                    <w:tl2br w:val="nil"/>
                    <w:tr2bl w:val="nil"/>
                  </w:tcBorders>
                  <w:noWrap w:val="0"/>
                  <w:tcMar>
                    <w:top w:w="0" w:type="dxa"/>
                    <w:left w:w="28" w:type="dxa"/>
                    <w:bottom w:w="0" w:type="dxa"/>
                    <w:right w:w="28" w:type="dxa"/>
                  </w:tcMar>
                  <w:vAlign w:val="center"/>
                </w:tcPr>
                <w:p w14:paraId="71EFC4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31.697988</w:t>
                  </w:r>
                </w:p>
              </w:tc>
              <w:tc>
                <w:tcPr>
                  <w:tcW w:w="545" w:type="pct"/>
                  <w:tcBorders>
                    <w:tl2br w:val="nil"/>
                    <w:tr2bl w:val="nil"/>
                  </w:tcBorders>
                  <w:noWrap w:val="0"/>
                  <w:tcMar>
                    <w:top w:w="0" w:type="dxa"/>
                    <w:left w:w="28" w:type="dxa"/>
                    <w:bottom w:w="0" w:type="dxa"/>
                    <w:right w:w="28" w:type="dxa"/>
                  </w:tcMar>
                  <w:vAlign w:val="center"/>
                </w:tcPr>
                <w:p w14:paraId="179673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9</w:t>
                  </w:r>
                  <w:r>
                    <w:rPr>
                      <w:rFonts w:hint="default" w:ascii="Times New Roman" w:hAnsi="Times New Roman" w:eastAsia="宋体" w:cs="Times New Roman"/>
                      <w:smallCaps w:val="0"/>
                      <w:color w:val="auto"/>
                      <w:spacing w:val="0"/>
                      <w:sz w:val="21"/>
                      <w:szCs w:val="21"/>
                      <w:highlight w:val="none"/>
                      <w:lang w:val="en-US" w:eastAsia="zh-CN"/>
                    </w:rPr>
                    <w:t>8</w:t>
                  </w:r>
                  <w:r>
                    <w:rPr>
                      <w:rFonts w:hint="eastAsia" w:ascii="Times New Roman" w:hAnsi="Times New Roman" w:eastAsia="宋体" w:cs="Times New Roman"/>
                      <w:smallCaps w:val="0"/>
                      <w:color w:val="auto"/>
                      <w:spacing w:val="0"/>
                      <w:sz w:val="21"/>
                      <w:szCs w:val="21"/>
                      <w:highlight w:val="none"/>
                      <w:lang w:val="en-US" w:eastAsia="zh-CN"/>
                    </w:rPr>
                    <w:t>.1</w:t>
                  </w:r>
                </w:p>
              </w:tc>
              <w:tc>
                <w:tcPr>
                  <w:tcW w:w="658" w:type="pct"/>
                  <w:tcBorders>
                    <w:tl2br w:val="nil"/>
                    <w:tr2bl w:val="nil"/>
                  </w:tcBorders>
                  <w:noWrap w:val="0"/>
                  <w:tcMar>
                    <w:top w:w="0" w:type="dxa"/>
                    <w:left w:w="28" w:type="dxa"/>
                    <w:bottom w:w="0" w:type="dxa"/>
                    <w:right w:w="28" w:type="dxa"/>
                  </w:tcMar>
                  <w:vAlign w:val="center"/>
                </w:tcPr>
                <w:p w14:paraId="078B49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56.7</w:t>
                  </w:r>
                </w:p>
              </w:tc>
              <w:tc>
                <w:tcPr>
                  <w:tcW w:w="677" w:type="pct"/>
                  <w:tcBorders>
                    <w:tl2br w:val="nil"/>
                    <w:tr2bl w:val="nil"/>
                  </w:tcBorders>
                  <w:noWrap w:val="0"/>
                  <w:tcMar>
                    <w:top w:w="0" w:type="dxa"/>
                    <w:left w:w="28" w:type="dxa"/>
                    <w:bottom w:w="0" w:type="dxa"/>
                    <w:right w:w="28" w:type="dxa"/>
                  </w:tcMar>
                  <w:vAlign w:val="center"/>
                </w:tcPr>
                <w:p w14:paraId="5155F3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8</w:t>
                  </w:r>
                </w:p>
              </w:tc>
            </w:tr>
          </w:tbl>
          <w:p w14:paraId="352B4E5A">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排气筒设置可行性分析</w:t>
            </w:r>
          </w:p>
          <w:p w14:paraId="20097D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根据《大气污染物综合排放标准》（DB32/4041-2021）：排气筒高度应按环境影响评价要求确定，且至少不低于15m。排污单位内部有多根排放同一种污染物的排气筒时，若两根排气筒距离小于其高度之和，应合并视为一根等效排气筒。若有三根以上的近距离排气筒，且均排放同一污染物时，应以前两根的等效排气筒，依次与第三、第四根排气筒取得等效值。</w:t>
            </w:r>
            <w:r>
              <w:rPr>
                <w:rFonts w:hint="eastAsia" w:ascii="Times New Roman" w:hAnsi="Times New Roman" w:eastAsia="宋体" w:cs="Times New Roman"/>
                <w:b w:val="0"/>
                <w:bCs/>
                <w:color w:val="auto"/>
                <w:sz w:val="24"/>
                <w:highlight w:val="none"/>
                <w:lang w:val="en-US" w:eastAsia="zh-CN"/>
              </w:rPr>
              <w:t>根据《工业涂装工序大气污染物排放标准》(DB32/4439-2022)：除因安全考虑或有特殊工艺要求的以外,排气筒高度不应低于15 m,具体高度以及与周围建筑物的相关高度关系应根据环境影响评价文件确定。</w:t>
            </w:r>
            <w:r>
              <w:rPr>
                <w:rFonts w:hint="default" w:ascii="Times New Roman" w:hAnsi="Times New Roman" w:eastAsia="宋体" w:cs="Times New Roman"/>
                <w:b w:val="0"/>
                <w:bCs/>
                <w:color w:val="auto"/>
                <w:sz w:val="24"/>
                <w:highlight w:val="none"/>
                <w:lang w:val="en-US" w:eastAsia="zh-CN"/>
              </w:rPr>
              <w:t>根据《工业炉窑大气污染物排放标准 》（DB32_3728-2020）：当排气筒周围半径200 m距离内有建筑物时，排气筒还应高出最高建筑物</w:t>
            </w:r>
            <w:r>
              <w:rPr>
                <w:rFonts w:hint="eastAsia" w:ascii="Times New Roman" w:hAnsi="Times New Roman" w:eastAsia="宋体"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lang w:val="en-US" w:eastAsia="zh-CN"/>
              </w:rPr>
              <w:t>m以上。</w:t>
            </w:r>
            <w:r>
              <w:rPr>
                <w:rFonts w:hint="eastAsia" w:ascii="Times New Roman" w:hAnsi="Times New Roman" w:eastAsia="宋体" w:cs="Times New Roman"/>
                <w:b w:val="0"/>
                <w:bCs/>
                <w:color w:val="auto"/>
                <w:sz w:val="24"/>
                <w:highlight w:val="none"/>
                <w:lang w:val="en-US" w:eastAsia="zh-CN"/>
              </w:rPr>
              <w:t>本</w:t>
            </w:r>
            <w:r>
              <w:rPr>
                <w:rFonts w:hint="default" w:ascii="Times New Roman" w:hAnsi="Times New Roman" w:eastAsia="宋体" w:cs="Times New Roman"/>
                <w:b w:val="0"/>
                <w:bCs/>
                <w:color w:val="auto"/>
                <w:sz w:val="24"/>
                <w:highlight w:val="none"/>
                <w:lang w:val="en-US" w:eastAsia="zh-CN"/>
              </w:rPr>
              <w:t>项目共设置</w:t>
            </w:r>
            <w:r>
              <w:rPr>
                <w:rFonts w:hint="eastAsia" w:ascii="Times New Roman" w:hAnsi="Times New Roman" w:eastAsia="宋体"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lang w:val="en-US" w:eastAsia="zh-CN"/>
              </w:rPr>
              <w:t>根排气筒，且</w:t>
            </w:r>
            <w:r>
              <w:rPr>
                <w:rFonts w:hint="eastAsia" w:ascii="Times New Roman" w:hAnsi="Times New Roman" w:eastAsia="宋体" w:cs="Times New Roman"/>
                <w:b w:val="0"/>
                <w:bCs/>
                <w:color w:val="auto"/>
                <w:sz w:val="24"/>
                <w:highlight w:val="none"/>
                <w:lang w:val="en-US" w:eastAsia="zh-CN"/>
              </w:rPr>
              <w:t>FQ-1、FQ-2、FQ-3</w:t>
            </w:r>
            <w:r>
              <w:rPr>
                <w:rFonts w:hint="default" w:ascii="Times New Roman" w:hAnsi="Times New Roman" w:eastAsia="宋体" w:cs="Times New Roman"/>
                <w:b w:val="0"/>
                <w:bCs/>
                <w:color w:val="auto"/>
                <w:sz w:val="24"/>
                <w:highlight w:val="none"/>
                <w:lang w:val="en-US" w:eastAsia="zh-CN"/>
              </w:rPr>
              <w:t>排气筒高度均为</w:t>
            </w:r>
            <w:r>
              <w:rPr>
                <w:rFonts w:hint="eastAsia" w:ascii="Times New Roman" w:hAnsi="Times New Roman" w:eastAsia="宋体" w:cs="Times New Roman"/>
                <w:b w:val="0"/>
                <w:bCs/>
                <w:color w:val="auto"/>
                <w:sz w:val="24"/>
                <w:highlight w:val="none"/>
                <w:lang w:val="en-US" w:eastAsia="zh-CN"/>
              </w:rPr>
              <w:t>25</w:t>
            </w:r>
            <w:r>
              <w:rPr>
                <w:rFonts w:hint="default" w:ascii="Times New Roman" w:hAnsi="Times New Roman" w:eastAsia="宋体" w:cs="Times New Roman"/>
                <w:b w:val="0"/>
                <w:bCs/>
                <w:color w:val="auto"/>
                <w:sz w:val="24"/>
                <w:highlight w:val="none"/>
                <w:lang w:val="en-US" w:eastAsia="zh-CN"/>
              </w:rPr>
              <w:t>m，因此，符合《大气污染物综合排放标准》（DB32/4041-2021）</w:t>
            </w:r>
            <w:r>
              <w:rPr>
                <w:rFonts w:hint="eastAsia" w:ascii="Times New Roman" w:hAnsi="Times New Roman" w:eastAsia="宋体" w:cs="Times New Roman"/>
                <w:b w:val="0"/>
                <w:bCs/>
                <w:color w:val="auto"/>
                <w:sz w:val="24"/>
                <w:highlight w:val="none"/>
                <w:lang w:val="en-US" w:eastAsia="zh-CN"/>
              </w:rPr>
              <w:t>、《工业涂装工序大气污染物排放标准》(DB32/4439-2022)、</w:t>
            </w:r>
            <w:r>
              <w:rPr>
                <w:rFonts w:hint="default" w:ascii="Times New Roman" w:hAnsi="Times New Roman" w:eastAsia="宋体" w:cs="Times New Roman"/>
                <w:b w:val="0"/>
                <w:bCs/>
                <w:color w:val="auto"/>
                <w:sz w:val="24"/>
                <w:highlight w:val="none"/>
                <w:lang w:val="en-US" w:eastAsia="zh-CN"/>
              </w:rPr>
              <w:t>《工业炉窑大气污染物排放标准》（DB32_3728-2020）标准要求。</w:t>
            </w:r>
          </w:p>
          <w:p w14:paraId="5AFD9A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highlight w:val="none"/>
                <w:lang w:val="en-US" w:eastAsia="zh-CN"/>
              </w:rPr>
              <w:t>7.</w:t>
            </w:r>
            <w:r>
              <w:rPr>
                <w:rFonts w:hint="default" w:ascii="Times New Roman" w:hAnsi="Times New Roman" w:eastAsia="宋体" w:cs="Times New Roman"/>
                <w:b/>
                <w:bCs w:val="0"/>
                <w:color w:val="auto"/>
                <w:sz w:val="24"/>
                <w:highlight w:val="none"/>
              </w:rPr>
              <w:t>监测计划</w:t>
            </w:r>
          </w:p>
          <w:p w14:paraId="3210CE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8"/>
                <w:szCs w:val="28"/>
                <w:highlight w:val="none"/>
              </w:rPr>
            </w:pPr>
            <w:r>
              <w:rPr>
                <w:rFonts w:hint="default" w:ascii="Times New Roman" w:hAnsi="Times New Roman" w:eastAsia="宋体" w:cs="Times New Roman"/>
                <w:color w:val="auto"/>
                <w:sz w:val="24"/>
                <w:highlight w:val="none"/>
                <w:lang w:val="en-US" w:eastAsia="zh-CN"/>
              </w:rPr>
              <w:t>参照《排污单位自行监测技术指南总则》（HJ819-2017）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《排污许可证申请与核发技术规范 总则》（HJ 942-2018）</w:t>
            </w:r>
            <w:r>
              <w:rPr>
                <w:rFonts w:hint="default" w:ascii="Times New Roman" w:hAnsi="Times New Roman" w:eastAsia="宋体" w:cs="Times New Roman"/>
                <w:color w:val="auto"/>
                <w:sz w:val="24"/>
                <w:highlight w:val="none"/>
                <w:lang w:val="en-US" w:eastAsia="zh-CN"/>
              </w:rPr>
              <w:t>中相关要求，项目废气自行监测方案见下表。</w:t>
            </w:r>
          </w:p>
          <w:p w14:paraId="1F689272">
            <w:pPr>
              <w:adjustRightInd w:val="0"/>
              <w:snapToGrid w:val="0"/>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rPr>
              <w:t xml:space="preserve">  建设项目运营期废气监测计划表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7"/>
              <w:gridCol w:w="467"/>
              <w:gridCol w:w="1325"/>
              <w:gridCol w:w="1163"/>
              <w:gridCol w:w="889"/>
              <w:gridCol w:w="2030"/>
              <w:gridCol w:w="529"/>
              <w:gridCol w:w="1547"/>
            </w:tblGrid>
            <w:tr w14:paraId="675E3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3" w:type="pct"/>
                  <w:tcBorders>
                    <w:tl2br w:val="nil"/>
                    <w:tr2bl w:val="nil"/>
                  </w:tcBorders>
                  <w:vAlign w:val="center"/>
                </w:tcPr>
                <w:p w14:paraId="227800B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281" w:type="pct"/>
                  <w:tcBorders>
                    <w:tl2br w:val="nil"/>
                    <w:tr2bl w:val="nil"/>
                  </w:tcBorders>
                  <w:shd w:val="clear" w:color="auto" w:fill="auto"/>
                  <w:vAlign w:val="center"/>
                </w:tcPr>
                <w:p w14:paraId="33D38B9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799" w:type="pct"/>
                  <w:tcBorders>
                    <w:tl2br w:val="nil"/>
                    <w:tr2bl w:val="nil"/>
                  </w:tcBorders>
                  <w:shd w:val="clear" w:color="auto" w:fill="auto"/>
                  <w:vAlign w:val="center"/>
                </w:tcPr>
                <w:p w14:paraId="66E6CC7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监测位置</w:t>
                  </w:r>
                </w:p>
              </w:tc>
              <w:tc>
                <w:tcPr>
                  <w:tcW w:w="701" w:type="pct"/>
                  <w:tcBorders>
                    <w:tl2br w:val="nil"/>
                    <w:tr2bl w:val="nil"/>
                  </w:tcBorders>
                  <w:shd w:val="clear" w:color="auto" w:fill="auto"/>
                  <w:vAlign w:val="center"/>
                </w:tcPr>
                <w:p w14:paraId="67D9D63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536" w:type="pct"/>
                  <w:tcBorders>
                    <w:tl2br w:val="nil"/>
                    <w:tr2bl w:val="nil"/>
                  </w:tcBorders>
                  <w:shd w:val="clear" w:color="auto" w:fill="auto"/>
                  <w:vAlign w:val="center"/>
                </w:tcPr>
                <w:p w14:paraId="1C21A7B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监测频率</w:t>
                  </w:r>
                </w:p>
              </w:tc>
              <w:tc>
                <w:tcPr>
                  <w:tcW w:w="1224" w:type="pct"/>
                  <w:tcBorders>
                    <w:tl2br w:val="nil"/>
                    <w:tr2bl w:val="nil"/>
                  </w:tcBorders>
                  <w:vAlign w:val="center"/>
                </w:tcPr>
                <w:p w14:paraId="3F78AE56">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c>
                <w:tcPr>
                  <w:tcW w:w="319" w:type="pct"/>
                  <w:tcBorders>
                    <w:tl2br w:val="nil"/>
                    <w:tr2bl w:val="nil"/>
                  </w:tcBorders>
                  <w:shd w:val="clear" w:color="auto" w:fill="auto"/>
                  <w:vAlign w:val="center"/>
                </w:tcPr>
                <w:p w14:paraId="468B2006">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监测方法</w:t>
                  </w:r>
                </w:p>
              </w:tc>
              <w:tc>
                <w:tcPr>
                  <w:tcW w:w="933" w:type="pct"/>
                  <w:tcBorders>
                    <w:tl2br w:val="nil"/>
                    <w:tr2bl w:val="nil"/>
                  </w:tcBorders>
                  <w:vAlign w:val="center"/>
                </w:tcPr>
                <w:p w14:paraId="343969B5">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依据</w:t>
                  </w:r>
                </w:p>
              </w:tc>
            </w:tr>
            <w:tr w14:paraId="3A282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restart"/>
                  <w:tcBorders>
                    <w:tl2br w:val="nil"/>
                    <w:tr2bl w:val="nil"/>
                  </w:tcBorders>
                  <w:vAlign w:val="center"/>
                </w:tcPr>
                <w:p w14:paraId="185DE6A3">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营运期</w:t>
                  </w:r>
                </w:p>
              </w:tc>
              <w:tc>
                <w:tcPr>
                  <w:tcW w:w="281" w:type="pct"/>
                  <w:vMerge w:val="restart"/>
                  <w:tcBorders>
                    <w:tl2br w:val="nil"/>
                    <w:tr2bl w:val="nil"/>
                  </w:tcBorders>
                  <w:shd w:val="clear" w:color="auto" w:fill="auto"/>
                  <w:vAlign w:val="center"/>
                </w:tcPr>
                <w:p w14:paraId="6FD2C5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99" w:type="pct"/>
                  <w:tcBorders>
                    <w:tl2br w:val="nil"/>
                    <w:tr2bl w:val="nil"/>
                  </w:tcBorders>
                  <w:shd w:val="clear" w:color="auto" w:fill="auto"/>
                  <w:vAlign w:val="center"/>
                </w:tcPr>
                <w:p w14:paraId="5F8C7304">
                  <w:pPr>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FQ-1排气筒</w:t>
                  </w:r>
                </w:p>
              </w:tc>
              <w:tc>
                <w:tcPr>
                  <w:tcW w:w="701" w:type="pct"/>
                  <w:tcBorders>
                    <w:tl2br w:val="nil"/>
                    <w:tr2bl w:val="nil"/>
                  </w:tcBorders>
                  <w:shd w:val="clear" w:color="auto" w:fill="auto"/>
                  <w:vAlign w:val="center"/>
                </w:tcPr>
                <w:p w14:paraId="0C084AA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36" w:type="pct"/>
                  <w:tcBorders>
                    <w:tl2br w:val="nil"/>
                    <w:tr2bl w:val="nil"/>
                  </w:tcBorders>
                  <w:shd w:val="clear" w:color="auto" w:fill="auto"/>
                  <w:vAlign w:val="center"/>
                </w:tcPr>
                <w:p w14:paraId="6BED8F13">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tcBorders>
                    <w:tl2br w:val="nil"/>
                    <w:tr2bl w:val="nil"/>
                  </w:tcBorders>
                  <w:vAlign w:val="center"/>
                </w:tcPr>
                <w:p w14:paraId="18F20D7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319" w:type="pct"/>
                  <w:vMerge w:val="restart"/>
                  <w:tcBorders>
                    <w:tl2br w:val="nil"/>
                    <w:tr2bl w:val="nil"/>
                  </w:tcBorders>
                  <w:shd w:val="clear" w:color="auto" w:fill="auto"/>
                  <w:vAlign w:val="center"/>
                </w:tcPr>
                <w:p w14:paraId="16D2301C">
                  <w:pPr>
                    <w:spacing w:line="2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Cs/>
                      <w:color w:val="auto"/>
                      <w:sz w:val="21"/>
                      <w:szCs w:val="21"/>
                      <w:highlight w:val="none"/>
                    </w:rPr>
                    <w:t>采用国家规定最新监测方法与标准</w:t>
                  </w:r>
                </w:p>
              </w:tc>
              <w:tc>
                <w:tcPr>
                  <w:tcW w:w="933" w:type="pct"/>
                  <w:vMerge w:val="restart"/>
                  <w:tcBorders>
                    <w:tl2br w:val="nil"/>
                    <w:tr2bl w:val="nil"/>
                  </w:tcBorders>
                  <w:vAlign w:val="center"/>
                </w:tcPr>
                <w:p w14:paraId="6D9D6504">
                  <w:pPr>
                    <w:spacing w:line="2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《排污单位自行监测技术指南总则》（HJ819-2017）</w:t>
                  </w:r>
                </w:p>
              </w:tc>
            </w:tr>
            <w:tr w14:paraId="390D7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42C4E607">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5CB5EF06">
                  <w:pPr>
                    <w:jc w:val="center"/>
                    <w:rPr>
                      <w:rFonts w:hint="default" w:ascii="Times New Roman" w:hAnsi="Times New Roman" w:eastAsia="宋体" w:cs="Times New Roman"/>
                      <w:color w:val="auto"/>
                      <w:sz w:val="21"/>
                      <w:szCs w:val="21"/>
                      <w:highlight w:val="none"/>
                    </w:rPr>
                  </w:pPr>
                </w:p>
              </w:tc>
              <w:tc>
                <w:tcPr>
                  <w:tcW w:w="799" w:type="pct"/>
                  <w:vMerge w:val="restart"/>
                  <w:tcBorders>
                    <w:tl2br w:val="nil"/>
                    <w:tr2bl w:val="nil"/>
                  </w:tcBorders>
                  <w:shd w:val="clear" w:color="auto" w:fill="auto"/>
                  <w:vAlign w:val="center"/>
                </w:tcPr>
                <w:p w14:paraId="54FC3DA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FQ-2排气筒</w:t>
                  </w:r>
                </w:p>
              </w:tc>
              <w:tc>
                <w:tcPr>
                  <w:tcW w:w="701" w:type="pct"/>
                  <w:tcBorders>
                    <w:tl2br w:val="nil"/>
                    <w:tr2bl w:val="nil"/>
                  </w:tcBorders>
                  <w:shd w:val="clear" w:color="auto" w:fill="auto"/>
                  <w:vAlign w:val="center"/>
                </w:tcPr>
                <w:p w14:paraId="4EE502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536" w:type="pct"/>
                  <w:tcBorders>
                    <w:tl2br w:val="nil"/>
                    <w:tr2bl w:val="nil"/>
                  </w:tcBorders>
                  <w:shd w:val="clear" w:color="auto" w:fill="auto"/>
                  <w:vAlign w:val="center"/>
                </w:tcPr>
                <w:p w14:paraId="29E5ECAE">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224" w:type="pct"/>
                  <w:vMerge w:val="restart"/>
                  <w:tcBorders>
                    <w:tl2br w:val="nil"/>
                    <w:tr2bl w:val="nil"/>
                  </w:tcBorders>
                  <w:vAlign w:val="center"/>
                </w:tcPr>
                <w:p w14:paraId="1045E79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《工业炉窑大气污染物排放标准》(DB32/3728-2020)表1</w:t>
                  </w:r>
                </w:p>
              </w:tc>
              <w:tc>
                <w:tcPr>
                  <w:tcW w:w="319" w:type="pct"/>
                  <w:vMerge w:val="continue"/>
                  <w:tcBorders>
                    <w:tl2br w:val="nil"/>
                    <w:tr2bl w:val="nil"/>
                  </w:tcBorders>
                  <w:shd w:val="clear" w:color="auto" w:fill="auto"/>
                  <w:vAlign w:val="center"/>
                </w:tcPr>
                <w:p w14:paraId="2B4830A6">
                  <w:pPr>
                    <w:spacing w:line="240" w:lineRule="exact"/>
                    <w:jc w:val="center"/>
                    <w:rPr>
                      <w:rFonts w:hint="default" w:ascii="Times New Roman" w:hAnsi="Times New Roman" w:eastAsia="宋体" w:cs="Times New Roman"/>
                      <w:b/>
                      <w:color w:val="auto"/>
                      <w:sz w:val="21"/>
                      <w:szCs w:val="21"/>
                      <w:highlight w:val="none"/>
                    </w:rPr>
                  </w:pPr>
                </w:p>
              </w:tc>
              <w:tc>
                <w:tcPr>
                  <w:tcW w:w="933" w:type="pct"/>
                  <w:vMerge w:val="continue"/>
                  <w:tcBorders>
                    <w:tl2br w:val="nil"/>
                    <w:tr2bl w:val="nil"/>
                  </w:tcBorders>
                  <w:vAlign w:val="center"/>
                </w:tcPr>
                <w:p w14:paraId="6293C568">
                  <w:pPr>
                    <w:spacing w:line="240" w:lineRule="exact"/>
                    <w:jc w:val="center"/>
                    <w:rPr>
                      <w:rFonts w:hint="default" w:ascii="Times New Roman" w:hAnsi="Times New Roman" w:eastAsia="宋体" w:cs="Times New Roman"/>
                      <w:b/>
                      <w:color w:val="auto"/>
                      <w:sz w:val="21"/>
                      <w:szCs w:val="21"/>
                      <w:highlight w:val="none"/>
                    </w:rPr>
                  </w:pPr>
                </w:p>
              </w:tc>
            </w:tr>
            <w:tr w14:paraId="74573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1153C032">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3559B966">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415107A6">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6CB0DD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536" w:type="pct"/>
                  <w:tcBorders>
                    <w:tl2br w:val="nil"/>
                    <w:tr2bl w:val="nil"/>
                  </w:tcBorders>
                  <w:shd w:val="clear" w:color="auto" w:fill="auto"/>
                  <w:vAlign w:val="center"/>
                </w:tcPr>
                <w:p w14:paraId="354B55C9">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224" w:type="pct"/>
                  <w:vMerge w:val="continue"/>
                  <w:tcBorders>
                    <w:tl2br w:val="nil"/>
                    <w:tr2bl w:val="nil"/>
                  </w:tcBorders>
                  <w:vAlign w:val="center"/>
                </w:tcPr>
                <w:p w14:paraId="2485EA6B">
                  <w:pPr>
                    <w:snapToGrid w:val="0"/>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046EAE07">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472E186F">
                  <w:pPr>
                    <w:spacing w:line="240" w:lineRule="exact"/>
                    <w:jc w:val="center"/>
                    <w:rPr>
                      <w:rFonts w:hint="default" w:ascii="Times New Roman" w:hAnsi="Times New Roman" w:eastAsia="宋体" w:cs="Times New Roman"/>
                      <w:bCs/>
                      <w:color w:val="auto"/>
                      <w:sz w:val="21"/>
                      <w:szCs w:val="21"/>
                      <w:highlight w:val="none"/>
                    </w:rPr>
                  </w:pPr>
                </w:p>
              </w:tc>
            </w:tr>
            <w:tr w14:paraId="2C967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531DEC25">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5048AAFF">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77157CEC">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4B04E8B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烟气黑度</w:t>
                  </w:r>
                </w:p>
              </w:tc>
              <w:tc>
                <w:tcPr>
                  <w:tcW w:w="536" w:type="pct"/>
                  <w:tcBorders>
                    <w:tl2br w:val="nil"/>
                    <w:tr2bl w:val="nil"/>
                  </w:tcBorders>
                  <w:shd w:val="clear" w:color="auto" w:fill="auto"/>
                  <w:vAlign w:val="center"/>
                </w:tcPr>
                <w:p w14:paraId="2B6E1729">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vMerge w:val="continue"/>
                  <w:tcBorders>
                    <w:tl2br w:val="nil"/>
                    <w:tr2bl w:val="nil"/>
                  </w:tcBorders>
                  <w:vAlign w:val="center"/>
                </w:tcPr>
                <w:p w14:paraId="23D74F68">
                  <w:pPr>
                    <w:snapToGrid w:val="0"/>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7E77C421">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6D02253E">
                  <w:pPr>
                    <w:spacing w:line="240" w:lineRule="exact"/>
                    <w:jc w:val="center"/>
                    <w:rPr>
                      <w:rFonts w:hint="default" w:ascii="Times New Roman" w:hAnsi="Times New Roman" w:eastAsia="宋体" w:cs="Times New Roman"/>
                      <w:bCs/>
                      <w:color w:val="auto"/>
                      <w:sz w:val="21"/>
                      <w:szCs w:val="21"/>
                      <w:highlight w:val="none"/>
                    </w:rPr>
                  </w:pPr>
                </w:p>
              </w:tc>
            </w:tr>
            <w:tr w14:paraId="36B0E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27B6696F">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7C3B76F1">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58C91CFB">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18A8CBB4">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颗粒物</w:t>
                  </w:r>
                </w:p>
              </w:tc>
              <w:tc>
                <w:tcPr>
                  <w:tcW w:w="536" w:type="pct"/>
                  <w:tcBorders>
                    <w:tl2br w:val="nil"/>
                    <w:tr2bl w:val="nil"/>
                  </w:tcBorders>
                  <w:shd w:val="clear" w:color="auto" w:fill="auto"/>
                  <w:vAlign w:val="center"/>
                </w:tcPr>
                <w:p w14:paraId="4820A625">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224" w:type="pct"/>
                  <w:vMerge w:val="continue"/>
                  <w:tcBorders>
                    <w:tl2br w:val="nil"/>
                    <w:tr2bl w:val="nil"/>
                  </w:tcBorders>
                  <w:vAlign w:val="center"/>
                </w:tcPr>
                <w:p w14:paraId="520CEF99">
                  <w:pPr>
                    <w:snapToGrid w:val="0"/>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3E67EAAF">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42B8860F">
                  <w:pPr>
                    <w:spacing w:line="240" w:lineRule="exact"/>
                    <w:jc w:val="center"/>
                    <w:rPr>
                      <w:rFonts w:hint="default" w:ascii="Times New Roman" w:hAnsi="Times New Roman" w:eastAsia="宋体" w:cs="Times New Roman"/>
                      <w:bCs/>
                      <w:color w:val="auto"/>
                      <w:sz w:val="21"/>
                      <w:szCs w:val="21"/>
                      <w:highlight w:val="none"/>
                    </w:rPr>
                  </w:pPr>
                </w:p>
              </w:tc>
            </w:tr>
            <w:tr w14:paraId="16418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635325A9">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0C6CD700">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42163CFA">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7B9EB0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536" w:type="pct"/>
                  <w:tcBorders>
                    <w:tl2br w:val="nil"/>
                    <w:tr2bl w:val="nil"/>
                  </w:tcBorders>
                  <w:shd w:val="clear" w:color="auto" w:fill="auto"/>
                  <w:vAlign w:val="center"/>
                </w:tcPr>
                <w:p w14:paraId="2EF359F9">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224" w:type="pct"/>
                  <w:tcBorders>
                    <w:tl2br w:val="nil"/>
                    <w:tr2bl w:val="nil"/>
                  </w:tcBorders>
                  <w:vAlign w:val="center"/>
                </w:tcPr>
                <w:p w14:paraId="39260EB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319" w:type="pct"/>
                  <w:vMerge w:val="continue"/>
                  <w:tcBorders>
                    <w:tl2br w:val="nil"/>
                    <w:tr2bl w:val="nil"/>
                  </w:tcBorders>
                  <w:shd w:val="clear" w:color="auto" w:fill="auto"/>
                  <w:vAlign w:val="center"/>
                </w:tcPr>
                <w:p w14:paraId="37EF603A">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2FB05E04">
                  <w:pPr>
                    <w:spacing w:line="240" w:lineRule="exact"/>
                    <w:jc w:val="center"/>
                    <w:rPr>
                      <w:rFonts w:hint="default" w:ascii="Times New Roman" w:hAnsi="Times New Roman" w:eastAsia="宋体" w:cs="Times New Roman"/>
                      <w:bCs/>
                      <w:color w:val="auto"/>
                      <w:sz w:val="21"/>
                      <w:szCs w:val="21"/>
                      <w:highlight w:val="none"/>
                    </w:rPr>
                  </w:pPr>
                </w:p>
              </w:tc>
            </w:tr>
            <w:tr w14:paraId="29CDD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39265EED">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6659F13E">
                  <w:pPr>
                    <w:jc w:val="center"/>
                    <w:rPr>
                      <w:rFonts w:hint="default" w:ascii="Times New Roman" w:hAnsi="Times New Roman" w:eastAsia="宋体" w:cs="Times New Roman"/>
                      <w:color w:val="auto"/>
                      <w:sz w:val="21"/>
                      <w:szCs w:val="21"/>
                      <w:highlight w:val="none"/>
                    </w:rPr>
                  </w:pPr>
                </w:p>
              </w:tc>
              <w:tc>
                <w:tcPr>
                  <w:tcW w:w="799" w:type="pct"/>
                  <w:tcBorders>
                    <w:tl2br w:val="nil"/>
                    <w:tr2bl w:val="nil"/>
                  </w:tcBorders>
                  <w:shd w:val="clear" w:color="auto" w:fill="auto"/>
                  <w:vAlign w:val="center"/>
                </w:tcPr>
                <w:p w14:paraId="6BDECE3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FQ-3排气筒</w:t>
                  </w:r>
                </w:p>
              </w:tc>
              <w:tc>
                <w:tcPr>
                  <w:tcW w:w="701" w:type="pct"/>
                  <w:tcBorders>
                    <w:tl2br w:val="nil"/>
                    <w:tr2bl w:val="nil"/>
                  </w:tcBorders>
                  <w:shd w:val="clear" w:color="auto" w:fill="auto"/>
                  <w:vAlign w:val="center"/>
                </w:tcPr>
                <w:p w14:paraId="18C670E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36" w:type="pct"/>
                  <w:tcBorders>
                    <w:tl2br w:val="nil"/>
                    <w:tr2bl w:val="nil"/>
                  </w:tcBorders>
                  <w:shd w:val="clear" w:color="auto" w:fill="auto"/>
                  <w:vAlign w:val="center"/>
                </w:tcPr>
                <w:p w14:paraId="34366163">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tcBorders>
                    <w:tl2br w:val="nil"/>
                    <w:tr2bl w:val="nil"/>
                  </w:tcBorders>
                  <w:vAlign w:val="center"/>
                </w:tcPr>
                <w:p w14:paraId="486D60E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《大气污染物综合排放标准》(DB32/4041-2021)表1</w:t>
                  </w:r>
                </w:p>
              </w:tc>
              <w:tc>
                <w:tcPr>
                  <w:tcW w:w="319" w:type="pct"/>
                  <w:vMerge w:val="continue"/>
                  <w:tcBorders>
                    <w:tl2br w:val="nil"/>
                    <w:tr2bl w:val="nil"/>
                  </w:tcBorders>
                  <w:shd w:val="clear" w:color="auto" w:fill="auto"/>
                  <w:vAlign w:val="center"/>
                </w:tcPr>
                <w:p w14:paraId="5415664B">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500FF1E0">
                  <w:pPr>
                    <w:spacing w:line="240" w:lineRule="exact"/>
                    <w:jc w:val="center"/>
                    <w:rPr>
                      <w:rFonts w:hint="default" w:ascii="Times New Roman" w:hAnsi="Times New Roman" w:eastAsia="宋体" w:cs="Times New Roman"/>
                      <w:bCs/>
                      <w:color w:val="auto"/>
                      <w:sz w:val="21"/>
                      <w:szCs w:val="21"/>
                      <w:highlight w:val="none"/>
                    </w:rPr>
                  </w:pPr>
                </w:p>
              </w:tc>
            </w:tr>
            <w:tr w14:paraId="3D470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3" w:type="pct"/>
                  <w:vMerge w:val="continue"/>
                  <w:tcBorders>
                    <w:tl2br w:val="nil"/>
                    <w:tr2bl w:val="nil"/>
                  </w:tcBorders>
                  <w:vAlign w:val="center"/>
                </w:tcPr>
                <w:p w14:paraId="1830A94D">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6021EBA3">
                  <w:pPr>
                    <w:jc w:val="center"/>
                    <w:rPr>
                      <w:rFonts w:hint="default" w:ascii="Times New Roman" w:hAnsi="Times New Roman" w:eastAsia="宋体" w:cs="Times New Roman"/>
                      <w:color w:val="auto"/>
                      <w:sz w:val="21"/>
                      <w:szCs w:val="21"/>
                      <w:highlight w:val="none"/>
                    </w:rPr>
                  </w:pPr>
                </w:p>
              </w:tc>
              <w:tc>
                <w:tcPr>
                  <w:tcW w:w="799" w:type="pct"/>
                  <w:vMerge w:val="restart"/>
                  <w:tcBorders>
                    <w:tl2br w:val="nil"/>
                    <w:tr2bl w:val="nil"/>
                  </w:tcBorders>
                  <w:shd w:val="clear" w:color="auto" w:fill="auto"/>
                  <w:vAlign w:val="center"/>
                </w:tcPr>
                <w:p w14:paraId="66FE7A53">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厂界外1m范围内上风向1个点，下风向3个点</w:t>
                  </w:r>
                </w:p>
              </w:tc>
              <w:tc>
                <w:tcPr>
                  <w:tcW w:w="701" w:type="pct"/>
                  <w:tcBorders>
                    <w:tl2br w:val="nil"/>
                    <w:tr2bl w:val="nil"/>
                  </w:tcBorders>
                  <w:shd w:val="clear" w:color="auto" w:fill="auto"/>
                  <w:vAlign w:val="center"/>
                </w:tcPr>
                <w:p w14:paraId="5AC4CD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36" w:type="pct"/>
                  <w:vMerge w:val="restart"/>
                  <w:tcBorders>
                    <w:tl2br w:val="nil"/>
                    <w:tr2bl w:val="nil"/>
                  </w:tcBorders>
                  <w:shd w:val="clear" w:color="auto" w:fill="auto"/>
                  <w:vAlign w:val="center"/>
                </w:tcPr>
                <w:p w14:paraId="5CF14644">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vMerge w:val="restart"/>
                  <w:tcBorders>
                    <w:tl2br w:val="nil"/>
                    <w:tr2bl w:val="nil"/>
                  </w:tcBorders>
                  <w:vAlign w:val="center"/>
                </w:tcPr>
                <w:p w14:paraId="250794D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《大气污染物综合排放标准》（DB32/4041-2021）表</w:t>
                  </w:r>
                  <w:r>
                    <w:rPr>
                      <w:rFonts w:hint="eastAsia" w:ascii="Times New Roman" w:hAnsi="Times New Roman" w:eastAsia="宋体" w:cs="Times New Roman"/>
                      <w:color w:val="auto"/>
                      <w:sz w:val="21"/>
                      <w:szCs w:val="21"/>
                      <w:highlight w:val="none"/>
                      <w:lang w:val="en-US" w:eastAsia="zh-CN"/>
                    </w:rPr>
                    <w:t>3</w:t>
                  </w:r>
                </w:p>
              </w:tc>
              <w:tc>
                <w:tcPr>
                  <w:tcW w:w="319" w:type="pct"/>
                  <w:vMerge w:val="continue"/>
                  <w:tcBorders>
                    <w:tl2br w:val="nil"/>
                    <w:tr2bl w:val="nil"/>
                  </w:tcBorders>
                  <w:shd w:val="clear" w:color="auto" w:fill="auto"/>
                  <w:vAlign w:val="center"/>
                </w:tcPr>
                <w:p w14:paraId="6E37550D">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5CD8DDD8">
                  <w:pPr>
                    <w:spacing w:line="240" w:lineRule="exact"/>
                    <w:jc w:val="center"/>
                    <w:rPr>
                      <w:rFonts w:hint="default" w:ascii="Times New Roman" w:hAnsi="Times New Roman" w:eastAsia="宋体" w:cs="Times New Roman"/>
                      <w:bCs/>
                      <w:color w:val="auto"/>
                      <w:sz w:val="21"/>
                      <w:szCs w:val="21"/>
                      <w:highlight w:val="none"/>
                    </w:rPr>
                  </w:pPr>
                </w:p>
              </w:tc>
            </w:tr>
            <w:tr w14:paraId="201B6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3" w:type="pct"/>
                  <w:vMerge w:val="continue"/>
                  <w:tcBorders>
                    <w:tl2br w:val="nil"/>
                    <w:tr2bl w:val="nil"/>
                  </w:tcBorders>
                  <w:vAlign w:val="center"/>
                </w:tcPr>
                <w:p w14:paraId="2EEA604D">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4D53CAA4">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01CD1EF6">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49F429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536" w:type="pct"/>
                  <w:vMerge w:val="continue"/>
                  <w:tcBorders>
                    <w:tl2br w:val="nil"/>
                    <w:tr2bl w:val="nil"/>
                  </w:tcBorders>
                  <w:shd w:val="clear" w:color="auto" w:fill="auto"/>
                  <w:vAlign w:val="center"/>
                </w:tcPr>
                <w:p w14:paraId="4927D4E1">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224" w:type="pct"/>
                  <w:vMerge w:val="continue"/>
                  <w:tcBorders>
                    <w:tl2br w:val="nil"/>
                    <w:tr2bl w:val="nil"/>
                  </w:tcBorders>
                  <w:vAlign w:val="center"/>
                </w:tcPr>
                <w:p w14:paraId="4A888685">
                  <w:pPr>
                    <w:snapToGrid w:val="0"/>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45031CFF">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7A145A4C">
                  <w:pPr>
                    <w:spacing w:line="240" w:lineRule="exact"/>
                    <w:jc w:val="center"/>
                    <w:rPr>
                      <w:rFonts w:hint="default" w:ascii="Times New Roman" w:hAnsi="Times New Roman" w:eastAsia="宋体" w:cs="Times New Roman"/>
                      <w:bCs/>
                      <w:color w:val="auto"/>
                      <w:sz w:val="21"/>
                      <w:szCs w:val="21"/>
                      <w:highlight w:val="none"/>
                    </w:rPr>
                  </w:pPr>
                </w:p>
              </w:tc>
            </w:tr>
            <w:tr w14:paraId="32FE4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3" w:type="pct"/>
                  <w:vMerge w:val="continue"/>
                  <w:tcBorders>
                    <w:tl2br w:val="nil"/>
                    <w:tr2bl w:val="nil"/>
                  </w:tcBorders>
                  <w:vAlign w:val="center"/>
                </w:tcPr>
                <w:p w14:paraId="1C56079D">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454E2AFD">
                  <w:pPr>
                    <w:jc w:val="center"/>
                    <w:rPr>
                      <w:rFonts w:hint="default" w:ascii="Times New Roman" w:hAnsi="Times New Roman" w:eastAsia="宋体" w:cs="Times New Roman"/>
                      <w:color w:val="auto"/>
                      <w:sz w:val="21"/>
                      <w:szCs w:val="21"/>
                      <w:highlight w:val="none"/>
                    </w:rPr>
                  </w:pPr>
                </w:p>
              </w:tc>
              <w:tc>
                <w:tcPr>
                  <w:tcW w:w="799" w:type="pct"/>
                  <w:vMerge w:val="continue"/>
                  <w:tcBorders>
                    <w:tl2br w:val="nil"/>
                    <w:tr2bl w:val="nil"/>
                  </w:tcBorders>
                  <w:shd w:val="clear" w:color="auto" w:fill="auto"/>
                  <w:vAlign w:val="center"/>
                </w:tcPr>
                <w:p w14:paraId="1F04E618">
                  <w:pPr>
                    <w:jc w:val="center"/>
                    <w:rPr>
                      <w:rFonts w:hint="default" w:ascii="Times New Roman" w:hAnsi="Times New Roman" w:eastAsia="宋体" w:cs="Times New Roman"/>
                      <w:color w:val="auto"/>
                      <w:sz w:val="21"/>
                      <w:szCs w:val="21"/>
                      <w:highlight w:val="none"/>
                    </w:rPr>
                  </w:pPr>
                </w:p>
              </w:tc>
              <w:tc>
                <w:tcPr>
                  <w:tcW w:w="701" w:type="pct"/>
                  <w:tcBorders>
                    <w:tl2br w:val="nil"/>
                    <w:tr2bl w:val="nil"/>
                  </w:tcBorders>
                  <w:shd w:val="clear" w:color="auto" w:fill="auto"/>
                  <w:vAlign w:val="center"/>
                </w:tcPr>
                <w:p w14:paraId="70A0D3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536" w:type="pct"/>
                  <w:vMerge w:val="continue"/>
                  <w:tcBorders>
                    <w:tl2br w:val="nil"/>
                    <w:tr2bl w:val="nil"/>
                  </w:tcBorders>
                  <w:shd w:val="clear" w:color="auto" w:fill="auto"/>
                  <w:vAlign w:val="center"/>
                </w:tcPr>
                <w:p w14:paraId="1C5A70D0">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224" w:type="pct"/>
                  <w:vMerge w:val="continue"/>
                  <w:tcBorders>
                    <w:tl2br w:val="nil"/>
                    <w:tr2bl w:val="nil"/>
                  </w:tcBorders>
                  <w:vAlign w:val="center"/>
                </w:tcPr>
                <w:p w14:paraId="08AE53BB">
                  <w:pPr>
                    <w:snapToGrid w:val="0"/>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1CF2A5BA">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7A1BE1BD">
                  <w:pPr>
                    <w:spacing w:line="240" w:lineRule="exact"/>
                    <w:jc w:val="center"/>
                    <w:rPr>
                      <w:rFonts w:hint="default" w:ascii="Times New Roman" w:hAnsi="Times New Roman" w:eastAsia="宋体" w:cs="Times New Roman"/>
                      <w:bCs/>
                      <w:color w:val="auto"/>
                      <w:sz w:val="21"/>
                      <w:szCs w:val="21"/>
                      <w:highlight w:val="none"/>
                    </w:rPr>
                  </w:pPr>
                </w:p>
              </w:tc>
            </w:tr>
            <w:tr w14:paraId="31A93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3" w:type="pct"/>
                  <w:vMerge w:val="continue"/>
                  <w:tcBorders>
                    <w:tl2br w:val="nil"/>
                    <w:tr2bl w:val="nil"/>
                  </w:tcBorders>
                  <w:vAlign w:val="center"/>
                </w:tcPr>
                <w:p w14:paraId="7C35A21D">
                  <w:pPr>
                    <w:jc w:val="center"/>
                    <w:rPr>
                      <w:color w:val="auto"/>
                      <w:highlight w:val="none"/>
                    </w:rPr>
                  </w:pPr>
                </w:p>
              </w:tc>
              <w:tc>
                <w:tcPr>
                  <w:tcW w:w="281" w:type="pct"/>
                  <w:vMerge w:val="continue"/>
                  <w:tcBorders>
                    <w:tl2br w:val="nil"/>
                    <w:tr2bl w:val="nil"/>
                  </w:tcBorders>
                  <w:shd w:val="clear" w:color="auto" w:fill="auto"/>
                  <w:vAlign w:val="center"/>
                </w:tcPr>
                <w:p w14:paraId="55E44D73">
                  <w:pPr>
                    <w:jc w:val="center"/>
                    <w:rPr>
                      <w:color w:val="auto"/>
                      <w:highlight w:val="none"/>
                    </w:rPr>
                  </w:pPr>
                </w:p>
              </w:tc>
              <w:tc>
                <w:tcPr>
                  <w:tcW w:w="799" w:type="pct"/>
                  <w:vMerge w:val="continue"/>
                  <w:tcBorders>
                    <w:tl2br w:val="nil"/>
                    <w:tr2bl w:val="nil"/>
                  </w:tcBorders>
                  <w:shd w:val="clear" w:color="auto" w:fill="auto"/>
                  <w:vAlign w:val="center"/>
                </w:tcPr>
                <w:p w14:paraId="3B56B2AB">
                  <w:pPr>
                    <w:jc w:val="center"/>
                    <w:rPr>
                      <w:color w:val="auto"/>
                      <w:highlight w:val="none"/>
                    </w:rPr>
                  </w:pPr>
                </w:p>
              </w:tc>
              <w:tc>
                <w:tcPr>
                  <w:tcW w:w="701" w:type="pct"/>
                  <w:tcBorders>
                    <w:tl2br w:val="nil"/>
                    <w:tr2bl w:val="nil"/>
                  </w:tcBorders>
                  <w:shd w:val="clear" w:color="auto" w:fill="auto"/>
                  <w:vAlign w:val="center"/>
                </w:tcPr>
                <w:p w14:paraId="1E1B9DB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536" w:type="pct"/>
                  <w:vMerge w:val="continue"/>
                  <w:tcBorders>
                    <w:tl2br w:val="nil"/>
                    <w:tr2bl w:val="nil"/>
                  </w:tcBorders>
                  <w:shd w:val="clear" w:color="auto" w:fill="auto"/>
                  <w:vAlign w:val="center"/>
                </w:tcPr>
                <w:p w14:paraId="015AEA59">
                  <w:pPr>
                    <w:jc w:val="center"/>
                    <w:rPr>
                      <w:rFonts w:hint="default" w:ascii="Times New Roman" w:hAnsi="Times New Roman" w:eastAsia="宋体" w:cs="Times New Roman"/>
                      <w:color w:val="auto"/>
                      <w:sz w:val="21"/>
                      <w:szCs w:val="21"/>
                      <w:highlight w:val="none"/>
                    </w:rPr>
                  </w:pPr>
                </w:p>
              </w:tc>
              <w:tc>
                <w:tcPr>
                  <w:tcW w:w="1224" w:type="pct"/>
                  <w:vMerge w:val="continue"/>
                  <w:tcBorders>
                    <w:tl2br w:val="nil"/>
                    <w:tr2bl w:val="nil"/>
                  </w:tcBorders>
                  <w:vAlign w:val="center"/>
                </w:tcPr>
                <w:p w14:paraId="510BF196">
                  <w:pPr>
                    <w:jc w:val="center"/>
                    <w:rPr>
                      <w:rFonts w:hint="default" w:ascii="Times New Roman" w:hAnsi="Times New Roman" w:eastAsia="宋体" w:cs="Times New Roman"/>
                      <w:color w:val="auto"/>
                      <w:sz w:val="21"/>
                      <w:szCs w:val="21"/>
                      <w:highlight w:val="none"/>
                    </w:rPr>
                  </w:pPr>
                </w:p>
              </w:tc>
              <w:tc>
                <w:tcPr>
                  <w:tcW w:w="319" w:type="pct"/>
                  <w:vMerge w:val="continue"/>
                  <w:tcBorders>
                    <w:tl2br w:val="nil"/>
                    <w:tr2bl w:val="nil"/>
                  </w:tcBorders>
                  <w:shd w:val="clear" w:color="auto" w:fill="auto"/>
                  <w:vAlign w:val="center"/>
                </w:tcPr>
                <w:p w14:paraId="6F215B44">
                  <w:pPr>
                    <w:jc w:val="center"/>
                    <w:rPr>
                      <w:rFonts w:hint="default" w:ascii="Times New Roman" w:hAnsi="Times New Roman" w:eastAsia="宋体" w:cs="Times New Roman"/>
                      <w:color w:val="auto"/>
                      <w:sz w:val="21"/>
                      <w:szCs w:val="21"/>
                      <w:highlight w:val="none"/>
                    </w:rPr>
                  </w:pPr>
                </w:p>
              </w:tc>
              <w:tc>
                <w:tcPr>
                  <w:tcW w:w="933" w:type="pct"/>
                  <w:vMerge w:val="continue"/>
                  <w:tcBorders>
                    <w:tl2br w:val="nil"/>
                    <w:tr2bl w:val="nil"/>
                  </w:tcBorders>
                  <w:vAlign w:val="center"/>
                </w:tcPr>
                <w:p w14:paraId="7E5B0C60">
                  <w:pPr>
                    <w:jc w:val="center"/>
                    <w:rPr>
                      <w:rFonts w:hint="default" w:ascii="Times New Roman" w:hAnsi="Times New Roman" w:eastAsia="宋体" w:cs="Times New Roman"/>
                      <w:color w:val="auto"/>
                      <w:sz w:val="21"/>
                      <w:szCs w:val="21"/>
                      <w:highlight w:val="none"/>
                    </w:rPr>
                  </w:pPr>
                </w:p>
              </w:tc>
            </w:tr>
            <w:tr w14:paraId="31EFA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203" w:type="pct"/>
                  <w:vMerge w:val="continue"/>
                  <w:tcBorders>
                    <w:tl2br w:val="nil"/>
                    <w:tr2bl w:val="nil"/>
                  </w:tcBorders>
                  <w:vAlign w:val="center"/>
                </w:tcPr>
                <w:p w14:paraId="0B8F6D47">
                  <w:pPr>
                    <w:jc w:val="center"/>
                    <w:rPr>
                      <w:rFonts w:hint="default" w:ascii="Times New Roman" w:hAnsi="Times New Roman" w:eastAsia="宋体" w:cs="Times New Roman"/>
                      <w:bCs/>
                      <w:color w:val="auto"/>
                      <w:sz w:val="21"/>
                      <w:szCs w:val="21"/>
                      <w:highlight w:val="none"/>
                    </w:rPr>
                  </w:pPr>
                </w:p>
              </w:tc>
              <w:tc>
                <w:tcPr>
                  <w:tcW w:w="281" w:type="pct"/>
                  <w:vMerge w:val="continue"/>
                  <w:tcBorders>
                    <w:tl2br w:val="nil"/>
                    <w:tr2bl w:val="nil"/>
                  </w:tcBorders>
                  <w:shd w:val="clear" w:color="auto" w:fill="auto"/>
                  <w:vAlign w:val="center"/>
                </w:tcPr>
                <w:p w14:paraId="7DC06E1F">
                  <w:pPr>
                    <w:jc w:val="center"/>
                    <w:rPr>
                      <w:rFonts w:hint="default" w:ascii="Times New Roman" w:hAnsi="Times New Roman" w:eastAsia="宋体" w:cs="Times New Roman"/>
                      <w:color w:val="auto"/>
                      <w:sz w:val="21"/>
                      <w:szCs w:val="21"/>
                      <w:highlight w:val="none"/>
                    </w:rPr>
                  </w:pPr>
                </w:p>
              </w:tc>
              <w:tc>
                <w:tcPr>
                  <w:tcW w:w="799" w:type="pct"/>
                  <w:vMerge w:val="restart"/>
                  <w:tcBorders>
                    <w:tl2br w:val="nil"/>
                    <w:tr2bl w:val="nil"/>
                  </w:tcBorders>
                  <w:shd w:val="clear" w:color="auto" w:fill="auto"/>
                  <w:vAlign w:val="center"/>
                </w:tcPr>
                <w:p w14:paraId="0108536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厂房外设置监控点</w:t>
                  </w:r>
                </w:p>
              </w:tc>
              <w:tc>
                <w:tcPr>
                  <w:tcW w:w="701" w:type="pct"/>
                  <w:tcBorders>
                    <w:tl2br w:val="nil"/>
                    <w:tr2bl w:val="nil"/>
                  </w:tcBorders>
                  <w:shd w:val="clear" w:color="auto" w:fill="auto"/>
                  <w:vAlign w:val="center"/>
                </w:tcPr>
                <w:p w14:paraId="30FC5D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36" w:type="pct"/>
                  <w:tcBorders>
                    <w:tl2br w:val="nil"/>
                    <w:tr2bl w:val="nil"/>
                  </w:tcBorders>
                  <w:shd w:val="clear" w:color="auto" w:fill="auto"/>
                  <w:vAlign w:val="center"/>
                </w:tcPr>
                <w:p w14:paraId="6650B69A">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tcBorders>
                    <w:tl2br w:val="nil"/>
                    <w:tr2bl w:val="nil"/>
                  </w:tcBorders>
                  <w:vAlign w:val="center"/>
                </w:tcPr>
                <w:p w14:paraId="32ADADE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319" w:type="pct"/>
                  <w:vMerge w:val="continue"/>
                  <w:tcBorders>
                    <w:tl2br w:val="nil"/>
                    <w:tr2bl w:val="nil"/>
                  </w:tcBorders>
                  <w:shd w:val="clear" w:color="auto" w:fill="auto"/>
                  <w:vAlign w:val="center"/>
                </w:tcPr>
                <w:p w14:paraId="6221E573">
                  <w:pPr>
                    <w:spacing w:line="240" w:lineRule="exact"/>
                    <w:jc w:val="center"/>
                    <w:rPr>
                      <w:rFonts w:hint="default" w:ascii="Times New Roman" w:hAnsi="Times New Roman" w:eastAsia="宋体" w:cs="Times New Roman"/>
                      <w:bCs/>
                      <w:color w:val="auto"/>
                      <w:sz w:val="21"/>
                      <w:szCs w:val="21"/>
                      <w:highlight w:val="none"/>
                    </w:rPr>
                  </w:pPr>
                </w:p>
              </w:tc>
              <w:tc>
                <w:tcPr>
                  <w:tcW w:w="933" w:type="pct"/>
                  <w:vMerge w:val="continue"/>
                  <w:tcBorders>
                    <w:tl2br w:val="nil"/>
                    <w:tr2bl w:val="nil"/>
                  </w:tcBorders>
                  <w:vAlign w:val="center"/>
                </w:tcPr>
                <w:p w14:paraId="51B4CDEA">
                  <w:pPr>
                    <w:spacing w:line="240" w:lineRule="exact"/>
                    <w:jc w:val="center"/>
                    <w:rPr>
                      <w:rFonts w:hint="default" w:ascii="Times New Roman" w:hAnsi="Times New Roman" w:eastAsia="宋体" w:cs="Times New Roman"/>
                      <w:bCs/>
                      <w:color w:val="auto"/>
                      <w:sz w:val="21"/>
                      <w:szCs w:val="21"/>
                      <w:highlight w:val="none"/>
                    </w:rPr>
                  </w:pPr>
                </w:p>
              </w:tc>
            </w:tr>
            <w:tr w14:paraId="5AFCA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203" w:type="pct"/>
                  <w:vMerge w:val="continue"/>
                  <w:tcBorders>
                    <w:tl2br w:val="nil"/>
                    <w:tr2bl w:val="nil"/>
                  </w:tcBorders>
                  <w:vAlign w:val="center"/>
                </w:tcPr>
                <w:p w14:paraId="7A9F2A24">
                  <w:pPr>
                    <w:snapToGrid w:val="0"/>
                    <w:jc w:val="center"/>
                    <w:rPr>
                      <w:color w:val="auto"/>
                      <w:highlight w:val="none"/>
                    </w:rPr>
                  </w:pPr>
                </w:p>
              </w:tc>
              <w:tc>
                <w:tcPr>
                  <w:tcW w:w="281" w:type="pct"/>
                  <w:vMerge w:val="continue"/>
                  <w:tcBorders>
                    <w:tl2br w:val="nil"/>
                    <w:tr2bl w:val="nil"/>
                  </w:tcBorders>
                  <w:shd w:val="clear" w:color="auto" w:fill="auto"/>
                  <w:vAlign w:val="center"/>
                </w:tcPr>
                <w:p w14:paraId="055ADA6D">
                  <w:pPr>
                    <w:snapToGrid w:val="0"/>
                    <w:jc w:val="center"/>
                    <w:rPr>
                      <w:color w:val="auto"/>
                      <w:highlight w:val="none"/>
                    </w:rPr>
                  </w:pPr>
                </w:p>
              </w:tc>
              <w:tc>
                <w:tcPr>
                  <w:tcW w:w="799" w:type="pct"/>
                  <w:vMerge w:val="continue"/>
                  <w:tcBorders>
                    <w:tl2br w:val="nil"/>
                    <w:tr2bl w:val="nil"/>
                  </w:tcBorders>
                  <w:shd w:val="clear" w:color="auto" w:fill="auto"/>
                  <w:vAlign w:val="center"/>
                </w:tcPr>
                <w:p w14:paraId="07571355">
                  <w:pPr>
                    <w:snapToGrid w:val="0"/>
                    <w:jc w:val="center"/>
                    <w:rPr>
                      <w:color w:val="auto"/>
                      <w:highlight w:val="none"/>
                    </w:rPr>
                  </w:pPr>
                </w:p>
              </w:tc>
              <w:tc>
                <w:tcPr>
                  <w:tcW w:w="701" w:type="pct"/>
                  <w:tcBorders>
                    <w:tl2br w:val="nil"/>
                    <w:tr2bl w:val="nil"/>
                  </w:tcBorders>
                  <w:shd w:val="clear" w:color="auto" w:fill="auto"/>
                  <w:vAlign w:val="center"/>
                </w:tcPr>
                <w:p w14:paraId="01EFE6E0">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536" w:type="pct"/>
                  <w:tcBorders>
                    <w:tl2br w:val="nil"/>
                    <w:tr2bl w:val="nil"/>
                  </w:tcBorders>
                  <w:shd w:val="clear" w:color="auto" w:fill="auto"/>
                  <w:vAlign w:val="center"/>
                </w:tcPr>
                <w:p w14:paraId="34ACFEAF">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224" w:type="pct"/>
                  <w:tcBorders>
                    <w:tl2br w:val="nil"/>
                    <w:tr2bl w:val="nil"/>
                  </w:tcBorders>
                  <w:shd w:val="clear" w:color="auto" w:fill="auto"/>
                  <w:vAlign w:val="center"/>
                </w:tcPr>
                <w:p w14:paraId="7ED2226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《工业炉窑大气污染物排放标准》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DB32/3728-2020</w:t>
                  </w:r>
                  <w:r>
                    <w:rPr>
                      <w:rFonts w:hint="eastAsia" w:ascii="Times New Roman" w:hAnsi="Times New Roman" w:eastAsia="宋体" w:cs="Times New Roman"/>
                      <w:bCs/>
                      <w:color w:val="auto"/>
                      <w:sz w:val="21"/>
                      <w:szCs w:val="21"/>
                      <w:highlight w:val="none"/>
                      <w:lang w:val="en-US" w:eastAsia="zh-CN"/>
                    </w:rPr>
                    <w:t>）表3</w:t>
                  </w:r>
                </w:p>
              </w:tc>
              <w:tc>
                <w:tcPr>
                  <w:tcW w:w="319" w:type="pct"/>
                  <w:vMerge w:val="continue"/>
                  <w:tcBorders>
                    <w:tl2br w:val="nil"/>
                    <w:tr2bl w:val="nil"/>
                  </w:tcBorders>
                  <w:shd w:val="clear" w:color="auto" w:fill="auto"/>
                  <w:vAlign w:val="center"/>
                </w:tcPr>
                <w:p w14:paraId="7931FD34">
                  <w:pPr>
                    <w:snapToGrid w:val="0"/>
                    <w:jc w:val="center"/>
                    <w:rPr>
                      <w:rFonts w:hint="default" w:ascii="Times New Roman" w:hAnsi="Times New Roman" w:eastAsia="宋体" w:cs="Times New Roman"/>
                      <w:color w:val="auto"/>
                      <w:sz w:val="21"/>
                      <w:szCs w:val="21"/>
                      <w:highlight w:val="none"/>
                    </w:rPr>
                  </w:pPr>
                </w:p>
              </w:tc>
              <w:tc>
                <w:tcPr>
                  <w:tcW w:w="933" w:type="pct"/>
                  <w:vMerge w:val="continue"/>
                  <w:tcBorders>
                    <w:tl2br w:val="nil"/>
                    <w:tr2bl w:val="nil"/>
                  </w:tcBorders>
                  <w:vAlign w:val="center"/>
                </w:tcPr>
                <w:p w14:paraId="4DB7807B">
                  <w:pPr>
                    <w:snapToGrid w:val="0"/>
                    <w:jc w:val="center"/>
                    <w:rPr>
                      <w:rFonts w:hint="default" w:ascii="Times New Roman" w:hAnsi="Times New Roman" w:eastAsia="宋体" w:cs="Times New Roman"/>
                      <w:color w:val="auto"/>
                      <w:sz w:val="21"/>
                      <w:szCs w:val="21"/>
                      <w:highlight w:val="none"/>
                    </w:rPr>
                  </w:pPr>
                </w:p>
              </w:tc>
            </w:tr>
          </w:tbl>
          <w:p w14:paraId="23CCE255">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lang w:val="en-US" w:eastAsia="zh-CN"/>
              </w:rPr>
              <w:t>8</w:t>
            </w:r>
            <w:r>
              <w:rPr>
                <w:rFonts w:hint="default"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rPr>
              <w:t>大气环境影响分析</w:t>
            </w:r>
          </w:p>
          <w:p w14:paraId="4DBD2298">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①区域环境质量现状</w:t>
            </w:r>
          </w:p>
          <w:p w14:paraId="41FD9F6C">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年常州市生态环境质量报告》，本项目所在地属于非达标区，常州市人民政府制定了《2023年常州市生态文明建设工作方案》，预期常州市大气环境空气质量将得到进一步改善。 </w:t>
            </w:r>
          </w:p>
          <w:p w14:paraId="64188215">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本项目废气经处理后排放浓度、排放速率等均满足相关标准限值，对周围空 气环境影响较小。结合项目所在地环境质量现状特征因子补充监测报告，本项目 的建设符合大气环境质量底线要求。 </w:t>
            </w:r>
          </w:p>
          <w:p w14:paraId="090D0E0D">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 xml:space="preserve">②敏感保护目标 </w:t>
            </w:r>
          </w:p>
          <w:p w14:paraId="1B6B7D2C">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项目周边500m范围内敏感点主要为</w:t>
            </w:r>
            <w:r>
              <w:rPr>
                <w:rFonts w:hint="default" w:ascii="Times New Roman" w:hAnsi="Times New Roman" w:eastAsia="宋体" w:cs="Times New Roman"/>
                <w:color w:val="auto"/>
                <w:sz w:val="24"/>
                <w:szCs w:val="24"/>
                <w:highlight w:val="none"/>
                <w:lang w:val="en-US" w:eastAsia="zh-CN"/>
              </w:rPr>
              <w:t>蓝岭公寓</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171</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lang w:val="en-US" w:eastAsia="zh-CN"/>
              </w:rPr>
              <w:t>下小云小区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lang w:val="en-US" w:eastAsia="zh-CN"/>
              </w:rPr>
              <w:t>香格里拉山庄</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SW</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279</w:t>
            </w:r>
            <w:r>
              <w:rPr>
                <w:rFonts w:hint="default" w:ascii="Times New Roman" w:hAnsi="Times New Roman" w:eastAsia="宋体" w:cs="Times New Roman"/>
                <w:color w:val="auto"/>
                <w:sz w:val="24"/>
                <w:szCs w:val="24"/>
                <w:highlight w:val="none"/>
              </w:rPr>
              <w:t xml:space="preserve">m）。 </w:t>
            </w:r>
          </w:p>
          <w:p w14:paraId="2A0DB00D">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sz w:val="24"/>
                <w:szCs w:val="24"/>
                <w:highlight w:val="none"/>
              </w:rPr>
              <w:t>③大气排放影响分析</w:t>
            </w:r>
          </w:p>
          <w:p w14:paraId="4CE641B2">
            <w:pPr>
              <w:pStyle w:val="59"/>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highlight w:val="none"/>
              </w:rPr>
            </w:pPr>
            <w:r>
              <w:rPr>
                <w:rFonts w:hint="default" w:ascii="Times New Roman" w:hAnsi="Times New Roman" w:eastAsia="宋体" w:cs="Times New Roman"/>
                <w:snapToGrid w:val="0"/>
                <w:color w:val="auto"/>
                <w:spacing w:val="0"/>
                <w:szCs w:val="24"/>
                <w:highlight w:val="none"/>
              </w:rPr>
              <w:t>本项目排放的大气污染物为非甲烷总烃</w:t>
            </w:r>
            <w:r>
              <w:rPr>
                <w:rFonts w:hint="eastAsia" w:ascii="Times New Roman" w:hAnsi="Times New Roman" w:eastAsia="宋体" w:cs="Times New Roman"/>
                <w:snapToGrid w:val="0"/>
                <w:color w:val="auto"/>
                <w:spacing w:val="0"/>
                <w:szCs w:val="24"/>
                <w:highlight w:val="none"/>
                <w:lang w:eastAsia="zh-CN"/>
              </w:rPr>
              <w:t>、</w:t>
            </w:r>
            <w:r>
              <w:rPr>
                <w:rFonts w:hint="eastAsia" w:ascii="Times New Roman" w:hAnsi="Times New Roman" w:eastAsia="宋体" w:cs="Times New Roman"/>
                <w:snapToGrid w:val="0"/>
                <w:color w:val="auto"/>
                <w:spacing w:val="0"/>
                <w:szCs w:val="24"/>
                <w:highlight w:val="none"/>
                <w:lang w:val="en-US" w:eastAsia="zh-CN"/>
              </w:rPr>
              <w:t>颗粒物、SO</w:t>
            </w:r>
            <w:r>
              <w:rPr>
                <w:rFonts w:hint="eastAsia" w:ascii="Times New Roman" w:hAnsi="Times New Roman" w:eastAsia="宋体" w:cs="Times New Roman"/>
                <w:snapToGrid w:val="0"/>
                <w:color w:val="auto"/>
                <w:spacing w:val="0"/>
                <w:szCs w:val="24"/>
                <w:highlight w:val="none"/>
                <w:vertAlign w:val="subscript"/>
                <w:lang w:val="en-US" w:eastAsia="zh-CN"/>
              </w:rPr>
              <w:t>2</w:t>
            </w:r>
            <w:r>
              <w:rPr>
                <w:rFonts w:hint="eastAsia" w:ascii="Times New Roman" w:hAnsi="Times New Roman" w:eastAsia="宋体" w:cs="Times New Roman"/>
                <w:snapToGrid w:val="0"/>
                <w:color w:val="auto"/>
                <w:spacing w:val="0"/>
                <w:szCs w:val="24"/>
                <w:highlight w:val="none"/>
                <w:lang w:val="en-US" w:eastAsia="zh-CN"/>
              </w:rPr>
              <w:t>、NOx</w:t>
            </w:r>
            <w:r>
              <w:rPr>
                <w:rFonts w:hint="default" w:ascii="Times New Roman" w:hAnsi="Times New Roman" w:eastAsia="宋体" w:cs="Times New Roman"/>
                <w:snapToGrid w:val="0"/>
                <w:color w:val="auto"/>
                <w:spacing w:val="0"/>
                <w:szCs w:val="24"/>
                <w:highlight w:val="none"/>
                <w:lang w:val="en-US" w:eastAsia="zh-CN"/>
              </w:rPr>
              <w:t>等</w:t>
            </w:r>
            <w:r>
              <w:rPr>
                <w:rFonts w:hint="default" w:ascii="Times New Roman" w:hAnsi="Times New Roman" w:eastAsia="宋体" w:cs="Times New Roman"/>
                <w:snapToGrid w:val="0"/>
                <w:color w:val="auto"/>
                <w:spacing w:val="0"/>
                <w:szCs w:val="24"/>
                <w:highlight w:val="none"/>
              </w:rPr>
              <w:t>，针对各产污环节，均采取了可行的污染治理措施，经处理后均达标排放，排放强度较低；且本项目卫生防护距离内无各类敏感目标，因此本项目不会对周边敏感目标造成影响。</w:t>
            </w:r>
          </w:p>
          <w:p w14:paraId="0B1EB8BC">
            <w:pPr>
              <w:pStyle w:val="59"/>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highlight w:val="none"/>
              </w:rPr>
            </w:pPr>
            <w:r>
              <w:rPr>
                <w:rFonts w:hint="default" w:ascii="Times New Roman" w:hAnsi="Times New Roman" w:eastAsia="宋体" w:cs="Times New Roman"/>
                <w:snapToGrid w:val="0"/>
                <w:color w:val="auto"/>
                <w:spacing w:val="0"/>
                <w:szCs w:val="24"/>
                <w:highlight w:val="none"/>
              </w:rPr>
              <w:t>综上所述，本项目废气污染物经处理后排放对周围环境影响较小。本评价认为，从大气环境影响的角度来讲，建设项目在拟建地建设是可行的。</w:t>
            </w:r>
          </w:p>
          <w:p w14:paraId="1D558DE6">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卫生防护距离</w:t>
            </w:r>
          </w:p>
          <w:p w14:paraId="103E570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根据《大气有害物质无组织排放卫生防护距离推导技术导则》（GB/T39499-2020）规定中制定的卫生防护距离制定方法，计算本项目卫生防护距离。卫生防护距离按下式计算：</w:t>
            </w:r>
          </w:p>
          <w:p w14:paraId="5EDC2EAF">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34.4pt;width:143.2pt;" o:ole="t" filled="f" o:preferrelative="t" stroked="f" coordsize="21600,21600">
                  <v:path/>
                  <v:fill on="f" focussize="0,0"/>
                  <v:stroke on="f"/>
                  <v:imagedata r:id="rId25" o:title=""/>
                  <o:lock v:ext="edit" aspectratio="t"/>
                  <w10:wrap type="none"/>
                  <w10:anchorlock/>
                </v:shape>
                <o:OLEObject Type="Embed" ProgID="Equation.2" ShapeID="_x0000_i1028" DrawAspect="Content" ObjectID="_1468075726" r:id="rId24">
                  <o:LockedField>false</o:LockedField>
                </o:OLEObject>
              </w:object>
            </w:r>
          </w:p>
          <w:p w14:paraId="57AFE661">
            <w:pPr>
              <w:spacing w:line="360" w:lineRule="auto"/>
              <w:ind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式中：Cm—环境一次浓度标准限值（mg/m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p w14:paraId="28632C65">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L—工业企业所需的防护距离（m）；</w:t>
            </w:r>
          </w:p>
          <w:p w14:paraId="5F9EFF40">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Qc—有害气体无组织排放量可以达到的控制水平（kg/h）；</w:t>
            </w:r>
          </w:p>
          <w:p w14:paraId="7CD3DBEB">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r—有害气体无组织排放源所在生产单元的等效半径（m）；根据生产单元的占地面积S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计算，r=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val="en-US" w:eastAsia="zh-CN"/>
              </w:rPr>
              <w:t>Π</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vertAlign w:val="superscript"/>
              </w:rPr>
              <w:t>0.5</w:t>
            </w:r>
            <w:r>
              <w:rPr>
                <w:rFonts w:hint="default" w:ascii="Times New Roman" w:hAnsi="Times New Roman" w:eastAsia="宋体" w:cs="Times New Roman"/>
                <w:color w:val="auto"/>
                <w:sz w:val="24"/>
                <w:highlight w:val="none"/>
              </w:rPr>
              <w:t>。</w:t>
            </w:r>
          </w:p>
          <w:p w14:paraId="03324D87">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A、B、C、D—卫生防护距离计算系数。</w:t>
            </w:r>
          </w:p>
          <w:p w14:paraId="514DA01B">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9"/>
              <w:gridCol w:w="1288"/>
              <w:gridCol w:w="626"/>
              <w:gridCol w:w="626"/>
              <w:gridCol w:w="630"/>
              <w:gridCol w:w="628"/>
              <w:gridCol w:w="628"/>
              <w:gridCol w:w="630"/>
              <w:gridCol w:w="628"/>
              <w:gridCol w:w="628"/>
              <w:gridCol w:w="626"/>
            </w:tblGrid>
            <w:tr w14:paraId="2A9959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F148FC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451C814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531655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卫生防护距离L（m）</w:t>
                  </w:r>
                </w:p>
              </w:tc>
            </w:tr>
            <w:tr w14:paraId="742BA8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16F56D0">
                  <w:pPr>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1EE0FA0">
                  <w:pPr>
                    <w:rPr>
                      <w:rFonts w:hint="default" w:ascii="Times New Roman" w:hAnsi="Times New Roman" w:eastAsia="宋体" w:cs="Times New Roman"/>
                      <w:b/>
                      <w:bCs/>
                      <w:color w:val="auto"/>
                      <w:szCs w:val="21"/>
                      <w:highlight w:val="none"/>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AB42DA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677DDC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1000＜L≤2000</w:t>
                  </w:r>
                </w:p>
              </w:tc>
              <w:tc>
                <w:tcPr>
                  <w:tcW w:w="1136" w:type="pct"/>
                  <w:gridSpan w:val="3"/>
                  <w:tcBorders>
                    <w:top w:val="single" w:color="auto" w:sz="2" w:space="0"/>
                    <w:left w:val="single" w:color="auto" w:sz="2" w:space="0"/>
                    <w:bottom w:val="single" w:color="auto" w:sz="2" w:space="0"/>
                    <w:right w:val="nil"/>
                  </w:tcBorders>
                  <w:vAlign w:val="center"/>
                </w:tcPr>
                <w:p w14:paraId="3730BEF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L＞2000</w:t>
                  </w:r>
                </w:p>
              </w:tc>
            </w:tr>
            <w:tr w14:paraId="30F322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DDE9C23">
                  <w:pPr>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F8EBA39">
                  <w:pPr>
                    <w:rPr>
                      <w:rFonts w:hint="default" w:ascii="Times New Roman" w:hAnsi="Times New Roman" w:eastAsia="宋体" w:cs="Times New Roman"/>
                      <w:b/>
                      <w:bCs/>
                      <w:color w:val="auto"/>
                      <w:szCs w:val="21"/>
                      <w:highlight w:val="none"/>
                    </w:rPr>
                  </w:pPr>
                </w:p>
              </w:tc>
              <w:tc>
                <w:tcPr>
                  <w:tcW w:w="3410" w:type="pct"/>
                  <w:gridSpan w:val="9"/>
                  <w:tcBorders>
                    <w:top w:val="single" w:color="auto" w:sz="2" w:space="0"/>
                    <w:left w:val="single" w:color="auto" w:sz="2" w:space="0"/>
                    <w:bottom w:val="single" w:color="auto" w:sz="2" w:space="0"/>
                    <w:right w:val="nil"/>
                  </w:tcBorders>
                  <w:vAlign w:val="center"/>
                </w:tcPr>
                <w:p w14:paraId="022E1CF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工业企业大气污染源构成类型</w:t>
                  </w:r>
                </w:p>
              </w:tc>
            </w:tr>
            <w:tr w14:paraId="443A91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179015E8">
                  <w:pPr>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107204E">
                  <w:pPr>
                    <w:rPr>
                      <w:rFonts w:hint="default" w:ascii="Times New Roman" w:hAnsi="Times New Roman" w:eastAsia="宋体" w:cs="Times New Roman"/>
                      <w:b/>
                      <w:bCs/>
                      <w:color w:val="auto"/>
                      <w:szCs w:val="21"/>
                      <w:highlight w:val="none"/>
                    </w:rPr>
                  </w:pPr>
                </w:p>
              </w:tc>
              <w:tc>
                <w:tcPr>
                  <w:tcW w:w="378" w:type="pct"/>
                  <w:tcBorders>
                    <w:top w:val="single" w:color="auto" w:sz="2" w:space="0"/>
                    <w:left w:val="single" w:color="auto" w:sz="2" w:space="0"/>
                    <w:bottom w:val="single" w:color="auto" w:sz="2" w:space="0"/>
                    <w:right w:val="single" w:color="auto" w:sz="2" w:space="0"/>
                  </w:tcBorders>
                  <w:vAlign w:val="center"/>
                </w:tcPr>
                <w:p w14:paraId="3109DC5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8" w:type="pct"/>
                  <w:tcBorders>
                    <w:top w:val="single" w:color="auto" w:sz="2" w:space="0"/>
                    <w:left w:val="single" w:color="auto" w:sz="2" w:space="0"/>
                    <w:bottom w:val="single" w:color="auto" w:sz="2" w:space="0"/>
                    <w:right w:val="single" w:color="auto" w:sz="2" w:space="0"/>
                  </w:tcBorders>
                  <w:vAlign w:val="center"/>
                </w:tcPr>
                <w:p w14:paraId="4F92806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80" w:type="pct"/>
                  <w:tcBorders>
                    <w:top w:val="single" w:color="auto" w:sz="2" w:space="0"/>
                    <w:left w:val="single" w:color="auto" w:sz="2" w:space="0"/>
                    <w:bottom w:val="single" w:color="auto" w:sz="2" w:space="0"/>
                    <w:right w:val="single" w:color="auto" w:sz="2" w:space="0"/>
                  </w:tcBorders>
                  <w:vAlign w:val="center"/>
                </w:tcPr>
                <w:p w14:paraId="7C796C7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c>
                <w:tcPr>
                  <w:tcW w:w="379" w:type="pct"/>
                  <w:tcBorders>
                    <w:top w:val="single" w:color="auto" w:sz="2" w:space="0"/>
                    <w:left w:val="single" w:color="auto" w:sz="2" w:space="0"/>
                    <w:bottom w:val="single" w:color="auto" w:sz="2" w:space="0"/>
                    <w:right w:val="single" w:color="auto" w:sz="2" w:space="0"/>
                  </w:tcBorders>
                  <w:vAlign w:val="center"/>
                </w:tcPr>
                <w:p w14:paraId="57D9363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9" w:type="pct"/>
                  <w:tcBorders>
                    <w:top w:val="single" w:color="auto" w:sz="2" w:space="0"/>
                    <w:left w:val="single" w:color="auto" w:sz="2" w:space="0"/>
                    <w:bottom w:val="single" w:color="auto" w:sz="2" w:space="0"/>
                    <w:right w:val="single" w:color="auto" w:sz="2" w:space="0"/>
                  </w:tcBorders>
                  <w:vAlign w:val="center"/>
                </w:tcPr>
                <w:p w14:paraId="6633765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79" w:type="pct"/>
                  <w:tcBorders>
                    <w:top w:val="single" w:color="auto" w:sz="2" w:space="0"/>
                    <w:left w:val="single" w:color="auto" w:sz="2" w:space="0"/>
                    <w:bottom w:val="single" w:color="auto" w:sz="2" w:space="0"/>
                    <w:right w:val="single" w:color="auto" w:sz="2" w:space="0"/>
                  </w:tcBorders>
                  <w:vAlign w:val="center"/>
                </w:tcPr>
                <w:p w14:paraId="2E00481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c>
                <w:tcPr>
                  <w:tcW w:w="379" w:type="pct"/>
                  <w:tcBorders>
                    <w:top w:val="single" w:color="auto" w:sz="2" w:space="0"/>
                    <w:left w:val="single" w:color="auto" w:sz="2" w:space="0"/>
                    <w:bottom w:val="single" w:color="auto" w:sz="2" w:space="0"/>
                    <w:right w:val="single" w:color="auto" w:sz="2" w:space="0"/>
                  </w:tcBorders>
                  <w:vAlign w:val="center"/>
                </w:tcPr>
                <w:p w14:paraId="46F22D1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9" w:type="pct"/>
                  <w:tcBorders>
                    <w:top w:val="single" w:color="auto" w:sz="2" w:space="0"/>
                    <w:left w:val="single" w:color="auto" w:sz="2" w:space="0"/>
                    <w:bottom w:val="single" w:color="auto" w:sz="2" w:space="0"/>
                    <w:right w:val="single" w:color="auto" w:sz="2" w:space="0"/>
                  </w:tcBorders>
                  <w:vAlign w:val="center"/>
                </w:tcPr>
                <w:p w14:paraId="786608B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78" w:type="pct"/>
                  <w:tcBorders>
                    <w:top w:val="single" w:color="auto" w:sz="2" w:space="0"/>
                    <w:left w:val="single" w:color="auto" w:sz="2" w:space="0"/>
                    <w:bottom w:val="single" w:color="auto" w:sz="2" w:space="0"/>
                    <w:right w:val="nil"/>
                  </w:tcBorders>
                  <w:vAlign w:val="center"/>
                </w:tcPr>
                <w:p w14:paraId="42B8F90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r>
            <w:tr w14:paraId="7003BD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257DF5E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A</w:t>
                  </w:r>
                </w:p>
              </w:tc>
              <w:tc>
                <w:tcPr>
                  <w:tcW w:w="777" w:type="pct"/>
                  <w:tcBorders>
                    <w:top w:val="single" w:color="auto" w:sz="2" w:space="0"/>
                    <w:left w:val="single" w:color="auto" w:sz="2" w:space="0"/>
                    <w:bottom w:val="single" w:color="auto" w:sz="2" w:space="0"/>
                    <w:right w:val="single" w:color="auto" w:sz="2" w:space="0"/>
                  </w:tcBorders>
                  <w:vAlign w:val="center"/>
                </w:tcPr>
                <w:p w14:paraId="590A7CD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471B14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8" w:type="pct"/>
                  <w:tcBorders>
                    <w:top w:val="single" w:color="auto" w:sz="2" w:space="0"/>
                    <w:left w:val="single" w:color="auto" w:sz="2" w:space="0"/>
                    <w:bottom w:val="single" w:color="auto" w:sz="2" w:space="0"/>
                    <w:right w:val="single" w:color="auto" w:sz="2" w:space="0"/>
                  </w:tcBorders>
                  <w:vAlign w:val="center"/>
                </w:tcPr>
                <w:p w14:paraId="27CF975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80" w:type="pct"/>
                  <w:tcBorders>
                    <w:top w:val="single" w:color="auto" w:sz="2" w:space="0"/>
                    <w:left w:val="single" w:color="auto" w:sz="2" w:space="0"/>
                    <w:bottom w:val="single" w:color="auto" w:sz="2" w:space="0"/>
                    <w:right w:val="single" w:color="auto" w:sz="2" w:space="0"/>
                  </w:tcBorders>
                  <w:vAlign w:val="center"/>
                </w:tcPr>
                <w:p w14:paraId="0979FEA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1FF87A1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BC7044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2D04FEE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97AC5B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c>
                <w:tcPr>
                  <w:tcW w:w="379" w:type="pct"/>
                  <w:tcBorders>
                    <w:top w:val="single" w:color="auto" w:sz="2" w:space="0"/>
                    <w:left w:val="single" w:color="auto" w:sz="2" w:space="0"/>
                    <w:bottom w:val="single" w:color="auto" w:sz="2" w:space="0"/>
                    <w:right w:val="single" w:color="auto" w:sz="2" w:space="0"/>
                  </w:tcBorders>
                  <w:vAlign w:val="center"/>
                </w:tcPr>
                <w:p w14:paraId="2C3CDBA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c>
                <w:tcPr>
                  <w:tcW w:w="378" w:type="pct"/>
                  <w:tcBorders>
                    <w:top w:val="single" w:color="auto" w:sz="2" w:space="0"/>
                    <w:left w:val="single" w:color="auto" w:sz="2" w:space="0"/>
                    <w:bottom w:val="single" w:color="auto" w:sz="2" w:space="0"/>
                    <w:right w:val="nil"/>
                  </w:tcBorders>
                  <w:vAlign w:val="center"/>
                </w:tcPr>
                <w:p w14:paraId="3F6B708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r>
            <w:tr w14:paraId="0A57CC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384606A8">
                  <w:pPr>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098DECA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2-4</w:t>
                  </w:r>
                </w:p>
              </w:tc>
              <w:tc>
                <w:tcPr>
                  <w:tcW w:w="378" w:type="pct"/>
                  <w:tcBorders>
                    <w:top w:val="single" w:color="auto" w:sz="2" w:space="0"/>
                    <w:left w:val="single" w:color="auto" w:sz="2" w:space="0"/>
                    <w:bottom w:val="single" w:color="auto" w:sz="2" w:space="0"/>
                    <w:right w:val="single" w:color="auto" w:sz="2" w:space="0"/>
                  </w:tcBorders>
                  <w:vAlign w:val="center"/>
                </w:tcPr>
                <w:p w14:paraId="198CB39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0EC3BE2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470</w:t>
                  </w:r>
                </w:p>
              </w:tc>
              <w:tc>
                <w:tcPr>
                  <w:tcW w:w="380" w:type="pct"/>
                  <w:tcBorders>
                    <w:top w:val="single" w:color="auto" w:sz="2" w:space="0"/>
                    <w:left w:val="single" w:color="auto" w:sz="2" w:space="0"/>
                    <w:bottom w:val="single" w:color="auto" w:sz="2" w:space="0"/>
                    <w:right w:val="single" w:color="auto" w:sz="2" w:space="0"/>
                  </w:tcBorders>
                  <w:vAlign w:val="center"/>
                </w:tcPr>
                <w:p w14:paraId="738A2F0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2D393EC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700</w:t>
                  </w:r>
                </w:p>
              </w:tc>
              <w:tc>
                <w:tcPr>
                  <w:tcW w:w="379" w:type="pct"/>
                  <w:tcBorders>
                    <w:top w:val="single" w:color="auto" w:sz="2" w:space="0"/>
                    <w:left w:val="single" w:color="auto" w:sz="2" w:space="0"/>
                    <w:bottom w:val="single" w:color="auto" w:sz="2" w:space="0"/>
                    <w:right w:val="single" w:color="auto" w:sz="2" w:space="0"/>
                  </w:tcBorders>
                  <w:vAlign w:val="center"/>
                </w:tcPr>
                <w:p w14:paraId="69715E2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470</w:t>
                  </w:r>
                </w:p>
              </w:tc>
              <w:tc>
                <w:tcPr>
                  <w:tcW w:w="379" w:type="pct"/>
                  <w:tcBorders>
                    <w:top w:val="single" w:color="auto" w:sz="2" w:space="0"/>
                    <w:left w:val="single" w:color="auto" w:sz="2" w:space="0"/>
                    <w:bottom w:val="single" w:color="auto" w:sz="2" w:space="0"/>
                    <w:right w:val="single" w:color="auto" w:sz="2" w:space="0"/>
                  </w:tcBorders>
                  <w:vAlign w:val="center"/>
                </w:tcPr>
                <w:p w14:paraId="53D1279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0F16846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380</w:t>
                  </w:r>
                </w:p>
              </w:tc>
              <w:tc>
                <w:tcPr>
                  <w:tcW w:w="379" w:type="pct"/>
                  <w:tcBorders>
                    <w:top w:val="single" w:color="auto" w:sz="2" w:space="0"/>
                    <w:left w:val="single" w:color="auto" w:sz="2" w:space="0"/>
                    <w:bottom w:val="single" w:color="auto" w:sz="2" w:space="0"/>
                    <w:right w:val="single" w:color="auto" w:sz="2" w:space="0"/>
                  </w:tcBorders>
                  <w:vAlign w:val="center"/>
                </w:tcPr>
                <w:p w14:paraId="2D8C95F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250</w:t>
                  </w:r>
                </w:p>
              </w:tc>
              <w:tc>
                <w:tcPr>
                  <w:tcW w:w="378" w:type="pct"/>
                  <w:tcBorders>
                    <w:top w:val="single" w:color="auto" w:sz="2" w:space="0"/>
                    <w:left w:val="single" w:color="auto" w:sz="2" w:space="0"/>
                    <w:bottom w:val="single" w:color="auto" w:sz="2" w:space="0"/>
                    <w:right w:val="nil"/>
                  </w:tcBorders>
                  <w:vAlign w:val="center"/>
                </w:tcPr>
                <w:p w14:paraId="3E16ECD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190</w:t>
                  </w:r>
                </w:p>
              </w:tc>
            </w:tr>
            <w:tr w14:paraId="23462A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1692BD3">
                  <w:pPr>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65370A3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&gt;4</w:t>
                  </w:r>
                </w:p>
              </w:tc>
              <w:tc>
                <w:tcPr>
                  <w:tcW w:w="378" w:type="pct"/>
                  <w:tcBorders>
                    <w:top w:val="single" w:color="auto" w:sz="2" w:space="0"/>
                    <w:left w:val="single" w:color="auto" w:sz="2" w:space="0"/>
                    <w:bottom w:val="single" w:color="auto" w:sz="2" w:space="0"/>
                    <w:right w:val="single" w:color="auto" w:sz="2" w:space="0"/>
                  </w:tcBorders>
                  <w:vAlign w:val="center"/>
                </w:tcPr>
                <w:p w14:paraId="0315FC5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530</w:t>
                  </w:r>
                </w:p>
              </w:tc>
              <w:tc>
                <w:tcPr>
                  <w:tcW w:w="378" w:type="pct"/>
                  <w:tcBorders>
                    <w:top w:val="single" w:color="auto" w:sz="2" w:space="0"/>
                    <w:left w:val="single" w:color="auto" w:sz="2" w:space="0"/>
                    <w:bottom w:val="single" w:color="auto" w:sz="2" w:space="0"/>
                    <w:right w:val="single" w:color="auto" w:sz="2" w:space="0"/>
                  </w:tcBorders>
                  <w:vAlign w:val="center"/>
                </w:tcPr>
                <w:p w14:paraId="32CA52E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80" w:type="pct"/>
                  <w:tcBorders>
                    <w:top w:val="single" w:color="auto" w:sz="2" w:space="0"/>
                    <w:left w:val="single" w:color="auto" w:sz="2" w:space="0"/>
                    <w:bottom w:val="single" w:color="auto" w:sz="2" w:space="0"/>
                    <w:right w:val="single" w:color="auto" w:sz="2" w:space="0"/>
                  </w:tcBorders>
                  <w:vAlign w:val="center"/>
                </w:tcPr>
                <w:p w14:paraId="548EB66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260</w:t>
                  </w:r>
                </w:p>
              </w:tc>
              <w:tc>
                <w:tcPr>
                  <w:tcW w:w="379" w:type="pct"/>
                  <w:tcBorders>
                    <w:top w:val="single" w:color="auto" w:sz="2" w:space="0"/>
                    <w:left w:val="single" w:color="auto" w:sz="2" w:space="0"/>
                    <w:bottom w:val="single" w:color="auto" w:sz="2" w:space="0"/>
                    <w:right w:val="single" w:color="auto" w:sz="2" w:space="0"/>
                  </w:tcBorders>
                  <w:vAlign w:val="center"/>
                </w:tcPr>
                <w:p w14:paraId="51C21C0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530</w:t>
                  </w:r>
                </w:p>
              </w:tc>
              <w:tc>
                <w:tcPr>
                  <w:tcW w:w="379" w:type="pct"/>
                  <w:tcBorders>
                    <w:top w:val="single" w:color="auto" w:sz="2" w:space="0"/>
                    <w:left w:val="single" w:color="auto" w:sz="2" w:space="0"/>
                    <w:bottom w:val="single" w:color="auto" w:sz="2" w:space="0"/>
                    <w:right w:val="single" w:color="auto" w:sz="2" w:space="0"/>
                  </w:tcBorders>
                  <w:vAlign w:val="center"/>
                </w:tcPr>
                <w:p w14:paraId="5795EAB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73F4EE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260</w:t>
                  </w:r>
                </w:p>
              </w:tc>
              <w:tc>
                <w:tcPr>
                  <w:tcW w:w="379" w:type="pct"/>
                  <w:tcBorders>
                    <w:top w:val="single" w:color="auto" w:sz="2" w:space="0"/>
                    <w:left w:val="single" w:color="auto" w:sz="2" w:space="0"/>
                    <w:bottom w:val="single" w:color="auto" w:sz="2" w:space="0"/>
                    <w:right w:val="single" w:color="auto" w:sz="2" w:space="0"/>
                  </w:tcBorders>
                  <w:vAlign w:val="center"/>
                </w:tcPr>
                <w:p w14:paraId="21E82B9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FCB523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190</w:t>
                  </w:r>
                </w:p>
              </w:tc>
              <w:tc>
                <w:tcPr>
                  <w:tcW w:w="378" w:type="pct"/>
                  <w:tcBorders>
                    <w:top w:val="single" w:color="auto" w:sz="2" w:space="0"/>
                    <w:left w:val="single" w:color="auto" w:sz="2" w:space="0"/>
                    <w:bottom w:val="single" w:color="auto" w:sz="2" w:space="0"/>
                    <w:right w:val="nil"/>
                  </w:tcBorders>
                  <w:vAlign w:val="center"/>
                </w:tcPr>
                <w:p w14:paraId="11E17B5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140</w:t>
                  </w:r>
                </w:p>
              </w:tc>
            </w:tr>
            <w:tr w14:paraId="77849F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7EDBBD8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B</w:t>
                  </w:r>
                </w:p>
              </w:tc>
              <w:tc>
                <w:tcPr>
                  <w:tcW w:w="777" w:type="pct"/>
                  <w:tcBorders>
                    <w:top w:val="single" w:color="auto" w:sz="2" w:space="0"/>
                    <w:left w:val="single" w:color="auto" w:sz="2" w:space="0"/>
                    <w:bottom w:val="single" w:color="auto" w:sz="2" w:space="0"/>
                    <w:right w:val="single" w:color="auto" w:sz="2" w:space="0"/>
                  </w:tcBorders>
                  <w:vAlign w:val="center"/>
                </w:tcPr>
                <w:p w14:paraId="0E9D50A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38E52FF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3AC0EBB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0.015</w:t>
                  </w:r>
                </w:p>
              </w:tc>
              <w:tc>
                <w:tcPr>
                  <w:tcW w:w="1136" w:type="pct"/>
                  <w:gridSpan w:val="3"/>
                  <w:tcBorders>
                    <w:top w:val="single" w:color="auto" w:sz="2" w:space="0"/>
                    <w:left w:val="single" w:color="auto" w:sz="2" w:space="0"/>
                    <w:bottom w:val="single" w:color="auto" w:sz="2" w:space="0"/>
                    <w:right w:val="nil"/>
                  </w:tcBorders>
                  <w:vAlign w:val="center"/>
                </w:tcPr>
                <w:p w14:paraId="7AEF2AD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0.015</w:t>
                  </w:r>
                </w:p>
              </w:tc>
            </w:tr>
            <w:tr w14:paraId="322188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27B9C5B4">
                  <w:pPr>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60A0148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7CC3B347">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highlight w:val="none"/>
                      <w:lang w:eastAsia="zh-CN"/>
                    </w:rPr>
                    <w:t>0.018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456CF7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0.036</w:t>
                  </w:r>
                </w:p>
              </w:tc>
              <w:tc>
                <w:tcPr>
                  <w:tcW w:w="1136" w:type="pct"/>
                  <w:gridSpan w:val="3"/>
                  <w:tcBorders>
                    <w:top w:val="single" w:color="auto" w:sz="2" w:space="0"/>
                    <w:left w:val="single" w:color="auto" w:sz="2" w:space="0"/>
                    <w:bottom w:val="single" w:color="auto" w:sz="2" w:space="0"/>
                    <w:right w:val="nil"/>
                  </w:tcBorders>
                  <w:vAlign w:val="center"/>
                </w:tcPr>
                <w:p w14:paraId="5020DF5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0.036</w:t>
                  </w:r>
                </w:p>
              </w:tc>
            </w:tr>
            <w:tr w14:paraId="312FD0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8CF2D6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C</w:t>
                  </w:r>
                </w:p>
              </w:tc>
              <w:tc>
                <w:tcPr>
                  <w:tcW w:w="777" w:type="pct"/>
                  <w:tcBorders>
                    <w:top w:val="single" w:color="auto" w:sz="2" w:space="0"/>
                    <w:left w:val="single" w:color="auto" w:sz="2" w:space="0"/>
                    <w:bottom w:val="single" w:color="auto" w:sz="2" w:space="0"/>
                    <w:right w:val="single" w:color="auto" w:sz="2" w:space="0"/>
                  </w:tcBorders>
                  <w:vAlign w:val="center"/>
                </w:tcPr>
                <w:p w14:paraId="0A17FBC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4790A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BCE310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1.79</w:t>
                  </w:r>
                </w:p>
              </w:tc>
              <w:tc>
                <w:tcPr>
                  <w:tcW w:w="1136" w:type="pct"/>
                  <w:gridSpan w:val="3"/>
                  <w:tcBorders>
                    <w:top w:val="single" w:color="auto" w:sz="2" w:space="0"/>
                    <w:left w:val="single" w:color="auto" w:sz="2" w:space="0"/>
                    <w:bottom w:val="single" w:color="auto" w:sz="2" w:space="0"/>
                    <w:right w:val="nil"/>
                  </w:tcBorders>
                  <w:vAlign w:val="center"/>
                </w:tcPr>
                <w:p w14:paraId="59EF383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1.79</w:t>
                  </w:r>
                </w:p>
              </w:tc>
            </w:tr>
            <w:tr w14:paraId="0E5F79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F049E5F">
                  <w:pPr>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6131911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7BAB267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E5692A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1.77</w:t>
                  </w:r>
                </w:p>
              </w:tc>
              <w:tc>
                <w:tcPr>
                  <w:tcW w:w="1136" w:type="pct"/>
                  <w:gridSpan w:val="3"/>
                  <w:tcBorders>
                    <w:top w:val="single" w:color="auto" w:sz="2" w:space="0"/>
                    <w:left w:val="single" w:color="auto" w:sz="2" w:space="0"/>
                    <w:bottom w:val="single" w:color="auto" w:sz="2" w:space="0"/>
                    <w:right w:val="nil"/>
                  </w:tcBorders>
                  <w:vAlign w:val="center"/>
                </w:tcPr>
                <w:p w14:paraId="4039C3D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1.77</w:t>
                  </w:r>
                </w:p>
              </w:tc>
            </w:tr>
            <w:tr w14:paraId="2F0E07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76A6119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D</w:t>
                  </w:r>
                </w:p>
              </w:tc>
              <w:tc>
                <w:tcPr>
                  <w:tcW w:w="777" w:type="pct"/>
                  <w:tcBorders>
                    <w:top w:val="single" w:color="auto" w:sz="2" w:space="0"/>
                    <w:left w:val="single" w:color="auto" w:sz="2" w:space="0"/>
                    <w:bottom w:val="single" w:color="auto" w:sz="2" w:space="0"/>
                    <w:right w:val="single" w:color="auto" w:sz="2" w:space="0"/>
                  </w:tcBorders>
                  <w:vAlign w:val="center"/>
                </w:tcPr>
                <w:p w14:paraId="04CC79C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1D6B3C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41C5A59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0.78</w:t>
                  </w:r>
                </w:p>
              </w:tc>
              <w:tc>
                <w:tcPr>
                  <w:tcW w:w="1136" w:type="pct"/>
                  <w:gridSpan w:val="3"/>
                  <w:tcBorders>
                    <w:top w:val="single" w:color="auto" w:sz="2" w:space="0"/>
                    <w:left w:val="single" w:color="auto" w:sz="2" w:space="0"/>
                    <w:bottom w:val="single" w:color="auto" w:sz="2" w:space="0"/>
                    <w:right w:val="nil"/>
                  </w:tcBorders>
                  <w:vAlign w:val="center"/>
                </w:tcPr>
                <w:p w14:paraId="4B0F319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0.57</w:t>
                  </w:r>
                </w:p>
              </w:tc>
            </w:tr>
            <w:tr w14:paraId="2F54E8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B8A1B67">
                  <w:pPr>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77B2CCC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78A5E06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CCBB70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0.84</w:t>
                  </w:r>
                </w:p>
              </w:tc>
              <w:tc>
                <w:tcPr>
                  <w:tcW w:w="1136" w:type="pct"/>
                  <w:gridSpan w:val="3"/>
                  <w:tcBorders>
                    <w:top w:val="single" w:color="auto" w:sz="2" w:space="0"/>
                    <w:left w:val="single" w:color="auto" w:sz="2" w:space="0"/>
                    <w:bottom w:val="single" w:color="auto" w:sz="2" w:space="0"/>
                    <w:right w:val="nil"/>
                  </w:tcBorders>
                  <w:vAlign w:val="center"/>
                </w:tcPr>
                <w:p w14:paraId="31594C0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0.76</w:t>
                  </w:r>
                </w:p>
              </w:tc>
            </w:tr>
            <w:tr w14:paraId="22978F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637A0949">
                  <w:pPr>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注：</w:t>
                  </w:r>
                  <w:r>
                    <w:rPr>
                      <w:rFonts w:hint="default" w:ascii="Times New Roman" w:hAnsi="Times New Roman" w:eastAsia="宋体" w:cs="Times New Roman"/>
                      <w:color w:val="auto"/>
                      <w:sz w:val="18"/>
                      <w:szCs w:val="18"/>
                      <w:highlight w:val="none"/>
                    </w:rPr>
                    <w:t>Ⅰ类：与无组织排放源共存的排放同种有害气体的排气筒的排放量，大于或等于标准规定的允许排放量的1/3者。</w:t>
                  </w:r>
                </w:p>
                <w:p w14:paraId="2DED7778">
                  <w:pPr>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525C124B">
                  <w:pPr>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18"/>
                      <w:szCs w:val="18"/>
                      <w:highlight w:val="none"/>
                    </w:rPr>
                    <w:t>Ⅲ类：无排放同种有害物质的排气筒与无组织排放源共存，但无组织排放的有害物质的容许浓度是按慢性反应指标确定者。</w:t>
                  </w:r>
                </w:p>
              </w:tc>
            </w:tr>
          </w:tbl>
          <w:p w14:paraId="3475DC4F">
            <w:pPr>
              <w:adjustRightInd w:val="0"/>
              <w:snapToGrid w:val="0"/>
              <w:spacing w:line="50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0A0731DD">
            <w:pPr>
              <w:spacing w:line="360" w:lineRule="auto"/>
              <w:ind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经计算，本项目卫生防护距离计算结果见表4-</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14:paraId="04BF2D2E">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rPr>
              <w:t xml:space="preserve">  卫生防护距离计算结果表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411"/>
              <w:gridCol w:w="667"/>
              <w:gridCol w:w="765"/>
              <w:gridCol w:w="960"/>
              <w:gridCol w:w="833"/>
              <w:gridCol w:w="592"/>
              <w:gridCol w:w="582"/>
              <w:gridCol w:w="562"/>
              <w:gridCol w:w="686"/>
              <w:gridCol w:w="1118"/>
              <w:gridCol w:w="1111"/>
            </w:tblGrid>
            <w:tr w14:paraId="741CA4D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restart"/>
                  <w:vAlign w:val="center"/>
                </w:tcPr>
                <w:p w14:paraId="47939BD5">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面源</w:t>
                  </w:r>
                </w:p>
                <w:p w14:paraId="7EFE35B8">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名称</w:t>
                  </w:r>
                </w:p>
              </w:tc>
              <w:tc>
                <w:tcPr>
                  <w:tcW w:w="402" w:type="pct"/>
                  <w:vMerge w:val="restart"/>
                  <w:vAlign w:val="center"/>
                </w:tcPr>
                <w:p w14:paraId="61159A84">
                  <w:pPr>
                    <w:ind w:left="-105" w:leftChars="-50" w:right="-105" w:rightChars="-5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461" w:type="pct"/>
                  <w:vMerge w:val="restart"/>
                  <w:vAlign w:val="center"/>
                </w:tcPr>
                <w:p w14:paraId="50543CED">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Qc</w:t>
                  </w:r>
                </w:p>
                <w:p w14:paraId="5F12331D">
                  <w:pPr>
                    <w:ind w:left="-105" w:leftChars="-50" w:right="-105" w:rightChars="-5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color w:val="auto"/>
                      <w:highlight w:val="none"/>
                    </w:rPr>
                    <w:t>（kg/h）</w:t>
                  </w:r>
                </w:p>
              </w:tc>
              <w:tc>
                <w:tcPr>
                  <w:tcW w:w="579" w:type="pct"/>
                  <w:vMerge w:val="restart"/>
                  <w:vAlign w:val="center"/>
                </w:tcPr>
                <w:p w14:paraId="425E9134">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面源面积（m</w:t>
                  </w:r>
                  <w:r>
                    <w:rPr>
                      <w:rFonts w:hint="default" w:ascii="Times New Roman" w:hAnsi="Times New Roman" w:eastAsia="宋体" w:cs="Times New Roman"/>
                      <w:b/>
                      <w:bCs/>
                      <w:color w:val="auto"/>
                      <w:highlight w:val="none"/>
                      <w:vertAlign w:val="superscript"/>
                    </w:rPr>
                    <w:t>2</w:t>
                  </w:r>
                  <w:r>
                    <w:rPr>
                      <w:rFonts w:hint="default" w:ascii="Times New Roman" w:hAnsi="Times New Roman" w:eastAsia="宋体" w:cs="Times New Roman"/>
                      <w:b/>
                      <w:bCs/>
                      <w:color w:val="auto"/>
                      <w:highlight w:val="none"/>
                    </w:rPr>
                    <w:t>）</w:t>
                  </w:r>
                </w:p>
              </w:tc>
              <w:tc>
                <w:tcPr>
                  <w:tcW w:w="1963" w:type="pct"/>
                  <w:gridSpan w:val="5"/>
                  <w:vAlign w:val="center"/>
                </w:tcPr>
                <w:p w14:paraId="60D386F4">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计算参数</w:t>
                  </w:r>
                </w:p>
              </w:tc>
              <w:tc>
                <w:tcPr>
                  <w:tcW w:w="1344" w:type="pct"/>
                  <w:gridSpan w:val="2"/>
                  <w:vAlign w:val="center"/>
                </w:tcPr>
                <w:p w14:paraId="66A075A0">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卫生防护距离</w:t>
                  </w:r>
                </w:p>
              </w:tc>
            </w:tr>
            <w:tr w14:paraId="54A727C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tcBorders>
                    <w:bottom w:val="single" w:color="auto" w:sz="4" w:space="0"/>
                  </w:tcBorders>
                  <w:vAlign w:val="center"/>
                </w:tcPr>
                <w:p w14:paraId="65B56C04">
                  <w:pPr>
                    <w:jc w:val="center"/>
                    <w:rPr>
                      <w:rFonts w:hint="default" w:ascii="Times New Roman" w:hAnsi="Times New Roman" w:eastAsia="宋体" w:cs="Times New Roman"/>
                      <w:b/>
                      <w:bCs/>
                      <w:color w:val="auto"/>
                      <w:highlight w:val="none"/>
                    </w:rPr>
                  </w:pPr>
                </w:p>
              </w:tc>
              <w:tc>
                <w:tcPr>
                  <w:tcW w:w="402" w:type="pct"/>
                  <w:vMerge w:val="continue"/>
                  <w:vAlign w:val="center"/>
                </w:tcPr>
                <w:p w14:paraId="381C71FA">
                  <w:pPr>
                    <w:jc w:val="center"/>
                    <w:rPr>
                      <w:rFonts w:hint="default" w:ascii="Times New Roman" w:hAnsi="Times New Roman" w:eastAsia="宋体" w:cs="Times New Roman"/>
                      <w:b/>
                      <w:bCs/>
                      <w:color w:val="auto"/>
                      <w:highlight w:val="none"/>
                    </w:rPr>
                  </w:pPr>
                </w:p>
              </w:tc>
              <w:tc>
                <w:tcPr>
                  <w:tcW w:w="461" w:type="pct"/>
                  <w:vMerge w:val="continue"/>
                  <w:vAlign w:val="center"/>
                </w:tcPr>
                <w:p w14:paraId="391AEFEC">
                  <w:pPr>
                    <w:jc w:val="center"/>
                    <w:rPr>
                      <w:rFonts w:hint="default" w:ascii="Times New Roman" w:hAnsi="Times New Roman" w:eastAsia="宋体" w:cs="Times New Roman"/>
                      <w:b/>
                      <w:bCs/>
                      <w:color w:val="auto"/>
                      <w:highlight w:val="none"/>
                    </w:rPr>
                  </w:pPr>
                </w:p>
              </w:tc>
              <w:tc>
                <w:tcPr>
                  <w:tcW w:w="579" w:type="pct"/>
                  <w:vMerge w:val="continue"/>
                  <w:vAlign w:val="center"/>
                </w:tcPr>
                <w:p w14:paraId="142AF8FA">
                  <w:pPr>
                    <w:jc w:val="center"/>
                    <w:rPr>
                      <w:rFonts w:hint="default" w:ascii="Times New Roman" w:hAnsi="Times New Roman" w:eastAsia="宋体" w:cs="Times New Roman"/>
                      <w:b/>
                      <w:bCs/>
                      <w:color w:val="auto"/>
                      <w:highlight w:val="none"/>
                    </w:rPr>
                  </w:pPr>
                </w:p>
              </w:tc>
              <w:tc>
                <w:tcPr>
                  <w:tcW w:w="502" w:type="pct"/>
                  <w:vAlign w:val="center"/>
                </w:tcPr>
                <w:p w14:paraId="33653973">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Cm（mg/m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c>
                <w:tcPr>
                  <w:tcW w:w="357" w:type="pct"/>
                  <w:vAlign w:val="center"/>
                </w:tcPr>
                <w:p w14:paraId="1F5A626C">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A</w:t>
                  </w:r>
                </w:p>
              </w:tc>
              <w:tc>
                <w:tcPr>
                  <w:tcW w:w="351" w:type="pct"/>
                  <w:vAlign w:val="center"/>
                </w:tcPr>
                <w:p w14:paraId="515107DF">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B</w:t>
                  </w:r>
                </w:p>
              </w:tc>
              <w:tc>
                <w:tcPr>
                  <w:tcW w:w="339" w:type="pct"/>
                  <w:vAlign w:val="center"/>
                </w:tcPr>
                <w:p w14:paraId="741C6AE5">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C</w:t>
                  </w:r>
                </w:p>
              </w:tc>
              <w:tc>
                <w:tcPr>
                  <w:tcW w:w="413" w:type="pct"/>
                  <w:vAlign w:val="center"/>
                </w:tcPr>
                <w:p w14:paraId="34919DD8">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D</w:t>
                  </w:r>
                </w:p>
              </w:tc>
              <w:tc>
                <w:tcPr>
                  <w:tcW w:w="674" w:type="pct"/>
                  <w:vAlign w:val="center"/>
                </w:tcPr>
                <w:p w14:paraId="69443A3A">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L计（m）</w:t>
                  </w:r>
                </w:p>
              </w:tc>
              <w:tc>
                <w:tcPr>
                  <w:tcW w:w="670" w:type="pct"/>
                  <w:vAlign w:val="center"/>
                </w:tcPr>
                <w:p w14:paraId="5190BBEF">
                  <w:pPr>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L</w:t>
                  </w:r>
                  <w:r>
                    <w:rPr>
                      <w:rFonts w:hint="default" w:ascii="Times New Roman" w:hAnsi="Times New Roman" w:eastAsia="宋体" w:cs="Times New Roman"/>
                      <w:b/>
                      <w:bCs/>
                      <w:color w:val="auto"/>
                      <w:highlight w:val="none"/>
                      <w:lang w:val="en-US" w:eastAsia="zh-CN"/>
                    </w:rPr>
                    <w:t>总</w:t>
                  </w:r>
                  <w:r>
                    <w:rPr>
                      <w:rFonts w:hint="default" w:ascii="Times New Roman" w:hAnsi="Times New Roman" w:eastAsia="宋体" w:cs="Times New Roman"/>
                      <w:b/>
                      <w:bCs/>
                      <w:color w:val="auto"/>
                      <w:highlight w:val="none"/>
                    </w:rPr>
                    <w:t>（m）</w:t>
                  </w:r>
                </w:p>
              </w:tc>
            </w:tr>
            <w:tr w14:paraId="2B5DC6C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restart"/>
                  <w:tcBorders>
                    <w:top w:val="single" w:color="auto" w:sz="4" w:space="0"/>
                  </w:tcBorders>
                  <w:vAlign w:val="center"/>
                </w:tcPr>
                <w:p w14:paraId="7C82E4D3">
                  <w:pPr>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生产车间</w:t>
                  </w:r>
                </w:p>
              </w:tc>
              <w:tc>
                <w:tcPr>
                  <w:tcW w:w="402" w:type="pct"/>
                  <w:vAlign w:val="center"/>
                </w:tcPr>
                <w:p w14:paraId="792742B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461" w:type="pct"/>
                  <w:vAlign w:val="center"/>
                </w:tcPr>
                <w:p w14:paraId="12237859">
                  <w:pPr>
                    <w:spacing w:line="276"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0.122</w:t>
                  </w:r>
                </w:p>
              </w:tc>
              <w:tc>
                <w:tcPr>
                  <w:tcW w:w="579" w:type="pct"/>
                  <w:vAlign w:val="center"/>
                </w:tcPr>
                <w:p w14:paraId="7E679E9A">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b w:val="0"/>
                      <w:bCs w:val="0"/>
                      <w:smallCaps w:val="0"/>
                      <w:color w:val="auto"/>
                      <w:spacing w:val="0"/>
                      <w:sz w:val="21"/>
                      <w:szCs w:val="21"/>
                      <w:highlight w:val="none"/>
                      <w:lang w:val="en-US" w:eastAsia="zh-CN"/>
                    </w:rPr>
                    <w:t>4523.17</w:t>
                  </w:r>
                </w:p>
              </w:tc>
              <w:tc>
                <w:tcPr>
                  <w:tcW w:w="502" w:type="pct"/>
                  <w:vAlign w:val="center"/>
                </w:tcPr>
                <w:p w14:paraId="11468D4C">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357" w:type="pct"/>
                  <w:vAlign w:val="center"/>
                </w:tcPr>
                <w:p w14:paraId="0B1E7B2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470</w:t>
                  </w:r>
                </w:p>
              </w:tc>
              <w:tc>
                <w:tcPr>
                  <w:tcW w:w="351" w:type="pct"/>
                  <w:vAlign w:val="center"/>
                </w:tcPr>
                <w:p w14:paraId="03314CEF">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0.018</w:t>
                  </w:r>
                </w:p>
              </w:tc>
              <w:tc>
                <w:tcPr>
                  <w:tcW w:w="339" w:type="pct"/>
                  <w:vAlign w:val="center"/>
                </w:tcPr>
                <w:p w14:paraId="7FA0D26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1.85</w:t>
                  </w:r>
                </w:p>
              </w:tc>
              <w:tc>
                <w:tcPr>
                  <w:tcW w:w="413" w:type="pct"/>
                  <w:vAlign w:val="center"/>
                </w:tcPr>
                <w:p w14:paraId="6E1593E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0.84</w:t>
                  </w:r>
                </w:p>
              </w:tc>
              <w:tc>
                <w:tcPr>
                  <w:tcW w:w="674" w:type="pct"/>
                  <w:vAlign w:val="center"/>
                </w:tcPr>
                <w:p w14:paraId="15680173">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0.72</w:t>
                  </w:r>
                </w:p>
              </w:tc>
              <w:tc>
                <w:tcPr>
                  <w:tcW w:w="670" w:type="pct"/>
                  <w:vMerge w:val="restart"/>
                  <w:vAlign w:val="center"/>
                </w:tcPr>
                <w:p w14:paraId="494465F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r>
            <w:tr w14:paraId="6A001F7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vAlign w:val="center"/>
                </w:tcPr>
                <w:p w14:paraId="22FB6735">
                  <w:pPr>
                    <w:ind w:left="-105" w:leftChars="-50" w:right="-105" w:rightChars="-50"/>
                    <w:jc w:val="center"/>
                    <w:rPr>
                      <w:rFonts w:hint="default" w:ascii="Times New Roman" w:hAnsi="Times New Roman" w:eastAsia="宋体" w:cs="Times New Roman"/>
                      <w:color w:val="auto"/>
                      <w:highlight w:val="none"/>
                      <w:lang w:val="en-US" w:eastAsia="zh-CN"/>
                    </w:rPr>
                  </w:pPr>
                </w:p>
              </w:tc>
              <w:tc>
                <w:tcPr>
                  <w:tcW w:w="402" w:type="pct"/>
                  <w:vAlign w:val="center"/>
                </w:tcPr>
                <w:p w14:paraId="57FDFAB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p>
              </w:tc>
              <w:tc>
                <w:tcPr>
                  <w:tcW w:w="461" w:type="pct"/>
                  <w:vAlign w:val="center"/>
                </w:tcPr>
                <w:p w14:paraId="7F237FD5">
                  <w:pPr>
                    <w:spacing w:line="276"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0.078</w:t>
                  </w:r>
                </w:p>
              </w:tc>
              <w:tc>
                <w:tcPr>
                  <w:tcW w:w="579" w:type="pct"/>
                  <w:vAlign w:val="center"/>
                </w:tcPr>
                <w:p w14:paraId="4CE1C1D1">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val="0"/>
                      <w:bCs w:val="0"/>
                      <w:smallCaps w:val="0"/>
                      <w:color w:val="auto"/>
                      <w:spacing w:val="0"/>
                      <w:sz w:val="21"/>
                      <w:szCs w:val="21"/>
                      <w:highlight w:val="none"/>
                      <w:lang w:val="en-US" w:eastAsia="zh-CN"/>
                    </w:rPr>
                    <w:t>4523.17</w:t>
                  </w:r>
                </w:p>
              </w:tc>
              <w:tc>
                <w:tcPr>
                  <w:tcW w:w="502" w:type="pct"/>
                  <w:shd w:val="clear" w:color="auto" w:fill="auto"/>
                  <w:vAlign w:val="center"/>
                </w:tcPr>
                <w:p w14:paraId="791CDC71">
                  <w:pPr>
                    <w:adjustRightInd w:val="0"/>
                    <w:snapToGrid w:val="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2.0</w:t>
                  </w:r>
                </w:p>
              </w:tc>
              <w:tc>
                <w:tcPr>
                  <w:tcW w:w="357" w:type="pct"/>
                  <w:shd w:val="clear" w:color="auto" w:fill="auto"/>
                  <w:vAlign w:val="center"/>
                </w:tcPr>
                <w:p w14:paraId="3F0800D5">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470</w:t>
                  </w:r>
                </w:p>
              </w:tc>
              <w:tc>
                <w:tcPr>
                  <w:tcW w:w="351" w:type="pct"/>
                  <w:shd w:val="clear" w:color="auto" w:fill="auto"/>
                  <w:vAlign w:val="center"/>
                </w:tcPr>
                <w:p w14:paraId="73394D73">
                  <w:pPr>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eastAsia="zh-CN"/>
                    </w:rPr>
                    <w:t>0.018</w:t>
                  </w:r>
                </w:p>
              </w:tc>
              <w:tc>
                <w:tcPr>
                  <w:tcW w:w="339" w:type="pct"/>
                  <w:shd w:val="clear" w:color="auto" w:fill="auto"/>
                  <w:vAlign w:val="center"/>
                </w:tcPr>
                <w:p w14:paraId="36882C12">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1.85</w:t>
                  </w:r>
                </w:p>
              </w:tc>
              <w:tc>
                <w:tcPr>
                  <w:tcW w:w="413" w:type="pct"/>
                  <w:shd w:val="clear" w:color="auto" w:fill="auto"/>
                  <w:vAlign w:val="center"/>
                </w:tcPr>
                <w:p w14:paraId="5DA3F635">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0.84</w:t>
                  </w:r>
                </w:p>
              </w:tc>
              <w:tc>
                <w:tcPr>
                  <w:tcW w:w="674" w:type="pct"/>
                  <w:vAlign w:val="center"/>
                </w:tcPr>
                <w:p w14:paraId="56AC9559">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5.00</w:t>
                  </w:r>
                </w:p>
              </w:tc>
              <w:tc>
                <w:tcPr>
                  <w:tcW w:w="670" w:type="pct"/>
                  <w:vMerge w:val="continue"/>
                  <w:vAlign w:val="center"/>
                </w:tcPr>
                <w:p w14:paraId="231BACA2">
                  <w:pPr>
                    <w:jc w:val="center"/>
                    <w:rPr>
                      <w:rFonts w:hint="eastAsia" w:ascii="Times New Roman" w:hAnsi="Times New Roman" w:eastAsia="宋体" w:cs="Times New Roman"/>
                      <w:color w:val="auto"/>
                      <w:highlight w:val="none"/>
                      <w:lang w:val="en-US" w:eastAsia="zh-CN"/>
                    </w:rPr>
                  </w:pPr>
                </w:p>
              </w:tc>
            </w:tr>
            <w:tr w14:paraId="2060058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vAlign w:val="center"/>
                </w:tcPr>
                <w:p w14:paraId="4D542EF8">
                  <w:pPr>
                    <w:ind w:left="-105" w:leftChars="-50" w:right="-105" w:rightChars="-50"/>
                    <w:jc w:val="center"/>
                    <w:rPr>
                      <w:rFonts w:hint="default" w:ascii="Times New Roman" w:hAnsi="Times New Roman" w:eastAsia="宋体" w:cs="Times New Roman"/>
                      <w:color w:val="auto"/>
                      <w:highlight w:val="none"/>
                      <w:lang w:val="en-US" w:eastAsia="zh-CN"/>
                    </w:rPr>
                  </w:pPr>
                </w:p>
              </w:tc>
              <w:tc>
                <w:tcPr>
                  <w:tcW w:w="402" w:type="pct"/>
                  <w:vAlign w:val="center"/>
                </w:tcPr>
                <w:p w14:paraId="0E9B92C4">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SO</w:t>
                  </w:r>
                  <w:r>
                    <w:rPr>
                      <w:rFonts w:hint="eastAsia" w:ascii="Times New Roman" w:hAnsi="Times New Roman" w:eastAsia="宋体" w:cs="Times New Roman"/>
                      <w:color w:val="auto"/>
                      <w:highlight w:val="none"/>
                      <w:vertAlign w:val="subscript"/>
                      <w:lang w:val="en-US" w:eastAsia="zh-CN"/>
                    </w:rPr>
                    <w:t>2</w:t>
                  </w:r>
                </w:p>
              </w:tc>
              <w:tc>
                <w:tcPr>
                  <w:tcW w:w="461" w:type="pct"/>
                  <w:vAlign w:val="center"/>
                </w:tcPr>
                <w:p w14:paraId="388FF815">
                  <w:pPr>
                    <w:spacing w:line="276"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w:t>
                  </w:r>
                </w:p>
              </w:tc>
              <w:tc>
                <w:tcPr>
                  <w:tcW w:w="579" w:type="pct"/>
                  <w:shd w:val="clear" w:color="auto" w:fill="auto"/>
                  <w:vAlign w:val="center"/>
                </w:tcPr>
                <w:p w14:paraId="59E01A7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smallCaps w:val="0"/>
                      <w:color w:val="auto"/>
                      <w:spacing w:val="0"/>
                      <w:sz w:val="21"/>
                      <w:szCs w:val="21"/>
                      <w:highlight w:val="none"/>
                      <w:lang w:val="en-US" w:eastAsia="zh-CN"/>
                    </w:rPr>
                    <w:t>4523.17</w:t>
                  </w:r>
                </w:p>
              </w:tc>
              <w:tc>
                <w:tcPr>
                  <w:tcW w:w="502" w:type="pct"/>
                  <w:shd w:val="clear" w:color="auto" w:fill="auto"/>
                  <w:vAlign w:val="center"/>
                </w:tcPr>
                <w:p w14:paraId="2061D708">
                  <w:pPr>
                    <w:adjustRightInd w:val="0"/>
                    <w:snapToGrid w:val="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2.0</w:t>
                  </w:r>
                </w:p>
              </w:tc>
              <w:tc>
                <w:tcPr>
                  <w:tcW w:w="357" w:type="pct"/>
                  <w:shd w:val="clear" w:color="auto" w:fill="auto"/>
                  <w:vAlign w:val="center"/>
                </w:tcPr>
                <w:p w14:paraId="5B9AE2FA">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470</w:t>
                  </w:r>
                </w:p>
              </w:tc>
              <w:tc>
                <w:tcPr>
                  <w:tcW w:w="351" w:type="pct"/>
                  <w:shd w:val="clear" w:color="auto" w:fill="auto"/>
                  <w:vAlign w:val="center"/>
                </w:tcPr>
                <w:p w14:paraId="43BC0161">
                  <w:pPr>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eastAsia="zh-CN"/>
                    </w:rPr>
                    <w:t>0.018</w:t>
                  </w:r>
                </w:p>
              </w:tc>
              <w:tc>
                <w:tcPr>
                  <w:tcW w:w="339" w:type="pct"/>
                  <w:shd w:val="clear" w:color="auto" w:fill="auto"/>
                  <w:vAlign w:val="center"/>
                </w:tcPr>
                <w:p w14:paraId="7A5AA971">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1.85</w:t>
                  </w:r>
                </w:p>
              </w:tc>
              <w:tc>
                <w:tcPr>
                  <w:tcW w:w="413" w:type="pct"/>
                  <w:shd w:val="clear" w:color="auto" w:fill="auto"/>
                  <w:vAlign w:val="center"/>
                </w:tcPr>
                <w:p w14:paraId="2E35939F">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0.84</w:t>
                  </w:r>
                </w:p>
              </w:tc>
              <w:tc>
                <w:tcPr>
                  <w:tcW w:w="674" w:type="pct"/>
                  <w:vAlign w:val="center"/>
                </w:tcPr>
                <w:p w14:paraId="0A818951">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0.04</w:t>
                  </w:r>
                </w:p>
              </w:tc>
              <w:tc>
                <w:tcPr>
                  <w:tcW w:w="670" w:type="pct"/>
                  <w:vMerge w:val="continue"/>
                  <w:vAlign w:val="center"/>
                </w:tcPr>
                <w:p w14:paraId="0B345877">
                  <w:pPr>
                    <w:jc w:val="center"/>
                    <w:rPr>
                      <w:rFonts w:hint="eastAsia" w:ascii="Times New Roman" w:hAnsi="Times New Roman" w:eastAsia="宋体" w:cs="Times New Roman"/>
                      <w:color w:val="auto"/>
                      <w:highlight w:val="none"/>
                      <w:lang w:val="en-US" w:eastAsia="zh-CN"/>
                    </w:rPr>
                  </w:pPr>
                </w:p>
              </w:tc>
            </w:tr>
            <w:tr w14:paraId="0BE9C22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7" w:type="pct"/>
                  <w:vMerge w:val="continue"/>
                  <w:vAlign w:val="center"/>
                </w:tcPr>
                <w:p w14:paraId="6962B181">
                  <w:pPr>
                    <w:ind w:left="-105" w:leftChars="-50" w:right="-105" w:rightChars="-50"/>
                    <w:jc w:val="center"/>
                    <w:rPr>
                      <w:rFonts w:hint="default" w:ascii="Times New Roman" w:hAnsi="Times New Roman" w:eastAsia="宋体" w:cs="Times New Roman"/>
                      <w:color w:val="auto"/>
                      <w:highlight w:val="none"/>
                      <w:lang w:val="en-US" w:eastAsia="zh-CN"/>
                    </w:rPr>
                  </w:pPr>
                </w:p>
              </w:tc>
              <w:tc>
                <w:tcPr>
                  <w:tcW w:w="402" w:type="pct"/>
                  <w:vAlign w:val="center"/>
                </w:tcPr>
                <w:p w14:paraId="73E5C253">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NOx</w:t>
                  </w:r>
                </w:p>
              </w:tc>
              <w:tc>
                <w:tcPr>
                  <w:tcW w:w="461" w:type="pct"/>
                  <w:vAlign w:val="center"/>
                </w:tcPr>
                <w:p w14:paraId="287AA283">
                  <w:pPr>
                    <w:spacing w:line="276"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0.031</w:t>
                  </w:r>
                </w:p>
              </w:tc>
              <w:tc>
                <w:tcPr>
                  <w:tcW w:w="579" w:type="pct"/>
                  <w:shd w:val="clear" w:color="auto" w:fill="auto"/>
                  <w:vAlign w:val="center"/>
                </w:tcPr>
                <w:p w14:paraId="7ADA42C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smallCaps w:val="0"/>
                      <w:color w:val="auto"/>
                      <w:spacing w:val="0"/>
                      <w:sz w:val="21"/>
                      <w:szCs w:val="21"/>
                      <w:highlight w:val="none"/>
                      <w:lang w:val="en-US" w:eastAsia="zh-CN"/>
                    </w:rPr>
                    <w:t>4523.17</w:t>
                  </w:r>
                </w:p>
              </w:tc>
              <w:tc>
                <w:tcPr>
                  <w:tcW w:w="502" w:type="pct"/>
                  <w:shd w:val="clear" w:color="auto" w:fill="auto"/>
                  <w:vAlign w:val="center"/>
                </w:tcPr>
                <w:p w14:paraId="7C6B3A37">
                  <w:pPr>
                    <w:adjustRightInd w:val="0"/>
                    <w:snapToGrid w:val="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2.0</w:t>
                  </w:r>
                </w:p>
              </w:tc>
              <w:tc>
                <w:tcPr>
                  <w:tcW w:w="357" w:type="pct"/>
                  <w:shd w:val="clear" w:color="auto" w:fill="auto"/>
                  <w:vAlign w:val="center"/>
                </w:tcPr>
                <w:p w14:paraId="3C75BAC8">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470</w:t>
                  </w:r>
                </w:p>
              </w:tc>
              <w:tc>
                <w:tcPr>
                  <w:tcW w:w="351" w:type="pct"/>
                  <w:shd w:val="clear" w:color="auto" w:fill="auto"/>
                  <w:vAlign w:val="center"/>
                </w:tcPr>
                <w:p w14:paraId="3487B71F">
                  <w:pPr>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eastAsia="zh-CN"/>
                    </w:rPr>
                    <w:t>0.018</w:t>
                  </w:r>
                </w:p>
              </w:tc>
              <w:tc>
                <w:tcPr>
                  <w:tcW w:w="339" w:type="pct"/>
                  <w:shd w:val="clear" w:color="auto" w:fill="auto"/>
                  <w:vAlign w:val="center"/>
                </w:tcPr>
                <w:p w14:paraId="1660B65E">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1.85</w:t>
                  </w:r>
                </w:p>
              </w:tc>
              <w:tc>
                <w:tcPr>
                  <w:tcW w:w="413" w:type="pct"/>
                  <w:shd w:val="clear" w:color="auto" w:fill="auto"/>
                  <w:vAlign w:val="center"/>
                </w:tcPr>
                <w:p w14:paraId="45FD9A08">
                  <w:pPr>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0.84</w:t>
                  </w:r>
                </w:p>
              </w:tc>
              <w:tc>
                <w:tcPr>
                  <w:tcW w:w="674" w:type="pct"/>
                  <w:vAlign w:val="center"/>
                </w:tcPr>
                <w:p w14:paraId="7BA296C5">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9.09</w:t>
                  </w:r>
                </w:p>
              </w:tc>
              <w:tc>
                <w:tcPr>
                  <w:tcW w:w="670" w:type="pct"/>
                  <w:vMerge w:val="continue"/>
                  <w:vAlign w:val="center"/>
                </w:tcPr>
                <w:p w14:paraId="2358D95E">
                  <w:pPr>
                    <w:jc w:val="center"/>
                    <w:rPr>
                      <w:rFonts w:hint="eastAsia" w:ascii="Times New Roman" w:hAnsi="Times New Roman" w:eastAsia="宋体" w:cs="Times New Roman"/>
                      <w:color w:val="auto"/>
                      <w:highlight w:val="none"/>
                      <w:lang w:val="en-US" w:eastAsia="zh-CN"/>
                    </w:rPr>
                  </w:pPr>
                </w:p>
              </w:tc>
            </w:tr>
          </w:tbl>
          <w:p w14:paraId="1720370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根据《大气有害物质无组织排放卫生防护距离推导技术导则》（GB/T 39499-2020）确定本项目卫生防护距离是以</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车间为边界外扩</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米范围设置卫生防护距离（具体范围见图2）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经实地勘察，项目卫生防护距离内目前无居住、医院、学校等环境敏感点，将来也不得建设环境敏感点，以避免环境纠纷。</w:t>
            </w:r>
          </w:p>
          <w:p w14:paraId="0A91E5B2">
            <w:pPr>
              <w:pStyle w:val="1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color w:val="auto"/>
                <w:kern w:val="0"/>
                <w:sz w:val="24"/>
                <w:szCs w:val="24"/>
                <w:highlight w:val="none"/>
                <w:lang w:val="en-US" w:eastAsia="zh-CN"/>
              </w:rPr>
              <w:t>异味影响分析</w:t>
            </w:r>
          </w:p>
          <w:p w14:paraId="2B7EAC3C">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刺激性气味气体，其主要危害为：</w:t>
            </w:r>
          </w:p>
          <w:p w14:paraId="0D762D55">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①危害呼吸系统。人们突然闻到异味，就会产生反射性的抑制吸气，是呼吸次数减少，深度变浅，甚至会暂时停止呼吸，妨碍正常呼吸功能。</w:t>
            </w:r>
          </w:p>
          <w:p w14:paraId="37C1952C">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②危害循环系统。随着呼吸的变化，会出现脉搏和血压的变化。</w:t>
            </w:r>
          </w:p>
          <w:p w14:paraId="337FC835">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③危害消化系统。经常接触异味，会使人厌食，恶心，甚至呕吐，进而发展为消化功能减退。</w:t>
            </w:r>
          </w:p>
          <w:p w14:paraId="1B06B898">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④危害内分泌系统。经常受异味刺激，会使内分泌系统的分泌功能紊乱，影响机体的代谢活动。</w:t>
            </w:r>
          </w:p>
          <w:p w14:paraId="3BA8B804">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⑤危害神经系统。长期受到一种或几种低浓度异味物质的刺激，会引起嗅觉脱失、嗅觉疲劳等障碍。“久闻而不知其臭”，使嗅觉丧失了第一道防御功能，但脑神经仍不断</w:t>
            </w:r>
            <w:r>
              <w:rPr>
                <w:rFonts w:hint="eastAsia" w:ascii="Times New Roman" w:hAnsi="Times New Roman" w:eastAsia="宋体" w:cs="Times New Roman"/>
                <w:color w:val="auto"/>
                <w:kern w:val="0"/>
                <w:sz w:val="24"/>
                <w:szCs w:val="24"/>
                <w:highlight w:val="none"/>
                <w:lang w:val="en-US" w:eastAsia="zh-CN"/>
              </w:rPr>
              <w:t>受到</w:t>
            </w:r>
            <w:r>
              <w:rPr>
                <w:rFonts w:hint="default" w:ascii="Times New Roman" w:hAnsi="Times New Roman" w:eastAsia="宋体" w:cs="Times New Roman"/>
                <w:color w:val="auto"/>
                <w:kern w:val="0"/>
                <w:sz w:val="24"/>
                <w:szCs w:val="24"/>
                <w:highlight w:val="none"/>
              </w:rPr>
              <w:t>刺激和损伤，最后导致大脑皮层兴奋和抑制的调节失调。</w:t>
            </w:r>
          </w:p>
          <w:p w14:paraId="414C7202">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为了减小异味对周边环境的影响，本项目需加强厂房排气，增加空气流通，并且通过厂区周边绿化树木的吸收，确保异味对周边环境的影响较小。</w:t>
            </w:r>
          </w:p>
          <w:p w14:paraId="63E9E34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大气环境影响评价结论</w:t>
            </w:r>
          </w:p>
          <w:p w14:paraId="6F9401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highlight w:val="none"/>
              </w:rPr>
              <w:t>。</w:t>
            </w:r>
          </w:p>
          <w:p w14:paraId="5E3DE64A">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二、废水</w:t>
            </w:r>
          </w:p>
          <w:p w14:paraId="642BD6A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1.废水</w:t>
            </w:r>
            <w:r>
              <w:rPr>
                <w:rFonts w:hint="default" w:ascii="Times New Roman" w:hAnsi="Times New Roman" w:eastAsia="宋体" w:cs="Times New Roman"/>
                <w:b/>
                <w:bCs w:val="0"/>
                <w:color w:val="auto"/>
                <w:sz w:val="24"/>
                <w:highlight w:val="none"/>
              </w:rPr>
              <w:t>产</w:t>
            </w:r>
            <w:r>
              <w:rPr>
                <w:rFonts w:hint="default" w:ascii="Times New Roman" w:hAnsi="Times New Roman" w:eastAsia="宋体" w:cs="Times New Roman"/>
                <w:b/>
                <w:bCs w:val="0"/>
                <w:color w:val="auto"/>
                <w:sz w:val="24"/>
                <w:highlight w:val="none"/>
                <w:lang w:val="en-US" w:eastAsia="zh-CN"/>
              </w:rPr>
              <w:t>生</w:t>
            </w:r>
            <w:r>
              <w:rPr>
                <w:rFonts w:hint="default" w:ascii="Times New Roman" w:hAnsi="Times New Roman" w:eastAsia="宋体" w:cs="Times New Roman"/>
                <w:b/>
                <w:bCs w:val="0"/>
                <w:color w:val="auto"/>
                <w:sz w:val="24"/>
                <w:highlight w:val="none"/>
              </w:rPr>
              <w:t>情况</w:t>
            </w:r>
          </w:p>
          <w:p w14:paraId="04EC7F6B">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产生的废水主要有生产废水和生活污水，其中生产废水包括</w:t>
            </w:r>
            <w:r>
              <w:rPr>
                <w:rFonts w:hint="eastAsia" w:ascii="Times New Roman" w:hAnsi="Times New Roman" w:eastAsia="宋体" w:cs="Times New Roman"/>
                <w:color w:val="auto"/>
                <w:sz w:val="24"/>
                <w:szCs w:val="24"/>
                <w:highlight w:val="none"/>
                <w:lang w:val="en-US" w:eastAsia="zh-CN"/>
              </w:rPr>
              <w:t>预脱脂废水、主脱脂废水、水洗废水、硅烷化废水、拖地废水</w:t>
            </w:r>
            <w:r>
              <w:rPr>
                <w:rFonts w:hint="default" w:ascii="Times New Roman" w:hAnsi="Times New Roman" w:eastAsia="宋体" w:cs="Times New Roman"/>
                <w:color w:val="auto"/>
                <w:sz w:val="24"/>
                <w:szCs w:val="24"/>
                <w:highlight w:val="none"/>
                <w:lang w:eastAsia="zh-CN"/>
              </w:rPr>
              <w:t>。</w:t>
            </w:r>
          </w:p>
          <w:p w14:paraId="5E8C4BB2">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生活</w:t>
            </w:r>
            <w:r>
              <w:rPr>
                <w:rFonts w:hint="eastAsia" w:ascii="Times New Roman" w:hAnsi="Times New Roman" w:eastAsia="宋体" w:cs="Times New Roman"/>
                <w:b/>
                <w:bCs/>
                <w:color w:val="auto"/>
                <w:sz w:val="24"/>
                <w:szCs w:val="24"/>
                <w:highlight w:val="none"/>
                <w:lang w:val="en-US" w:eastAsia="zh-CN"/>
              </w:rPr>
              <w:t>废</w:t>
            </w:r>
            <w:r>
              <w:rPr>
                <w:rFonts w:hint="default" w:ascii="Times New Roman" w:hAnsi="Times New Roman" w:eastAsia="宋体" w:cs="Times New Roman"/>
                <w:b/>
                <w:bCs/>
                <w:color w:val="auto"/>
                <w:sz w:val="24"/>
                <w:szCs w:val="24"/>
                <w:highlight w:val="none"/>
              </w:rPr>
              <w:t>水</w:t>
            </w:r>
            <w:r>
              <w:rPr>
                <w:rFonts w:hint="eastAsia" w:ascii="Times New Roman" w:hAnsi="Times New Roman" w:eastAsia="宋体" w:cs="Times New Roman"/>
                <w:b/>
                <w:bCs/>
                <w:color w:val="auto"/>
                <w:sz w:val="24"/>
                <w:szCs w:val="24"/>
                <w:highlight w:val="none"/>
                <w:lang w:eastAsia="zh-CN"/>
              </w:rPr>
              <w:t>：</w:t>
            </w:r>
          </w:p>
          <w:p w14:paraId="6668F97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劳动定员</w:t>
            </w:r>
            <w:r>
              <w:rPr>
                <w:rFonts w:hint="eastAsia" w:ascii="Times New Roman" w:hAns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rPr>
              <w:t>人，年工作3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0天，不设食堂、宿舍和浴室。根据《常州市工业、服务业和生活用水定额》（2016年修订），人均生活用水定额按</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0L/（人·天）计，则生活用水量为</w:t>
            </w:r>
            <w:r>
              <w:rPr>
                <w:rFonts w:hint="eastAsia" w:ascii="Times New Roman" w:hAnsi="Times New Roman" w:eastAsia="宋体" w:cs="Times New Roman"/>
                <w:color w:val="auto"/>
                <w:sz w:val="24"/>
                <w:highlight w:val="none"/>
                <w:lang w:val="en-US" w:eastAsia="zh-CN"/>
              </w:rPr>
              <w:t>135</w:t>
            </w:r>
            <w:r>
              <w:rPr>
                <w:rFonts w:hint="default" w:ascii="Times New Roman" w:hAnsi="Times New Roman" w:eastAsia="宋体" w:cs="Times New Roman"/>
                <w:color w:val="auto"/>
                <w:sz w:val="24"/>
                <w:highlight w:val="none"/>
              </w:rPr>
              <w:t>0t/a，排污系数为0.8，则生活污水排放量为</w:t>
            </w:r>
            <w:r>
              <w:rPr>
                <w:rFonts w:hint="eastAsia" w:ascii="Times New Roman" w:hAnsi="Times New Roman" w:eastAsia="宋体" w:cs="Times New Roman"/>
                <w:color w:val="auto"/>
                <w:sz w:val="24"/>
                <w:highlight w:val="none"/>
                <w:lang w:val="en-US" w:eastAsia="zh-CN"/>
              </w:rPr>
              <w:t>1080</w:t>
            </w:r>
            <w:r>
              <w:rPr>
                <w:rFonts w:hint="default" w:ascii="Times New Roman" w:hAnsi="Times New Roman" w:eastAsia="宋体" w:cs="Times New Roman"/>
                <w:color w:val="auto"/>
                <w:sz w:val="24"/>
                <w:highlight w:val="none"/>
              </w:rPr>
              <w:t>t/a，主要污染物为：COD、SS、氨氮、TN、TP产生浓度分别为400mg/L、2</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0mg/L、</w:t>
            </w:r>
            <w:r>
              <w:rPr>
                <w:rFonts w:hint="eastAsia"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mg/L。</w:t>
            </w:r>
          </w:p>
          <w:p w14:paraId="72088268">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拖地废水：</w:t>
            </w:r>
            <w:r>
              <w:rPr>
                <w:rFonts w:hint="default" w:ascii="Times New Roman" w:hAnsi="Times New Roman" w:eastAsia="宋体" w:cs="Times New Roman"/>
                <w:b w:val="0"/>
                <w:bCs/>
                <w:color w:val="auto"/>
                <w:sz w:val="24"/>
                <w:szCs w:val="24"/>
                <w:highlight w:val="none"/>
              </w:rPr>
              <w:t>厂房生产过程中，地面基本保持清洁，定期用拖地机清理</w:t>
            </w:r>
            <w:r>
              <w:rPr>
                <w:rFonts w:hint="eastAsia" w:ascii="Times New Roman" w:hAnsi="Times New Roman" w:eastAsia="宋体" w:cs="Times New Roman"/>
                <w:b w:val="0"/>
                <w:bCs/>
                <w:color w:val="auto"/>
                <w:sz w:val="24"/>
                <w:szCs w:val="24"/>
                <w:highlight w:val="none"/>
                <w:lang w:val="en-US" w:eastAsia="zh-CN"/>
              </w:rPr>
              <w:t>产生拖地废水</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val="en-US" w:eastAsia="zh-CN"/>
              </w:rPr>
              <w:t>拖地废水的主要污染物为COD、SS、石油类</w:t>
            </w:r>
            <w:r>
              <w:rPr>
                <w:rFonts w:hint="default" w:ascii="Times New Roman" w:hAnsi="Times New Roman" w:eastAsia="宋体" w:cs="Times New Roman"/>
                <w:b w:val="0"/>
                <w:bCs/>
                <w:color w:val="auto"/>
                <w:sz w:val="24"/>
                <w:szCs w:val="24"/>
                <w:highlight w:val="none"/>
              </w:rPr>
              <w:t>。</w:t>
            </w:r>
          </w:p>
          <w:p w14:paraId="6BE79CCE">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前处理废水：</w:t>
            </w: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废水类比《常州泽辉机械有限公司年产1万套沙发支架项目竣工环境保护验收报告》((2017)环检(验)字第(163)号)相同</w:t>
            </w:r>
            <w:r>
              <w:rPr>
                <w:rFonts w:hint="eastAsia"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废水产生情况。该公司于 2018年1月15日和1月16日对其硅烷化表面处理线产生的水洗废水进行了监测，监测点位为废水处理设施进口及废水处理设施出口，其中废水处理设施进口中各污染物监测结果见下表。</w:t>
            </w:r>
          </w:p>
          <w:p w14:paraId="5EA6178D">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12</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废水处理设施进口中各污染物监测情况表单位:mg/L(除pH无量纲外)</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822"/>
              <w:gridCol w:w="915"/>
              <w:gridCol w:w="1269"/>
              <w:gridCol w:w="878"/>
              <w:gridCol w:w="1066"/>
              <w:gridCol w:w="1186"/>
              <w:gridCol w:w="1075"/>
              <w:gridCol w:w="1075"/>
            </w:tblGrid>
            <w:tr w14:paraId="442B90A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9" w:hRule="atLeast"/>
                <w:jc w:val="center"/>
              </w:trPr>
              <w:tc>
                <w:tcPr>
                  <w:tcW w:w="1813" w:type="pct"/>
                  <w:gridSpan w:val="3"/>
                  <w:noWrap w:val="0"/>
                  <w:vAlign w:val="center"/>
                </w:tcPr>
                <w:p w14:paraId="1FC22F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项目</w:t>
                  </w:r>
                </w:p>
              </w:tc>
              <w:tc>
                <w:tcPr>
                  <w:tcW w:w="529" w:type="pct"/>
                  <w:noWrap w:val="0"/>
                  <w:vAlign w:val="center"/>
                </w:tcPr>
                <w:p w14:paraId="670AF1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pH</w:t>
                  </w:r>
                </w:p>
              </w:tc>
              <w:tc>
                <w:tcPr>
                  <w:tcW w:w="643" w:type="pct"/>
                  <w:noWrap w:val="0"/>
                  <w:vAlign w:val="center"/>
                </w:tcPr>
                <w:p w14:paraId="217099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COD</w:t>
                  </w:r>
                </w:p>
              </w:tc>
              <w:tc>
                <w:tcPr>
                  <w:tcW w:w="715" w:type="pct"/>
                  <w:noWrap w:val="0"/>
                  <w:vAlign w:val="center"/>
                </w:tcPr>
                <w:p w14:paraId="0C5FC1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SS</w:t>
                  </w:r>
                </w:p>
              </w:tc>
              <w:tc>
                <w:tcPr>
                  <w:tcW w:w="648" w:type="pct"/>
                  <w:noWrap w:val="0"/>
                  <w:vAlign w:val="center"/>
                </w:tcPr>
                <w:p w14:paraId="7A7005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石油类</w:t>
                  </w:r>
                </w:p>
              </w:tc>
              <w:tc>
                <w:tcPr>
                  <w:tcW w:w="648" w:type="pct"/>
                  <w:noWrap w:val="0"/>
                  <w:vAlign w:val="center"/>
                </w:tcPr>
                <w:p w14:paraId="763E8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氟化物</w:t>
                  </w:r>
                </w:p>
              </w:tc>
            </w:tr>
            <w:tr w14:paraId="7BE31CC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restart"/>
                  <w:noWrap w:val="0"/>
                  <w:vAlign w:val="center"/>
                </w:tcPr>
                <w:p w14:paraId="32BFBE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废水处理设施进口</w:t>
                  </w:r>
                </w:p>
              </w:tc>
              <w:tc>
                <w:tcPr>
                  <w:tcW w:w="552" w:type="pct"/>
                  <w:vMerge w:val="restart"/>
                  <w:noWrap w:val="0"/>
                  <w:vAlign w:val="center"/>
                </w:tcPr>
                <w:p w14:paraId="40B232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2018.1.15</w:t>
                  </w:r>
                </w:p>
              </w:tc>
              <w:tc>
                <w:tcPr>
                  <w:tcW w:w="765" w:type="pct"/>
                  <w:noWrap w:val="0"/>
                  <w:vAlign w:val="center"/>
                </w:tcPr>
                <w:p w14:paraId="11A8650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529" w:type="pct"/>
                  <w:noWrap w:val="0"/>
                  <w:vAlign w:val="center"/>
                </w:tcPr>
                <w:p w14:paraId="5E4244A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9.22</w:t>
                  </w:r>
                </w:p>
              </w:tc>
              <w:tc>
                <w:tcPr>
                  <w:tcW w:w="643" w:type="pct"/>
                  <w:noWrap w:val="0"/>
                  <w:vAlign w:val="center"/>
                </w:tcPr>
                <w:p w14:paraId="224FF9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2*10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12E4E8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w:t>
                  </w:r>
                  <w:r>
                    <w:rPr>
                      <w:rFonts w:hint="default" w:ascii="Times New Roman" w:hAnsi="Times New Roman" w:eastAsia="宋体" w:cs="Times New Roman"/>
                      <w:smallCaps w:val="0"/>
                      <w:color w:val="auto"/>
                      <w:spacing w:val="0"/>
                      <w:sz w:val="21"/>
                      <w:szCs w:val="21"/>
                      <w:highlight w:val="none"/>
                      <w:lang w:val="en-US" w:eastAsia="zh-CN"/>
                    </w:rPr>
                    <w:t>60</w:t>
                  </w:r>
                </w:p>
              </w:tc>
              <w:tc>
                <w:tcPr>
                  <w:tcW w:w="648" w:type="pct"/>
                  <w:noWrap w:val="0"/>
                  <w:vAlign w:val="center"/>
                </w:tcPr>
                <w:p w14:paraId="76B734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r>
                    <w:rPr>
                      <w:rFonts w:hint="default" w:ascii="Times New Roman" w:hAnsi="Times New Roman" w:eastAsia="宋体" w:cs="Times New Roman"/>
                      <w:smallCaps w:val="0"/>
                      <w:color w:val="auto"/>
                      <w:spacing w:val="0"/>
                      <w:sz w:val="21"/>
                      <w:szCs w:val="21"/>
                      <w:highlight w:val="none"/>
                      <w:lang w:val="en-US" w:eastAsia="zh-CN"/>
                    </w:rPr>
                    <w:t>11</w:t>
                  </w:r>
                </w:p>
              </w:tc>
              <w:tc>
                <w:tcPr>
                  <w:tcW w:w="648" w:type="pct"/>
                  <w:noWrap w:val="0"/>
                  <w:vAlign w:val="center"/>
                </w:tcPr>
                <w:p w14:paraId="77FD14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23</w:t>
                  </w:r>
                </w:p>
              </w:tc>
            </w:tr>
            <w:tr w14:paraId="40F53FF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shd w:val="clear" w:color="auto" w:fill="auto"/>
                  <w:noWrap w:val="0"/>
                  <w:vAlign w:val="center"/>
                </w:tcPr>
                <w:p w14:paraId="67971D9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52" w:type="pct"/>
                  <w:vMerge w:val="continue"/>
                  <w:shd w:val="clear" w:color="auto" w:fill="auto"/>
                  <w:noWrap w:val="0"/>
                  <w:vAlign w:val="center"/>
                </w:tcPr>
                <w:p w14:paraId="7482428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765" w:type="pct"/>
                  <w:shd w:val="clear" w:color="auto" w:fill="auto"/>
                  <w:noWrap w:val="0"/>
                  <w:vAlign w:val="center"/>
                </w:tcPr>
                <w:p w14:paraId="078350F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529" w:type="pct"/>
                  <w:shd w:val="clear" w:color="auto" w:fill="auto"/>
                  <w:noWrap w:val="0"/>
                  <w:vAlign w:val="center"/>
                </w:tcPr>
                <w:p w14:paraId="6E8DA06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3</w:t>
                  </w:r>
                </w:p>
              </w:tc>
              <w:tc>
                <w:tcPr>
                  <w:tcW w:w="643" w:type="pct"/>
                  <w:shd w:val="clear" w:color="auto" w:fill="auto"/>
                  <w:noWrap w:val="0"/>
                  <w:vAlign w:val="center"/>
                </w:tcPr>
                <w:p w14:paraId="26B9F3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4*10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shd w:val="clear" w:color="auto" w:fill="auto"/>
                  <w:noWrap w:val="0"/>
                  <w:vAlign w:val="center"/>
                </w:tcPr>
                <w:p w14:paraId="57712E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4</w:t>
                  </w:r>
                  <w:r>
                    <w:rPr>
                      <w:rFonts w:hint="default" w:ascii="Times New Roman" w:hAnsi="Times New Roman" w:eastAsia="宋体" w:cs="Times New Roman"/>
                      <w:smallCaps w:val="0"/>
                      <w:color w:val="auto"/>
                      <w:spacing w:val="0"/>
                      <w:kern w:val="2"/>
                      <w:sz w:val="21"/>
                      <w:szCs w:val="21"/>
                      <w:highlight w:val="none"/>
                      <w:lang w:val="en-US" w:eastAsia="zh-CN" w:bidi="ar-SA"/>
                    </w:rPr>
                    <w:t>65</w:t>
                  </w:r>
                </w:p>
              </w:tc>
              <w:tc>
                <w:tcPr>
                  <w:tcW w:w="648" w:type="pct"/>
                  <w:shd w:val="clear" w:color="auto" w:fill="auto"/>
                  <w:noWrap w:val="0"/>
                  <w:vAlign w:val="center"/>
                </w:tcPr>
                <w:p w14:paraId="780256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kern w:val="2"/>
                      <w:sz w:val="21"/>
                      <w:szCs w:val="21"/>
                      <w:highlight w:val="none"/>
                      <w:lang w:val="en-US" w:eastAsia="zh-CN" w:bidi="ar-SA"/>
                    </w:rPr>
                    <w:t>87</w:t>
                  </w:r>
                </w:p>
              </w:tc>
              <w:tc>
                <w:tcPr>
                  <w:tcW w:w="648" w:type="pct"/>
                  <w:shd w:val="clear" w:color="auto" w:fill="auto"/>
                  <w:noWrap w:val="0"/>
                  <w:vAlign w:val="center"/>
                </w:tcPr>
                <w:p w14:paraId="24FE6B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57</w:t>
                  </w:r>
                </w:p>
              </w:tc>
            </w:tr>
            <w:tr w14:paraId="0C1E932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21D6A1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noWrap w:val="0"/>
                  <w:vAlign w:val="center"/>
                </w:tcPr>
                <w:p w14:paraId="39EF31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765" w:type="pct"/>
                  <w:shd w:val="clear" w:color="auto" w:fill="auto"/>
                  <w:noWrap w:val="0"/>
                  <w:vAlign w:val="center"/>
                </w:tcPr>
                <w:p w14:paraId="3BCA966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529" w:type="pct"/>
                  <w:shd w:val="clear" w:color="auto" w:fill="auto"/>
                  <w:noWrap w:val="0"/>
                  <w:vAlign w:val="center"/>
                </w:tcPr>
                <w:p w14:paraId="39B6F6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1</w:t>
                  </w:r>
                </w:p>
              </w:tc>
              <w:tc>
                <w:tcPr>
                  <w:tcW w:w="643" w:type="pct"/>
                  <w:noWrap w:val="0"/>
                  <w:vAlign w:val="center"/>
                </w:tcPr>
                <w:p w14:paraId="0F0CBF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0*10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7A8F3D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w:t>
                  </w:r>
                  <w:r>
                    <w:rPr>
                      <w:rFonts w:hint="default" w:ascii="Times New Roman" w:hAnsi="Times New Roman" w:eastAsia="宋体" w:cs="Times New Roman"/>
                      <w:smallCaps w:val="0"/>
                      <w:color w:val="auto"/>
                      <w:spacing w:val="0"/>
                      <w:sz w:val="21"/>
                      <w:szCs w:val="21"/>
                      <w:highlight w:val="none"/>
                      <w:lang w:val="en-US" w:eastAsia="zh-CN"/>
                    </w:rPr>
                    <w:t>67</w:t>
                  </w:r>
                </w:p>
              </w:tc>
              <w:tc>
                <w:tcPr>
                  <w:tcW w:w="648" w:type="pct"/>
                  <w:noWrap w:val="0"/>
                  <w:vAlign w:val="center"/>
                </w:tcPr>
                <w:p w14:paraId="62B483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r>
                    <w:rPr>
                      <w:rFonts w:hint="default" w:ascii="Times New Roman" w:hAnsi="Times New Roman" w:eastAsia="宋体" w:cs="Times New Roman"/>
                      <w:smallCaps w:val="0"/>
                      <w:color w:val="auto"/>
                      <w:spacing w:val="0"/>
                      <w:sz w:val="21"/>
                      <w:szCs w:val="21"/>
                      <w:highlight w:val="none"/>
                      <w:lang w:val="en-US" w:eastAsia="zh-CN"/>
                    </w:rPr>
                    <w:t>06</w:t>
                  </w:r>
                </w:p>
              </w:tc>
              <w:tc>
                <w:tcPr>
                  <w:tcW w:w="648" w:type="pct"/>
                  <w:noWrap w:val="0"/>
                  <w:vAlign w:val="center"/>
                </w:tcPr>
                <w:p w14:paraId="030D6A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31</w:t>
                  </w:r>
                </w:p>
              </w:tc>
            </w:tr>
            <w:tr w14:paraId="03A21A80">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467D896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noWrap w:val="0"/>
                  <w:vAlign w:val="center"/>
                </w:tcPr>
                <w:p w14:paraId="4DB5DF9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765" w:type="pct"/>
                  <w:shd w:val="clear" w:color="auto" w:fill="auto"/>
                  <w:noWrap w:val="0"/>
                  <w:vAlign w:val="center"/>
                </w:tcPr>
                <w:p w14:paraId="1665C2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529" w:type="pct"/>
                  <w:shd w:val="clear" w:color="auto" w:fill="auto"/>
                  <w:noWrap w:val="0"/>
                  <w:vAlign w:val="center"/>
                </w:tcPr>
                <w:p w14:paraId="3A4065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highlight w:val="none"/>
                    </w:rPr>
                    <w:t>9.22</w:t>
                  </w:r>
                </w:p>
              </w:tc>
              <w:tc>
                <w:tcPr>
                  <w:tcW w:w="643" w:type="pct"/>
                  <w:noWrap w:val="0"/>
                  <w:vAlign w:val="center"/>
                </w:tcPr>
                <w:p w14:paraId="03340C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3*10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13D250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w:t>
                  </w:r>
                  <w:r>
                    <w:rPr>
                      <w:rFonts w:hint="default" w:ascii="Times New Roman" w:hAnsi="Times New Roman" w:eastAsia="宋体" w:cs="Times New Roman"/>
                      <w:smallCaps w:val="0"/>
                      <w:color w:val="auto"/>
                      <w:spacing w:val="0"/>
                      <w:sz w:val="21"/>
                      <w:szCs w:val="21"/>
                      <w:highlight w:val="none"/>
                      <w:lang w:val="en-US" w:eastAsia="zh-CN"/>
                    </w:rPr>
                    <w:t>62</w:t>
                  </w:r>
                </w:p>
              </w:tc>
              <w:tc>
                <w:tcPr>
                  <w:tcW w:w="648" w:type="pct"/>
                  <w:noWrap w:val="0"/>
                  <w:vAlign w:val="center"/>
                </w:tcPr>
                <w:p w14:paraId="31578D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r>
                    <w:rPr>
                      <w:rFonts w:hint="default" w:ascii="Times New Roman" w:hAnsi="Times New Roman" w:eastAsia="宋体" w:cs="Times New Roman"/>
                      <w:smallCaps w:val="0"/>
                      <w:color w:val="auto"/>
                      <w:spacing w:val="0"/>
                      <w:sz w:val="21"/>
                      <w:szCs w:val="21"/>
                      <w:highlight w:val="none"/>
                      <w:lang w:val="en-US" w:eastAsia="zh-CN"/>
                    </w:rPr>
                    <w:t>05</w:t>
                  </w:r>
                </w:p>
              </w:tc>
              <w:tc>
                <w:tcPr>
                  <w:tcW w:w="648" w:type="pct"/>
                  <w:noWrap w:val="0"/>
                  <w:vAlign w:val="center"/>
                </w:tcPr>
                <w:p w14:paraId="655847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7</w:t>
                  </w:r>
                  <w:r>
                    <w:rPr>
                      <w:rFonts w:hint="default" w:ascii="Times New Roman" w:hAnsi="Times New Roman" w:eastAsia="宋体" w:cs="Times New Roman"/>
                      <w:smallCaps w:val="0"/>
                      <w:color w:val="auto"/>
                      <w:spacing w:val="0"/>
                      <w:sz w:val="21"/>
                      <w:szCs w:val="21"/>
                      <w:highlight w:val="none"/>
                      <w:lang w:val="en-US" w:eastAsia="zh-CN"/>
                    </w:rPr>
                    <w:t>49</w:t>
                  </w:r>
                </w:p>
              </w:tc>
            </w:tr>
            <w:tr w14:paraId="0C9A2A3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716546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52" w:type="pct"/>
                  <w:vMerge w:val="continue"/>
                  <w:noWrap w:val="0"/>
                  <w:vAlign w:val="center"/>
                </w:tcPr>
                <w:p w14:paraId="511EBB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65" w:type="pct"/>
                  <w:shd w:val="clear" w:color="auto" w:fill="auto"/>
                  <w:noWrap w:val="0"/>
                  <w:vAlign w:val="center"/>
                </w:tcPr>
                <w:p w14:paraId="46B910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均值或范围</w:t>
                  </w:r>
                </w:p>
              </w:tc>
              <w:tc>
                <w:tcPr>
                  <w:tcW w:w="529" w:type="pct"/>
                  <w:shd w:val="clear" w:color="auto" w:fill="auto"/>
                  <w:noWrap w:val="0"/>
                  <w:vAlign w:val="center"/>
                </w:tcPr>
                <w:p w14:paraId="5F7BFA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1~9.23</w:t>
                  </w:r>
                </w:p>
              </w:tc>
              <w:tc>
                <w:tcPr>
                  <w:tcW w:w="643" w:type="pct"/>
                  <w:noWrap w:val="0"/>
                  <w:vAlign w:val="center"/>
                </w:tcPr>
                <w:p w14:paraId="5FB69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2*10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46D61B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64</w:t>
                  </w:r>
                </w:p>
              </w:tc>
              <w:tc>
                <w:tcPr>
                  <w:tcW w:w="648" w:type="pct"/>
                  <w:noWrap w:val="0"/>
                  <w:vAlign w:val="center"/>
                </w:tcPr>
                <w:p w14:paraId="68FECF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02</w:t>
                  </w:r>
                </w:p>
              </w:tc>
              <w:tc>
                <w:tcPr>
                  <w:tcW w:w="648" w:type="pct"/>
                  <w:noWrap w:val="0"/>
                  <w:vAlign w:val="center"/>
                </w:tcPr>
                <w:p w14:paraId="338D29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40</w:t>
                  </w:r>
                </w:p>
              </w:tc>
            </w:tr>
            <w:tr w14:paraId="14E588A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0B08F8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restart"/>
                  <w:noWrap w:val="0"/>
                  <w:vAlign w:val="center"/>
                </w:tcPr>
                <w:p w14:paraId="5E9A1F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2018.1.16</w:t>
                  </w:r>
                </w:p>
              </w:tc>
              <w:tc>
                <w:tcPr>
                  <w:tcW w:w="765" w:type="pct"/>
                  <w:shd w:val="clear" w:color="auto" w:fill="auto"/>
                  <w:noWrap w:val="0"/>
                  <w:vAlign w:val="center"/>
                </w:tcPr>
                <w:p w14:paraId="6D0B25F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w:t>
                  </w:r>
                </w:p>
              </w:tc>
              <w:tc>
                <w:tcPr>
                  <w:tcW w:w="529" w:type="pct"/>
                  <w:shd w:val="clear" w:color="auto" w:fill="auto"/>
                  <w:noWrap w:val="0"/>
                  <w:vAlign w:val="center"/>
                </w:tcPr>
                <w:p w14:paraId="5754CC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1</w:t>
                  </w:r>
                </w:p>
              </w:tc>
              <w:tc>
                <w:tcPr>
                  <w:tcW w:w="643" w:type="pct"/>
                  <w:noWrap w:val="0"/>
                  <w:vAlign w:val="center"/>
                </w:tcPr>
                <w:p w14:paraId="3401A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2*10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17D37D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63</w:t>
                  </w:r>
                </w:p>
              </w:tc>
              <w:tc>
                <w:tcPr>
                  <w:tcW w:w="648" w:type="pct"/>
                  <w:noWrap w:val="0"/>
                  <w:vAlign w:val="center"/>
                </w:tcPr>
                <w:p w14:paraId="2EA78D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648" w:type="pct"/>
                  <w:noWrap w:val="0"/>
                  <w:vAlign w:val="center"/>
                </w:tcPr>
                <w:p w14:paraId="5389C4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39</w:t>
                  </w:r>
                </w:p>
              </w:tc>
            </w:tr>
            <w:tr w14:paraId="4BDED60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4B38FC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noWrap w:val="0"/>
                  <w:vAlign w:val="center"/>
                </w:tcPr>
                <w:p w14:paraId="3D5472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765" w:type="pct"/>
                  <w:shd w:val="clear" w:color="auto" w:fill="auto"/>
                  <w:noWrap w:val="0"/>
                  <w:vAlign w:val="center"/>
                </w:tcPr>
                <w:p w14:paraId="5B6E3C2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w:t>
                  </w:r>
                </w:p>
              </w:tc>
              <w:tc>
                <w:tcPr>
                  <w:tcW w:w="529" w:type="pct"/>
                  <w:shd w:val="clear" w:color="auto" w:fill="auto"/>
                  <w:noWrap w:val="0"/>
                  <w:vAlign w:val="center"/>
                </w:tcPr>
                <w:p w14:paraId="3FF014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highlight w:val="none"/>
                    </w:rPr>
                    <w:t>9.22</w:t>
                  </w:r>
                </w:p>
              </w:tc>
              <w:tc>
                <w:tcPr>
                  <w:tcW w:w="643" w:type="pct"/>
                  <w:noWrap w:val="0"/>
                  <w:vAlign w:val="center"/>
                </w:tcPr>
                <w:p w14:paraId="6DB1FB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4*10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60661D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60</w:t>
                  </w:r>
                </w:p>
              </w:tc>
              <w:tc>
                <w:tcPr>
                  <w:tcW w:w="648" w:type="pct"/>
                  <w:noWrap w:val="0"/>
                  <w:vAlign w:val="center"/>
                </w:tcPr>
                <w:p w14:paraId="2C0282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09</w:t>
                  </w:r>
                </w:p>
              </w:tc>
              <w:tc>
                <w:tcPr>
                  <w:tcW w:w="648" w:type="pct"/>
                  <w:noWrap w:val="0"/>
                  <w:vAlign w:val="center"/>
                </w:tcPr>
                <w:p w14:paraId="6949F8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20</w:t>
                  </w:r>
                </w:p>
              </w:tc>
            </w:tr>
            <w:tr w14:paraId="4D7E1BEF">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358FB8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noWrap w:val="0"/>
                  <w:vAlign w:val="center"/>
                </w:tcPr>
                <w:p w14:paraId="137AB8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765" w:type="pct"/>
                  <w:shd w:val="clear" w:color="auto" w:fill="auto"/>
                  <w:noWrap w:val="0"/>
                  <w:vAlign w:val="center"/>
                </w:tcPr>
                <w:p w14:paraId="1807742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w:t>
                  </w:r>
                </w:p>
              </w:tc>
              <w:tc>
                <w:tcPr>
                  <w:tcW w:w="529" w:type="pct"/>
                  <w:shd w:val="clear" w:color="auto" w:fill="auto"/>
                  <w:noWrap w:val="0"/>
                  <w:vAlign w:val="center"/>
                </w:tcPr>
                <w:p w14:paraId="7DA726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0</w:t>
                  </w:r>
                </w:p>
              </w:tc>
              <w:tc>
                <w:tcPr>
                  <w:tcW w:w="643" w:type="pct"/>
                  <w:noWrap w:val="0"/>
                  <w:vAlign w:val="center"/>
                </w:tcPr>
                <w:p w14:paraId="3239CD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0*10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50A144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69</w:t>
                  </w:r>
                </w:p>
              </w:tc>
              <w:tc>
                <w:tcPr>
                  <w:tcW w:w="648" w:type="pct"/>
                  <w:noWrap w:val="0"/>
                  <w:vAlign w:val="center"/>
                </w:tcPr>
                <w:p w14:paraId="24E22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06</w:t>
                  </w:r>
                </w:p>
              </w:tc>
              <w:tc>
                <w:tcPr>
                  <w:tcW w:w="648" w:type="pct"/>
                  <w:noWrap w:val="0"/>
                  <w:vAlign w:val="center"/>
                </w:tcPr>
                <w:p w14:paraId="10DDA5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58</w:t>
                  </w:r>
                </w:p>
              </w:tc>
            </w:tr>
            <w:tr w14:paraId="3DFAC36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noWrap w:val="0"/>
                  <w:vAlign w:val="center"/>
                </w:tcPr>
                <w:p w14:paraId="777399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noWrap w:val="0"/>
                  <w:vAlign w:val="center"/>
                </w:tcPr>
                <w:p w14:paraId="503D21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765" w:type="pct"/>
                  <w:shd w:val="clear" w:color="auto" w:fill="auto"/>
                  <w:noWrap w:val="0"/>
                  <w:vAlign w:val="center"/>
                </w:tcPr>
                <w:p w14:paraId="2B10B94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529" w:type="pct"/>
                  <w:shd w:val="clear" w:color="auto" w:fill="auto"/>
                  <w:noWrap w:val="0"/>
                  <w:vAlign w:val="center"/>
                </w:tcPr>
                <w:p w14:paraId="5799D9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1</w:t>
                  </w:r>
                </w:p>
              </w:tc>
              <w:tc>
                <w:tcPr>
                  <w:tcW w:w="643" w:type="pct"/>
                  <w:noWrap w:val="0"/>
                  <w:vAlign w:val="center"/>
                </w:tcPr>
                <w:p w14:paraId="51F4DE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2*10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715" w:type="pct"/>
                  <w:noWrap w:val="0"/>
                  <w:vAlign w:val="center"/>
                </w:tcPr>
                <w:p w14:paraId="267AE0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63</w:t>
                  </w:r>
                </w:p>
              </w:tc>
              <w:tc>
                <w:tcPr>
                  <w:tcW w:w="648" w:type="pct"/>
                  <w:noWrap w:val="0"/>
                  <w:vAlign w:val="center"/>
                </w:tcPr>
                <w:p w14:paraId="7A331D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95</w:t>
                  </w:r>
                </w:p>
              </w:tc>
              <w:tc>
                <w:tcPr>
                  <w:tcW w:w="648" w:type="pct"/>
                  <w:noWrap w:val="0"/>
                  <w:vAlign w:val="center"/>
                </w:tcPr>
                <w:p w14:paraId="616842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44</w:t>
                  </w:r>
                </w:p>
              </w:tc>
            </w:tr>
            <w:tr w14:paraId="4FA9BF80">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496" w:type="pct"/>
                  <w:vMerge w:val="continue"/>
                  <w:vAlign w:val="center"/>
                </w:tcPr>
                <w:p w14:paraId="794433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552" w:type="pct"/>
                  <w:vMerge w:val="continue"/>
                  <w:vAlign w:val="center"/>
                </w:tcPr>
                <w:p w14:paraId="1C9138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765" w:type="pct"/>
                  <w:shd w:val="clear" w:color="auto" w:fill="auto"/>
                  <w:vAlign w:val="center"/>
                </w:tcPr>
                <w:p w14:paraId="3CFDA5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均值或范围</w:t>
                  </w:r>
                </w:p>
              </w:tc>
              <w:tc>
                <w:tcPr>
                  <w:tcW w:w="529" w:type="pct"/>
                  <w:vAlign w:val="center"/>
                </w:tcPr>
                <w:p w14:paraId="7F457B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0~9.22</w:t>
                  </w:r>
                </w:p>
              </w:tc>
              <w:tc>
                <w:tcPr>
                  <w:tcW w:w="0" w:type="auto"/>
                  <w:vAlign w:val="center"/>
                </w:tcPr>
                <w:p w14:paraId="5C17BE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5</w:t>
                  </w:r>
                  <w:r>
                    <w:rPr>
                      <w:rFonts w:hint="default" w:ascii="Times New Roman" w:hAnsi="Times New Roman" w:eastAsia="宋体" w:cs="Times New Roman"/>
                      <w:smallCaps w:val="0"/>
                      <w:color w:val="auto"/>
                      <w:spacing w:val="0"/>
                      <w:sz w:val="21"/>
                      <w:szCs w:val="21"/>
                      <w:highlight w:val="none"/>
                      <w:lang w:val="en-US" w:eastAsia="zh-CN"/>
                    </w:rPr>
                    <w:t>2*10</w:t>
                  </w:r>
                  <w:r>
                    <w:rPr>
                      <w:rFonts w:hint="default" w:ascii="Times New Roman" w:hAnsi="Times New Roman" w:eastAsia="宋体" w:cs="Times New Roman"/>
                      <w:smallCaps w:val="0"/>
                      <w:color w:val="auto"/>
                      <w:spacing w:val="0"/>
                      <w:sz w:val="21"/>
                      <w:szCs w:val="21"/>
                      <w:highlight w:val="none"/>
                      <w:vertAlign w:val="superscript"/>
                      <w:lang w:val="en-US" w:eastAsia="zh-CN"/>
                    </w:rPr>
                    <w:t>3</w:t>
                  </w:r>
                </w:p>
              </w:tc>
              <w:tc>
                <w:tcPr>
                  <w:tcW w:w="0" w:type="auto"/>
                  <w:vAlign w:val="center"/>
                </w:tcPr>
                <w:p w14:paraId="6B348A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64</w:t>
                  </w:r>
                </w:p>
              </w:tc>
              <w:tc>
                <w:tcPr>
                  <w:tcW w:w="0" w:type="auto"/>
                  <w:vAlign w:val="center"/>
                </w:tcPr>
                <w:p w14:paraId="3222B1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02</w:t>
                  </w:r>
                </w:p>
              </w:tc>
              <w:tc>
                <w:tcPr>
                  <w:tcW w:w="0" w:type="auto"/>
                  <w:vAlign w:val="center"/>
                </w:tcPr>
                <w:p w14:paraId="021CB6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40</w:t>
                  </w:r>
                </w:p>
              </w:tc>
            </w:tr>
          </w:tbl>
          <w:p w14:paraId="1AFEC98D">
            <w:pPr>
              <w:pStyle w:val="59"/>
              <w:keepNext w:val="0"/>
              <w:keepLines w:val="0"/>
              <w:suppressLineNumbers w:val="0"/>
              <w:spacing w:before="0" w:beforeLines="0" w:beforeAutospacing="0" w:after="0" w:afterLines="0" w:afterAutospacing="0" w:line="500" w:lineRule="exact"/>
              <w:ind w:left="0" w:right="0" w:firstLine="480" w:firstLineChars="200"/>
              <w:jc w:val="left"/>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由上表可得，废水中主要污染物 pH、化学需氧量、悬浮物、石油类</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氟化物</w:t>
            </w:r>
            <w:r>
              <w:rPr>
                <w:rFonts w:hint="default" w:ascii="Times New Roman" w:hAnsi="Times New Roman" w:eastAsia="宋体" w:cs="Times New Roman"/>
                <w:b w:val="0"/>
                <w:bCs/>
                <w:color w:val="auto"/>
                <w:spacing w:val="0"/>
                <w:sz w:val="24"/>
                <w:szCs w:val="24"/>
                <w:highlight w:val="none"/>
              </w:rPr>
              <w:t>浓度均值或范围分别约为9~10、</w:t>
            </w:r>
            <w:r>
              <w:rPr>
                <w:rFonts w:hint="eastAsia" w:ascii="Times New Roman" w:hAnsi="Times New Roman" w:eastAsia="宋体" w:cs="Times New Roman"/>
                <w:b w:val="0"/>
                <w:bCs/>
                <w:color w:val="auto"/>
                <w:spacing w:val="0"/>
                <w:sz w:val="24"/>
                <w:szCs w:val="24"/>
                <w:highlight w:val="none"/>
                <w:lang w:val="en-US" w:eastAsia="zh-CN"/>
              </w:rPr>
              <w:t>25</w:t>
            </w:r>
            <w:r>
              <w:rPr>
                <w:rFonts w:hint="default" w:ascii="Times New Roman" w:hAnsi="Times New Roman" w:eastAsia="宋体" w:cs="Times New Roman"/>
                <w:b w:val="0"/>
                <w:bCs/>
                <w:color w:val="auto"/>
                <w:spacing w:val="0"/>
                <w:sz w:val="24"/>
                <w:szCs w:val="24"/>
                <w:highlight w:val="none"/>
              </w:rPr>
              <w:t>20mg/L、</w:t>
            </w:r>
            <w:r>
              <w:rPr>
                <w:rFonts w:hint="eastAsia" w:ascii="Times New Roman" w:hAnsi="Times New Roman" w:eastAsia="宋体" w:cs="Times New Roman"/>
                <w:b w:val="0"/>
                <w:bCs/>
                <w:color w:val="auto"/>
                <w:spacing w:val="0"/>
                <w:sz w:val="24"/>
                <w:szCs w:val="24"/>
                <w:highlight w:val="none"/>
                <w:lang w:val="en-US" w:eastAsia="zh-CN"/>
              </w:rPr>
              <w:t>4</w:t>
            </w:r>
            <w:r>
              <w:rPr>
                <w:rFonts w:hint="default" w:ascii="Times New Roman" w:hAnsi="Times New Roman" w:eastAsia="宋体" w:cs="Times New Roman"/>
                <w:b w:val="0"/>
                <w:bCs/>
                <w:color w:val="auto"/>
                <w:spacing w:val="0"/>
                <w:sz w:val="24"/>
                <w:szCs w:val="24"/>
                <w:highlight w:val="none"/>
              </w:rPr>
              <w:t>64mg/L、</w:t>
            </w:r>
            <w:r>
              <w:rPr>
                <w:rFonts w:hint="eastAsia" w:ascii="Times New Roman" w:hAnsi="Times New Roman" w:eastAsia="宋体" w:cs="Times New Roman"/>
                <w:b w:val="0"/>
                <w:bCs/>
                <w:color w:val="auto"/>
                <w:spacing w:val="0"/>
                <w:sz w:val="24"/>
                <w:szCs w:val="24"/>
                <w:highlight w:val="none"/>
                <w:lang w:val="en-US" w:eastAsia="zh-CN"/>
              </w:rPr>
              <w:t>1</w:t>
            </w:r>
            <w:r>
              <w:rPr>
                <w:rFonts w:hint="default" w:ascii="Times New Roman" w:hAnsi="Times New Roman" w:eastAsia="宋体" w:cs="Times New Roman"/>
                <w:b w:val="0"/>
                <w:bCs/>
                <w:color w:val="auto"/>
                <w:spacing w:val="0"/>
                <w:sz w:val="24"/>
                <w:szCs w:val="24"/>
                <w:highlight w:val="none"/>
              </w:rPr>
              <w:t>02mg/L</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740</w:t>
            </w:r>
            <w:r>
              <w:rPr>
                <w:rFonts w:hint="default" w:ascii="Times New Roman" w:hAnsi="Times New Roman" w:eastAsia="宋体" w:cs="Times New Roman"/>
                <w:b w:val="0"/>
                <w:bCs/>
                <w:color w:val="auto"/>
                <w:spacing w:val="0"/>
                <w:sz w:val="24"/>
                <w:szCs w:val="24"/>
                <w:highlight w:val="none"/>
              </w:rPr>
              <w:t>mg/L，考虑本项目废水更换频次及最不利情况，本项目水洗废水中污染物pH取 9~10，COD、SS、石油类</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氟化物</w:t>
            </w:r>
            <w:r>
              <w:rPr>
                <w:rFonts w:hint="default" w:ascii="Times New Roman" w:hAnsi="Times New Roman" w:eastAsia="宋体" w:cs="Times New Roman"/>
                <w:b w:val="0"/>
                <w:bCs/>
                <w:color w:val="auto"/>
                <w:spacing w:val="0"/>
                <w:sz w:val="24"/>
                <w:szCs w:val="24"/>
                <w:highlight w:val="none"/>
              </w:rPr>
              <w:t>各浓度分别取</w:t>
            </w:r>
            <w:r>
              <w:rPr>
                <w:rFonts w:hint="eastAsia" w:ascii="Times New Roman" w:hAnsi="Times New Roman" w:eastAsia="宋体" w:cs="Times New Roman"/>
                <w:b w:val="0"/>
                <w:bCs/>
                <w:color w:val="auto"/>
                <w:spacing w:val="0"/>
                <w:sz w:val="24"/>
                <w:szCs w:val="24"/>
                <w:highlight w:val="none"/>
                <w:lang w:val="en-US" w:eastAsia="zh-CN"/>
              </w:rPr>
              <w:t>28</w:t>
            </w:r>
            <w:r>
              <w:rPr>
                <w:rFonts w:hint="default" w:ascii="Times New Roman" w:hAnsi="Times New Roman" w:eastAsia="宋体" w:cs="Times New Roman"/>
                <w:b w:val="0"/>
                <w:bCs/>
                <w:color w:val="auto"/>
                <w:spacing w:val="0"/>
                <w:sz w:val="24"/>
                <w:szCs w:val="24"/>
                <w:highlight w:val="none"/>
              </w:rPr>
              <w:t>00mg/L、</w:t>
            </w:r>
            <w:r>
              <w:rPr>
                <w:rFonts w:hint="eastAsia" w:ascii="Times New Roman" w:hAnsi="Times New Roman" w:eastAsia="宋体" w:cs="Times New Roman"/>
                <w:b w:val="0"/>
                <w:bCs/>
                <w:color w:val="auto"/>
                <w:spacing w:val="0"/>
                <w:sz w:val="24"/>
                <w:szCs w:val="24"/>
                <w:highlight w:val="none"/>
                <w:lang w:val="en-US" w:eastAsia="zh-CN"/>
              </w:rPr>
              <w:t>5</w:t>
            </w:r>
            <w:r>
              <w:rPr>
                <w:rFonts w:hint="default" w:ascii="Times New Roman" w:hAnsi="Times New Roman" w:eastAsia="宋体" w:cs="Times New Roman"/>
                <w:b w:val="0"/>
                <w:bCs/>
                <w:color w:val="auto"/>
                <w:spacing w:val="0"/>
                <w:sz w:val="24"/>
                <w:szCs w:val="24"/>
                <w:highlight w:val="none"/>
              </w:rPr>
              <w:t>00mg/L、</w:t>
            </w:r>
            <w:r>
              <w:rPr>
                <w:rFonts w:hint="eastAsia" w:ascii="Times New Roman" w:hAnsi="Times New Roman" w:eastAsia="宋体" w:cs="Times New Roman"/>
                <w:b w:val="0"/>
                <w:bCs/>
                <w:color w:val="auto"/>
                <w:spacing w:val="0"/>
                <w:sz w:val="24"/>
                <w:szCs w:val="24"/>
                <w:highlight w:val="none"/>
                <w:lang w:val="en-US" w:eastAsia="zh-CN"/>
              </w:rPr>
              <w:t>150</w:t>
            </w:r>
            <w:r>
              <w:rPr>
                <w:rFonts w:hint="default" w:ascii="Times New Roman" w:hAnsi="Times New Roman" w:eastAsia="宋体" w:cs="Times New Roman"/>
                <w:b w:val="0"/>
                <w:bCs/>
                <w:color w:val="auto"/>
                <w:spacing w:val="0"/>
                <w:sz w:val="24"/>
                <w:szCs w:val="24"/>
                <w:highlight w:val="none"/>
              </w:rPr>
              <w:t>mg/L</w:t>
            </w:r>
            <w:r>
              <w:rPr>
                <w:rFonts w:hint="eastAsia" w:ascii="Times New Roman" w:hAnsi="Times New Roman" w:eastAsia="宋体" w:cs="Times New Roman"/>
                <w:b w:val="0"/>
                <w:bCs/>
                <w:color w:val="auto"/>
                <w:spacing w:val="0"/>
                <w:sz w:val="24"/>
                <w:szCs w:val="24"/>
                <w:highlight w:val="none"/>
                <w:lang w:eastAsia="zh-CN"/>
              </w:rPr>
              <w:t>、</w:t>
            </w:r>
            <w:r>
              <w:rPr>
                <w:rFonts w:hint="eastAsia" w:ascii="Times New Roman" w:hAnsi="Times New Roman" w:eastAsia="宋体" w:cs="Times New Roman"/>
                <w:b w:val="0"/>
                <w:bCs/>
                <w:color w:val="auto"/>
                <w:spacing w:val="0"/>
                <w:sz w:val="24"/>
                <w:szCs w:val="24"/>
                <w:highlight w:val="none"/>
                <w:lang w:val="en-US" w:eastAsia="zh-CN"/>
              </w:rPr>
              <w:t>800</w:t>
            </w:r>
            <w:r>
              <w:rPr>
                <w:rFonts w:hint="default" w:ascii="Times New Roman" w:hAnsi="Times New Roman" w:eastAsia="宋体" w:cs="Times New Roman"/>
                <w:b w:val="0"/>
                <w:bCs/>
                <w:color w:val="auto"/>
                <w:spacing w:val="0"/>
                <w:sz w:val="24"/>
                <w:szCs w:val="24"/>
                <w:highlight w:val="none"/>
              </w:rPr>
              <w:t>mg/L。</w:t>
            </w:r>
          </w:p>
          <w:p w14:paraId="37CA9560">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13</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前处理用排水</w:t>
            </w:r>
            <w:r>
              <w:rPr>
                <w:rFonts w:hint="default" w:ascii="Times New Roman" w:hAnsi="Times New Roman" w:eastAsia="宋体" w:cs="Times New Roman"/>
                <w:b/>
                <w:bCs w:val="0"/>
                <w:color w:val="auto"/>
                <w:spacing w:val="0"/>
                <w:sz w:val="24"/>
                <w:szCs w:val="24"/>
                <w:highlight w:val="none"/>
              </w:rPr>
              <w:t>情况表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952"/>
              <w:gridCol w:w="1139"/>
              <w:gridCol w:w="686"/>
              <w:gridCol w:w="690"/>
              <w:gridCol w:w="952"/>
              <w:gridCol w:w="1058"/>
              <w:gridCol w:w="960"/>
              <w:gridCol w:w="960"/>
              <w:gridCol w:w="889"/>
            </w:tblGrid>
            <w:tr w14:paraId="30A7A28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689" w:hRule="atLeast"/>
                <w:jc w:val="center"/>
              </w:trPr>
              <w:tc>
                <w:tcPr>
                  <w:tcW w:w="574" w:type="pct"/>
                  <w:noWrap w:val="0"/>
                  <w:vAlign w:val="center"/>
                </w:tcPr>
                <w:p w14:paraId="0EDF45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槽体名称</w:t>
                  </w:r>
                </w:p>
              </w:tc>
              <w:tc>
                <w:tcPr>
                  <w:tcW w:w="687" w:type="pct"/>
                  <w:noWrap w:val="0"/>
                  <w:vAlign w:val="center"/>
                </w:tcPr>
                <w:p w14:paraId="2F43B0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槽体积</w:t>
                  </w:r>
                </w:p>
              </w:tc>
              <w:tc>
                <w:tcPr>
                  <w:tcW w:w="413" w:type="pct"/>
                  <w:noWrap w:val="0"/>
                  <w:vAlign w:val="center"/>
                </w:tcPr>
                <w:p w14:paraId="76617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有效容量（t）</w:t>
                  </w:r>
                </w:p>
              </w:tc>
              <w:tc>
                <w:tcPr>
                  <w:tcW w:w="416" w:type="pct"/>
                  <w:noWrap w:val="0"/>
                  <w:vAlign w:val="center"/>
                </w:tcPr>
                <w:p w14:paraId="55119A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水和药剂配比</w:t>
                  </w:r>
                </w:p>
              </w:tc>
              <w:tc>
                <w:tcPr>
                  <w:tcW w:w="574" w:type="pct"/>
                  <w:noWrap w:val="0"/>
                  <w:vAlign w:val="center"/>
                </w:tcPr>
                <w:p w14:paraId="7BC3E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更换频次</w:t>
                  </w:r>
                </w:p>
              </w:tc>
              <w:tc>
                <w:tcPr>
                  <w:tcW w:w="638" w:type="pct"/>
                  <w:noWrap w:val="0"/>
                  <w:vAlign w:val="center"/>
                </w:tcPr>
                <w:p w14:paraId="4D41C2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用水</w:t>
                  </w:r>
                  <w:r>
                    <w:rPr>
                      <w:rFonts w:hint="default" w:ascii="Times New Roman" w:hAnsi="Times New Roman" w:eastAsia="宋体" w:cs="Times New Roman"/>
                      <w:b/>
                      <w:bCs w:val="0"/>
                      <w:smallCaps w:val="0"/>
                      <w:color w:val="auto"/>
                      <w:spacing w:val="0"/>
                      <w:sz w:val="21"/>
                      <w:szCs w:val="21"/>
                      <w:highlight w:val="none"/>
                      <w:lang w:val="en-US" w:eastAsia="zh-CN"/>
                    </w:rPr>
                    <w:t>量（t/a）</w:t>
                  </w:r>
                </w:p>
              </w:tc>
              <w:tc>
                <w:tcPr>
                  <w:tcW w:w="579" w:type="pct"/>
                  <w:noWrap w:val="0"/>
                  <w:vAlign w:val="center"/>
                </w:tcPr>
                <w:p w14:paraId="274FAB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药剂用量（t/a）</w:t>
                  </w:r>
                </w:p>
              </w:tc>
              <w:tc>
                <w:tcPr>
                  <w:tcW w:w="579" w:type="pct"/>
                  <w:noWrap w:val="0"/>
                  <w:vAlign w:val="center"/>
                </w:tcPr>
                <w:p w14:paraId="438C9F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损耗</w:t>
                  </w:r>
                  <w:r>
                    <w:rPr>
                      <w:rFonts w:hint="default" w:ascii="Times New Roman" w:hAnsi="Times New Roman" w:eastAsia="宋体" w:cs="Times New Roman"/>
                      <w:b/>
                      <w:bCs w:val="0"/>
                      <w:smallCaps w:val="0"/>
                      <w:color w:val="auto"/>
                      <w:spacing w:val="0"/>
                      <w:sz w:val="21"/>
                      <w:szCs w:val="21"/>
                      <w:highlight w:val="none"/>
                      <w:lang w:val="en-US" w:eastAsia="zh-CN"/>
                    </w:rPr>
                    <w:t>量（t/a）</w:t>
                  </w:r>
                </w:p>
              </w:tc>
              <w:tc>
                <w:tcPr>
                  <w:tcW w:w="536" w:type="pct"/>
                  <w:noWrap w:val="0"/>
                  <w:vAlign w:val="center"/>
                </w:tcPr>
                <w:p w14:paraId="3BE2CD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排水</w:t>
                  </w:r>
                  <w:r>
                    <w:rPr>
                      <w:rFonts w:hint="default" w:ascii="Times New Roman" w:hAnsi="Times New Roman" w:eastAsia="宋体" w:cs="Times New Roman"/>
                      <w:b/>
                      <w:bCs w:val="0"/>
                      <w:smallCaps w:val="0"/>
                      <w:color w:val="auto"/>
                      <w:spacing w:val="0"/>
                      <w:sz w:val="21"/>
                      <w:szCs w:val="21"/>
                      <w:highlight w:val="none"/>
                      <w:lang w:val="en-US" w:eastAsia="zh-CN"/>
                    </w:rPr>
                    <w:t>量（t/a）</w:t>
                  </w:r>
                </w:p>
              </w:tc>
            </w:tr>
            <w:tr w14:paraId="20325BD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noWrap w:val="0"/>
                  <w:vAlign w:val="center"/>
                </w:tcPr>
                <w:p w14:paraId="5C8F320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预脱脂槽</w:t>
                  </w:r>
                </w:p>
              </w:tc>
              <w:tc>
                <w:tcPr>
                  <w:tcW w:w="687" w:type="pct"/>
                  <w:noWrap w:val="0"/>
                  <w:vAlign w:val="center"/>
                </w:tcPr>
                <w:p w14:paraId="7776990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noWrap w:val="0"/>
                  <w:vAlign w:val="center"/>
                </w:tcPr>
                <w:p w14:paraId="68A4C16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noWrap w:val="0"/>
                  <w:vAlign w:val="center"/>
                </w:tcPr>
                <w:p w14:paraId="4C75690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w:t>
                  </w:r>
                </w:p>
              </w:tc>
              <w:tc>
                <w:tcPr>
                  <w:tcW w:w="574" w:type="pct"/>
                  <w:noWrap w:val="0"/>
                  <w:vAlign w:val="center"/>
                </w:tcPr>
                <w:p w14:paraId="18D10A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6次/年</w:t>
                  </w:r>
                </w:p>
              </w:tc>
              <w:tc>
                <w:tcPr>
                  <w:tcW w:w="638" w:type="pct"/>
                  <w:noWrap w:val="0"/>
                  <w:vAlign w:val="center"/>
                </w:tcPr>
                <w:p w14:paraId="71934F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w:t>
                  </w:r>
                </w:p>
              </w:tc>
              <w:tc>
                <w:tcPr>
                  <w:tcW w:w="579" w:type="pct"/>
                  <w:noWrap w:val="0"/>
                  <w:vAlign w:val="center"/>
                </w:tcPr>
                <w:p w14:paraId="044FC4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0.5</w:t>
                  </w:r>
                </w:p>
              </w:tc>
              <w:tc>
                <w:tcPr>
                  <w:tcW w:w="579" w:type="pct"/>
                  <w:noWrap w:val="0"/>
                  <w:vAlign w:val="center"/>
                </w:tcPr>
                <w:p w14:paraId="56781F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1.5</w:t>
                  </w:r>
                </w:p>
              </w:tc>
              <w:tc>
                <w:tcPr>
                  <w:tcW w:w="536" w:type="pct"/>
                  <w:noWrap w:val="0"/>
                  <w:vAlign w:val="center"/>
                </w:tcPr>
                <w:p w14:paraId="2DA60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9</w:t>
                  </w:r>
                </w:p>
              </w:tc>
            </w:tr>
            <w:tr w14:paraId="057CCBB8">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shd w:val="clear" w:color="auto" w:fill="auto"/>
                  <w:noWrap w:val="0"/>
                  <w:vAlign w:val="center"/>
                </w:tcPr>
                <w:p w14:paraId="6684118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主脱脂槽</w:t>
                  </w:r>
                </w:p>
              </w:tc>
              <w:tc>
                <w:tcPr>
                  <w:tcW w:w="687" w:type="pct"/>
                  <w:shd w:val="clear" w:color="auto" w:fill="auto"/>
                  <w:noWrap w:val="0"/>
                  <w:vAlign w:val="center"/>
                </w:tcPr>
                <w:p w14:paraId="5B50749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7605D88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7AFC97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10:1</w:t>
                  </w:r>
                </w:p>
              </w:tc>
              <w:tc>
                <w:tcPr>
                  <w:tcW w:w="574" w:type="pct"/>
                  <w:shd w:val="clear" w:color="auto" w:fill="auto"/>
                  <w:noWrap w:val="0"/>
                  <w:vAlign w:val="center"/>
                </w:tcPr>
                <w:p w14:paraId="64DCF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4次/年</w:t>
                  </w:r>
                </w:p>
              </w:tc>
              <w:tc>
                <w:tcPr>
                  <w:tcW w:w="638" w:type="pct"/>
                  <w:shd w:val="clear" w:color="auto" w:fill="auto"/>
                  <w:noWrap w:val="0"/>
                  <w:vAlign w:val="center"/>
                </w:tcPr>
                <w:p w14:paraId="7E1021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8</w:t>
                  </w:r>
                </w:p>
              </w:tc>
              <w:tc>
                <w:tcPr>
                  <w:tcW w:w="579" w:type="pct"/>
                  <w:shd w:val="clear" w:color="auto" w:fill="auto"/>
                  <w:noWrap w:val="0"/>
                  <w:vAlign w:val="center"/>
                </w:tcPr>
                <w:p w14:paraId="7501CA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0.8</w:t>
                  </w:r>
                </w:p>
              </w:tc>
              <w:tc>
                <w:tcPr>
                  <w:tcW w:w="579" w:type="pct"/>
                  <w:shd w:val="clear" w:color="auto" w:fill="auto"/>
                  <w:noWrap w:val="0"/>
                  <w:vAlign w:val="center"/>
                </w:tcPr>
                <w:p w14:paraId="760CDB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2.8</w:t>
                  </w:r>
                </w:p>
              </w:tc>
              <w:tc>
                <w:tcPr>
                  <w:tcW w:w="536" w:type="pct"/>
                  <w:shd w:val="clear" w:color="auto" w:fill="auto"/>
                  <w:noWrap w:val="0"/>
                  <w:vAlign w:val="center"/>
                </w:tcPr>
                <w:p w14:paraId="38273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6</w:t>
                  </w:r>
                </w:p>
              </w:tc>
            </w:tr>
            <w:tr w14:paraId="1FC159D0">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noWrap w:val="0"/>
                  <w:vAlign w:val="center"/>
                </w:tcPr>
                <w:p w14:paraId="6428E7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水洗1槽</w:t>
                  </w:r>
                </w:p>
              </w:tc>
              <w:tc>
                <w:tcPr>
                  <w:tcW w:w="687" w:type="pct"/>
                  <w:noWrap w:val="0"/>
                  <w:vAlign w:val="center"/>
                </w:tcPr>
                <w:p w14:paraId="4D2DB0E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0C64112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7F56F7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74" w:type="pct"/>
                  <w:noWrap w:val="0"/>
                  <w:vAlign w:val="center"/>
                </w:tcPr>
                <w:p w14:paraId="6C18D5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18次/年</w:t>
                  </w:r>
                </w:p>
              </w:tc>
              <w:tc>
                <w:tcPr>
                  <w:tcW w:w="638" w:type="pct"/>
                  <w:vMerge w:val="restart"/>
                  <w:noWrap w:val="0"/>
                  <w:vAlign w:val="center"/>
                </w:tcPr>
                <w:p w14:paraId="2A90F8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102</w:t>
                  </w:r>
                </w:p>
              </w:tc>
              <w:tc>
                <w:tcPr>
                  <w:tcW w:w="579" w:type="pct"/>
                  <w:vMerge w:val="restart"/>
                  <w:noWrap w:val="0"/>
                  <w:vAlign w:val="center"/>
                </w:tcPr>
                <w:p w14:paraId="6EA3D1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w:t>
                  </w:r>
                </w:p>
              </w:tc>
              <w:tc>
                <w:tcPr>
                  <w:tcW w:w="579" w:type="pct"/>
                  <w:vMerge w:val="restart"/>
                  <w:noWrap w:val="0"/>
                  <w:vAlign w:val="center"/>
                </w:tcPr>
                <w:p w14:paraId="70843A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21</w:t>
                  </w:r>
                </w:p>
              </w:tc>
              <w:tc>
                <w:tcPr>
                  <w:tcW w:w="536" w:type="pct"/>
                  <w:vMerge w:val="restart"/>
                  <w:noWrap w:val="0"/>
                  <w:vAlign w:val="center"/>
                </w:tcPr>
                <w:p w14:paraId="6533F9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81</w:t>
                  </w:r>
                </w:p>
              </w:tc>
            </w:tr>
            <w:tr w14:paraId="4AD298B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noWrap w:val="0"/>
                  <w:vAlign w:val="center"/>
                </w:tcPr>
                <w:p w14:paraId="1DEDE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水洗2槽</w:t>
                  </w:r>
                </w:p>
              </w:tc>
              <w:tc>
                <w:tcPr>
                  <w:tcW w:w="687" w:type="pct"/>
                  <w:noWrap w:val="0"/>
                  <w:vAlign w:val="center"/>
                </w:tcPr>
                <w:p w14:paraId="54126F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5A4A6A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479822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74" w:type="pct"/>
                  <w:noWrap w:val="0"/>
                  <w:vAlign w:val="center"/>
                </w:tcPr>
                <w:p w14:paraId="72043F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溢流去水洗1</w:t>
                  </w:r>
                </w:p>
              </w:tc>
              <w:tc>
                <w:tcPr>
                  <w:tcW w:w="638" w:type="pct"/>
                  <w:vMerge w:val="continue"/>
                  <w:noWrap w:val="0"/>
                  <w:vAlign w:val="center"/>
                </w:tcPr>
                <w:p w14:paraId="310921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79" w:type="pct"/>
                  <w:vMerge w:val="continue"/>
                  <w:noWrap w:val="0"/>
                  <w:vAlign w:val="center"/>
                </w:tcPr>
                <w:p w14:paraId="16D6A6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579" w:type="pct"/>
                  <w:vMerge w:val="continue"/>
                  <w:noWrap w:val="0"/>
                  <w:vAlign w:val="center"/>
                </w:tcPr>
                <w:p w14:paraId="4EE5A5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36" w:type="pct"/>
                  <w:vMerge w:val="continue"/>
                  <w:noWrap w:val="0"/>
                  <w:vAlign w:val="center"/>
                </w:tcPr>
                <w:p w14:paraId="2B16C0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0BFBEC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PrEx>
              <w:trPr>
                <w:trHeight w:val="397" w:hRule="atLeast"/>
                <w:jc w:val="center"/>
              </w:trPr>
              <w:tc>
                <w:tcPr>
                  <w:tcW w:w="574" w:type="pct"/>
                  <w:noWrap w:val="0"/>
                  <w:vAlign w:val="center"/>
                </w:tcPr>
                <w:p w14:paraId="2CD0D7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水洗3槽</w:t>
                  </w:r>
                </w:p>
              </w:tc>
              <w:tc>
                <w:tcPr>
                  <w:tcW w:w="687" w:type="pct"/>
                  <w:noWrap w:val="0"/>
                  <w:vAlign w:val="center"/>
                </w:tcPr>
                <w:p w14:paraId="3896BF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30349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2DE8DA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74" w:type="pct"/>
                  <w:noWrap w:val="0"/>
                  <w:vAlign w:val="center"/>
                </w:tcPr>
                <w:p w14:paraId="71B342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溢流去水洗2</w:t>
                  </w:r>
                </w:p>
              </w:tc>
              <w:tc>
                <w:tcPr>
                  <w:tcW w:w="638" w:type="pct"/>
                  <w:vMerge w:val="continue"/>
                  <w:noWrap w:val="0"/>
                  <w:vAlign w:val="center"/>
                </w:tcPr>
                <w:p w14:paraId="584CAF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79" w:type="pct"/>
                  <w:vMerge w:val="continue"/>
                  <w:noWrap w:val="0"/>
                  <w:vAlign w:val="center"/>
                </w:tcPr>
                <w:p w14:paraId="50EE98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579" w:type="pct"/>
                  <w:vMerge w:val="continue"/>
                  <w:noWrap w:val="0"/>
                  <w:vAlign w:val="center"/>
                </w:tcPr>
                <w:p w14:paraId="193E8B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36" w:type="pct"/>
                  <w:vMerge w:val="continue"/>
                  <w:noWrap w:val="0"/>
                  <w:vAlign w:val="center"/>
                </w:tcPr>
                <w:p w14:paraId="64AA1D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C68094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shd w:val="clear" w:color="auto" w:fill="auto"/>
                  <w:noWrap w:val="0"/>
                  <w:vAlign w:val="center"/>
                </w:tcPr>
                <w:p w14:paraId="2335EB6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硅烷化槽</w:t>
                  </w:r>
                </w:p>
              </w:tc>
              <w:tc>
                <w:tcPr>
                  <w:tcW w:w="687" w:type="pct"/>
                  <w:shd w:val="clear" w:color="auto" w:fill="auto"/>
                  <w:noWrap w:val="0"/>
                  <w:vAlign w:val="center"/>
                </w:tcPr>
                <w:p w14:paraId="7A35B99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0CD775F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2B9CB1E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w:t>
                  </w:r>
                </w:p>
              </w:tc>
              <w:tc>
                <w:tcPr>
                  <w:tcW w:w="574" w:type="pct"/>
                  <w:shd w:val="clear" w:color="auto" w:fill="auto"/>
                  <w:noWrap w:val="0"/>
                  <w:vAlign w:val="center"/>
                </w:tcPr>
                <w:p w14:paraId="7798E7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4次/年</w:t>
                  </w:r>
                </w:p>
              </w:tc>
              <w:tc>
                <w:tcPr>
                  <w:tcW w:w="638" w:type="pct"/>
                  <w:shd w:val="clear" w:color="auto" w:fill="auto"/>
                  <w:noWrap w:val="0"/>
                  <w:vAlign w:val="center"/>
                </w:tcPr>
                <w:p w14:paraId="52741C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8</w:t>
                  </w:r>
                </w:p>
              </w:tc>
              <w:tc>
                <w:tcPr>
                  <w:tcW w:w="579" w:type="pct"/>
                  <w:shd w:val="clear" w:color="auto" w:fill="auto"/>
                  <w:noWrap w:val="0"/>
                  <w:vAlign w:val="center"/>
                </w:tcPr>
                <w:p w14:paraId="1E322E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0.4</w:t>
                  </w:r>
                </w:p>
              </w:tc>
              <w:tc>
                <w:tcPr>
                  <w:tcW w:w="579" w:type="pct"/>
                  <w:shd w:val="clear" w:color="auto" w:fill="auto"/>
                  <w:noWrap w:val="0"/>
                  <w:vAlign w:val="center"/>
                </w:tcPr>
                <w:p w14:paraId="691A5F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2.4</w:t>
                  </w:r>
                </w:p>
              </w:tc>
              <w:tc>
                <w:tcPr>
                  <w:tcW w:w="536" w:type="pct"/>
                  <w:shd w:val="clear" w:color="auto" w:fill="auto"/>
                  <w:noWrap w:val="0"/>
                  <w:vAlign w:val="center"/>
                </w:tcPr>
                <w:p w14:paraId="70606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6</w:t>
                  </w:r>
                </w:p>
              </w:tc>
            </w:tr>
            <w:tr w14:paraId="6914C96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74" w:type="pct"/>
                  <w:shd w:val="clear" w:color="auto" w:fill="auto"/>
                  <w:noWrap w:val="0"/>
                  <w:vAlign w:val="center"/>
                </w:tcPr>
                <w:p w14:paraId="6E86E6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水洗4槽</w:t>
                  </w:r>
                </w:p>
              </w:tc>
              <w:tc>
                <w:tcPr>
                  <w:tcW w:w="687" w:type="pct"/>
                  <w:shd w:val="clear" w:color="auto" w:fill="auto"/>
                  <w:noWrap w:val="0"/>
                  <w:vAlign w:val="center"/>
                </w:tcPr>
                <w:p w14:paraId="42C874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L1.8*W1.5*H1.1m</w:t>
                  </w:r>
                </w:p>
              </w:tc>
              <w:tc>
                <w:tcPr>
                  <w:tcW w:w="413" w:type="pct"/>
                  <w:shd w:val="clear" w:color="auto" w:fill="auto"/>
                  <w:noWrap w:val="0"/>
                  <w:vAlign w:val="center"/>
                </w:tcPr>
                <w:p w14:paraId="21B070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16" w:type="pct"/>
                  <w:shd w:val="clear" w:color="auto" w:fill="auto"/>
                  <w:noWrap w:val="0"/>
                  <w:vAlign w:val="center"/>
                </w:tcPr>
                <w:p w14:paraId="7DD932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574" w:type="pct"/>
                  <w:shd w:val="clear" w:color="auto" w:fill="auto"/>
                  <w:noWrap w:val="0"/>
                  <w:vAlign w:val="center"/>
                </w:tcPr>
                <w:p w14:paraId="1D1F3B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18次/年</w:t>
                  </w:r>
                </w:p>
              </w:tc>
              <w:tc>
                <w:tcPr>
                  <w:tcW w:w="638" w:type="pct"/>
                  <w:shd w:val="clear" w:color="auto" w:fill="auto"/>
                  <w:noWrap w:val="0"/>
                  <w:vAlign w:val="center"/>
                </w:tcPr>
                <w:p w14:paraId="7916F4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c>
                <w:tcPr>
                  <w:tcW w:w="579" w:type="pct"/>
                  <w:shd w:val="clear" w:color="auto" w:fill="auto"/>
                  <w:noWrap w:val="0"/>
                  <w:vAlign w:val="center"/>
                </w:tcPr>
                <w:p w14:paraId="0CF4E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pct"/>
                  <w:shd w:val="clear" w:color="auto" w:fill="auto"/>
                  <w:noWrap w:val="0"/>
                  <w:vAlign w:val="center"/>
                </w:tcPr>
                <w:p w14:paraId="7A848C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536" w:type="pct"/>
                  <w:shd w:val="clear" w:color="auto" w:fill="auto"/>
                  <w:noWrap w:val="0"/>
                  <w:vAlign w:val="center"/>
                </w:tcPr>
                <w:p w14:paraId="496F82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5D2A0F2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2666" w:type="pct"/>
                  <w:gridSpan w:val="5"/>
                  <w:shd w:val="clear" w:color="auto" w:fill="auto"/>
                  <w:noWrap w:val="0"/>
                  <w:vAlign w:val="center"/>
                </w:tcPr>
                <w:p w14:paraId="25C838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合计</w:t>
                  </w:r>
                </w:p>
              </w:tc>
              <w:tc>
                <w:tcPr>
                  <w:tcW w:w="638" w:type="pct"/>
                  <w:shd w:val="clear" w:color="auto" w:fill="auto"/>
                  <w:noWrap w:val="0"/>
                  <w:vAlign w:val="center"/>
                </w:tcPr>
                <w:p w14:paraId="05B43A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w:t>
                  </w:r>
                </w:p>
              </w:tc>
              <w:tc>
                <w:tcPr>
                  <w:tcW w:w="579" w:type="pct"/>
                  <w:shd w:val="clear" w:color="auto" w:fill="auto"/>
                  <w:noWrap w:val="0"/>
                  <w:vAlign w:val="center"/>
                </w:tcPr>
                <w:p w14:paraId="056134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pct"/>
                  <w:shd w:val="clear" w:color="auto" w:fill="auto"/>
                  <w:noWrap w:val="0"/>
                  <w:vAlign w:val="center"/>
                </w:tcPr>
                <w:p w14:paraId="02788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c>
                <w:tcPr>
                  <w:tcW w:w="536" w:type="pct"/>
                  <w:shd w:val="clear" w:color="auto" w:fill="auto"/>
                  <w:noWrap w:val="0"/>
                  <w:vAlign w:val="center"/>
                </w:tcPr>
                <w:p w14:paraId="503166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w:t>
                  </w:r>
                </w:p>
              </w:tc>
            </w:tr>
          </w:tbl>
          <w:p w14:paraId="41C7B1EA">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预脱脂废水W1、主脱脂废水W2</w:t>
            </w:r>
          </w:p>
          <w:p w14:paraId="40A336C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w:t>
            </w:r>
            <w:r>
              <w:rPr>
                <w:rFonts w:hint="eastAsia" w:ascii="Times New Roman" w:hAnsi="Times New Roman" w:eastAsia="宋体" w:cs="Times New Roman"/>
                <w:b w:val="0"/>
                <w:bCs/>
                <w:color w:val="auto"/>
                <w:sz w:val="24"/>
                <w:szCs w:val="24"/>
                <w:highlight w:val="none"/>
                <w:lang w:val="en-US" w:eastAsia="zh-CN"/>
              </w:rPr>
              <w:t>采用脱脂剂去除工件表面油脂，在脱脂过程中，随着清洗时间的延长，清洗槽液中污染物浓度逐渐增加，有效脱脂浓度逐渐下降，当到达一定程度时，需要对脱脂液进行整体换槽，预脱脂槽更换频次为6次/年，主脱脂槽更换频次为4次/年。则预脱脂废水产生量为9t/a，主脱脂废水产生量为6t/a，脱脂废水的主要污染物为COD、SS、石油类，排入厂区污水处理站处理后回用于前处理</w:t>
            </w:r>
            <w:r>
              <w:rPr>
                <w:rFonts w:hint="default" w:ascii="Times New Roman" w:hAnsi="Times New Roman" w:eastAsia="宋体" w:cs="Times New Roman"/>
                <w:b w:val="0"/>
                <w:bCs/>
                <w:color w:val="auto"/>
                <w:sz w:val="24"/>
                <w:szCs w:val="24"/>
                <w:highlight w:val="none"/>
              </w:rPr>
              <w:t>。</w:t>
            </w:r>
          </w:p>
          <w:p w14:paraId="073799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（2）</w:t>
            </w:r>
            <w:r>
              <w:rPr>
                <w:rFonts w:hint="eastAsia" w:ascii="Times New Roman" w:hAnsi="Times New Roman" w:eastAsia="宋体" w:cs="Times New Roman"/>
                <w:color w:val="auto"/>
                <w:sz w:val="24"/>
                <w:szCs w:val="24"/>
                <w:highlight w:val="none"/>
                <w:lang w:val="en-US" w:eastAsia="zh-CN"/>
              </w:rPr>
              <w:t>水洗废水W3、W5</w:t>
            </w:r>
          </w:p>
          <w:p w14:paraId="74C441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color w:val="auto"/>
                <w:sz w:val="24"/>
                <w:szCs w:val="24"/>
                <w:highlight w:val="none"/>
              </w:rPr>
              <w:t>本项目</w:t>
            </w:r>
            <w:r>
              <w:rPr>
                <w:rFonts w:hint="eastAsia" w:ascii="Times New Roman" w:hAnsi="Times New Roman" w:eastAsia="宋体" w:cs="Times New Roman"/>
                <w:b w:val="0"/>
                <w:bCs/>
                <w:color w:val="auto"/>
                <w:sz w:val="24"/>
                <w:szCs w:val="24"/>
                <w:highlight w:val="none"/>
                <w:lang w:val="en-US" w:eastAsia="zh-CN"/>
              </w:rPr>
              <w:t>采用自来水对加工后的工件进行清洗，洗去工件表面残留的脱脂剂和硅烷处理剂，两个槽液更换频次为18次/年，则水洗废水产生量均为108t/a，水洗废水的主要污染物为COD、SS、石油类、氟化物，排入厂区污水处理站处理后回用于前处理</w:t>
            </w:r>
            <w:r>
              <w:rPr>
                <w:rFonts w:hint="default" w:ascii="Times New Roman" w:hAnsi="Times New Roman" w:eastAsia="宋体" w:cs="Times New Roman"/>
                <w:b w:val="0"/>
                <w:bCs/>
                <w:color w:val="auto"/>
                <w:sz w:val="24"/>
                <w:szCs w:val="24"/>
                <w:highlight w:val="none"/>
              </w:rPr>
              <w:t>。</w:t>
            </w:r>
          </w:p>
          <w:p w14:paraId="59547E15">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硅烷化废水W4</w:t>
            </w:r>
          </w:p>
          <w:p w14:paraId="6AFCBD5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本项目采用硅烷处理剂对产品进行表面处理，提高工件表面附着力，</w:t>
            </w:r>
            <w:r>
              <w:rPr>
                <w:rFonts w:hint="eastAsia" w:ascii="Times New Roman" w:hAnsi="Times New Roman" w:eastAsia="宋体" w:cs="Times New Roman"/>
                <w:b w:val="0"/>
                <w:bCs/>
                <w:color w:val="auto"/>
                <w:sz w:val="24"/>
                <w:szCs w:val="24"/>
                <w:highlight w:val="none"/>
                <w:lang w:val="en-US" w:eastAsia="zh-CN"/>
              </w:rPr>
              <w:t>槽液更换频次为4次/年。则脱脂废水产生量为6t/a，</w:t>
            </w:r>
            <w:r>
              <w:rPr>
                <w:rFonts w:hint="eastAsia" w:ascii="Times New Roman" w:hAnsi="Times New Roman" w:eastAsia="宋体" w:cs="Times New Roman"/>
                <w:color w:val="auto"/>
                <w:sz w:val="24"/>
                <w:szCs w:val="24"/>
                <w:highlight w:val="none"/>
                <w:lang w:val="en-US" w:eastAsia="zh-CN"/>
              </w:rPr>
              <w:t>硅烷化</w:t>
            </w:r>
            <w:r>
              <w:rPr>
                <w:rFonts w:hint="eastAsia" w:ascii="Times New Roman" w:hAnsi="Times New Roman" w:eastAsia="宋体" w:cs="Times New Roman"/>
                <w:b w:val="0"/>
                <w:bCs/>
                <w:color w:val="auto"/>
                <w:sz w:val="24"/>
                <w:szCs w:val="24"/>
                <w:highlight w:val="none"/>
                <w:lang w:val="en-US" w:eastAsia="zh-CN"/>
              </w:rPr>
              <w:t>废水的主要污染物为pH、COD、SS、氟化物，排入厂区污水处理站处理后回用于前处理</w:t>
            </w:r>
            <w:r>
              <w:rPr>
                <w:rFonts w:hint="default" w:ascii="Times New Roman" w:hAnsi="Times New Roman" w:eastAsia="宋体" w:cs="Times New Roman"/>
                <w:b w:val="0"/>
                <w:bCs/>
                <w:color w:val="auto"/>
                <w:sz w:val="24"/>
                <w:szCs w:val="24"/>
                <w:highlight w:val="none"/>
              </w:rPr>
              <w:t>。</w:t>
            </w:r>
          </w:p>
          <w:p w14:paraId="7FF27A3F">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14</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前处理废水产生</w:t>
            </w:r>
            <w:r>
              <w:rPr>
                <w:rFonts w:hint="default" w:ascii="Times New Roman" w:hAnsi="Times New Roman" w:eastAsia="宋体" w:cs="Times New Roman"/>
                <w:b/>
                <w:bCs w:val="0"/>
                <w:color w:val="auto"/>
                <w:spacing w:val="0"/>
                <w:sz w:val="24"/>
                <w:szCs w:val="24"/>
                <w:highlight w:val="none"/>
              </w:rPr>
              <w:t>情况表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857"/>
              <w:gridCol w:w="1395"/>
              <w:gridCol w:w="1466"/>
              <w:gridCol w:w="1413"/>
              <w:gridCol w:w="1321"/>
              <w:gridCol w:w="834"/>
            </w:tblGrid>
            <w:tr w14:paraId="1CC34B2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restart"/>
                  <w:noWrap w:val="0"/>
                  <w:vAlign w:val="center"/>
                </w:tcPr>
                <w:p w14:paraId="75394D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污染工序</w:t>
                  </w:r>
                </w:p>
              </w:tc>
              <w:tc>
                <w:tcPr>
                  <w:tcW w:w="841" w:type="pct"/>
                  <w:vMerge w:val="restart"/>
                  <w:noWrap w:val="0"/>
                  <w:vAlign w:val="center"/>
                </w:tcPr>
                <w:p w14:paraId="29E5A5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废水量（t/a）</w:t>
                  </w:r>
                </w:p>
              </w:tc>
              <w:tc>
                <w:tcPr>
                  <w:tcW w:w="884" w:type="pct"/>
                  <w:vMerge w:val="restart"/>
                  <w:noWrap w:val="0"/>
                  <w:vAlign w:val="center"/>
                </w:tcPr>
                <w:p w14:paraId="5CAED5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污染因子</w:t>
                  </w:r>
                </w:p>
              </w:tc>
              <w:tc>
                <w:tcPr>
                  <w:tcW w:w="1649" w:type="pct"/>
                  <w:gridSpan w:val="2"/>
                  <w:noWrap w:val="0"/>
                  <w:vAlign w:val="center"/>
                </w:tcPr>
                <w:p w14:paraId="5B6715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产生情况</w:t>
                  </w:r>
                </w:p>
              </w:tc>
              <w:tc>
                <w:tcPr>
                  <w:tcW w:w="503" w:type="pct"/>
                  <w:vMerge w:val="restart"/>
                  <w:noWrap w:val="0"/>
                  <w:vAlign w:val="center"/>
                </w:tcPr>
                <w:p w14:paraId="59E761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治理措施</w:t>
                  </w:r>
                </w:p>
              </w:tc>
            </w:tr>
            <w:tr w14:paraId="3E1DEB5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continue"/>
                  <w:noWrap w:val="0"/>
                  <w:vAlign w:val="center"/>
                </w:tcPr>
                <w:p w14:paraId="14EBA2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841" w:type="pct"/>
                  <w:vMerge w:val="continue"/>
                  <w:noWrap w:val="0"/>
                  <w:vAlign w:val="center"/>
                </w:tcPr>
                <w:p w14:paraId="7FBA73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884" w:type="pct"/>
                  <w:vMerge w:val="continue"/>
                  <w:noWrap w:val="0"/>
                  <w:vAlign w:val="center"/>
                </w:tcPr>
                <w:p w14:paraId="6CECB7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852" w:type="pct"/>
                  <w:noWrap w:val="0"/>
                  <w:vAlign w:val="center"/>
                </w:tcPr>
                <w:p w14:paraId="4F7EAA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eastAsia" w:ascii="Times New Roman" w:hAnsi="Times New Roman" w:eastAsia="宋体" w:cs="Times New Roman"/>
                      <w:b/>
                      <w:bCs w:val="0"/>
                      <w:smallCaps w:val="0"/>
                      <w:color w:val="auto"/>
                      <w:spacing w:val="0"/>
                      <w:sz w:val="21"/>
                      <w:szCs w:val="21"/>
                      <w:highlight w:val="none"/>
                      <w:lang w:val="en-US" w:eastAsia="zh-CN"/>
                    </w:rPr>
                    <w:t>浓度</w:t>
                  </w:r>
                  <w:r>
                    <w:rPr>
                      <w:rFonts w:hint="default" w:ascii="Times New Roman" w:hAnsi="Times New Roman" w:eastAsia="宋体" w:cs="Times New Roman"/>
                      <w:b/>
                      <w:bCs w:val="0"/>
                      <w:smallCaps w:val="0"/>
                      <w:color w:val="auto"/>
                      <w:spacing w:val="0"/>
                      <w:sz w:val="21"/>
                      <w:szCs w:val="21"/>
                      <w:highlight w:val="none"/>
                      <w:lang w:val="en-US" w:eastAsia="zh-CN"/>
                    </w:rPr>
                    <w:t>（</w:t>
                  </w:r>
                  <w:r>
                    <w:rPr>
                      <w:rFonts w:hint="eastAsia" w:ascii="Times New Roman" w:hAnsi="Times New Roman" w:eastAsia="宋体" w:cs="Times New Roman"/>
                      <w:b/>
                      <w:bCs w:val="0"/>
                      <w:smallCaps w:val="0"/>
                      <w:color w:val="auto"/>
                      <w:spacing w:val="0"/>
                      <w:sz w:val="21"/>
                      <w:szCs w:val="21"/>
                      <w:highlight w:val="none"/>
                      <w:lang w:val="en-US" w:eastAsia="zh-CN"/>
                    </w:rPr>
                    <w:t>mg/L</w:t>
                  </w:r>
                  <w:r>
                    <w:rPr>
                      <w:rFonts w:hint="default" w:ascii="Times New Roman" w:hAnsi="Times New Roman" w:eastAsia="宋体" w:cs="Times New Roman"/>
                      <w:b/>
                      <w:bCs w:val="0"/>
                      <w:smallCaps w:val="0"/>
                      <w:color w:val="auto"/>
                      <w:spacing w:val="0"/>
                      <w:sz w:val="21"/>
                      <w:szCs w:val="21"/>
                      <w:highlight w:val="none"/>
                      <w:lang w:val="en-US" w:eastAsia="zh-CN"/>
                    </w:rPr>
                    <w:t>）</w:t>
                  </w:r>
                </w:p>
              </w:tc>
              <w:tc>
                <w:tcPr>
                  <w:tcW w:w="797" w:type="pct"/>
                  <w:noWrap w:val="0"/>
                  <w:vAlign w:val="center"/>
                </w:tcPr>
                <w:p w14:paraId="4CA94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产生量（t/a）</w:t>
                  </w:r>
                </w:p>
              </w:tc>
              <w:tc>
                <w:tcPr>
                  <w:tcW w:w="503" w:type="pct"/>
                  <w:vMerge w:val="continue"/>
                  <w:noWrap w:val="0"/>
                  <w:vAlign w:val="center"/>
                </w:tcPr>
                <w:p w14:paraId="19C14E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r>
            <w:tr w14:paraId="2A6CAF2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restart"/>
                  <w:shd w:val="clear" w:color="auto" w:fill="auto"/>
                  <w:noWrap w:val="0"/>
                  <w:vAlign w:val="center"/>
                </w:tcPr>
                <w:p w14:paraId="35FCB4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工艺废水合计</w:t>
                  </w:r>
                </w:p>
              </w:tc>
              <w:tc>
                <w:tcPr>
                  <w:tcW w:w="841" w:type="pct"/>
                  <w:vMerge w:val="restart"/>
                  <w:shd w:val="clear" w:color="auto" w:fill="auto"/>
                  <w:noWrap w:val="0"/>
                  <w:vAlign w:val="center"/>
                </w:tcPr>
                <w:p w14:paraId="426946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131</w:t>
                  </w:r>
                </w:p>
              </w:tc>
              <w:tc>
                <w:tcPr>
                  <w:tcW w:w="884" w:type="pct"/>
                  <w:shd w:val="clear" w:color="auto" w:fill="auto"/>
                  <w:noWrap w:val="0"/>
                  <w:vAlign w:val="center"/>
                </w:tcPr>
                <w:p w14:paraId="12DFCC4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pH</w:t>
                  </w:r>
                </w:p>
              </w:tc>
              <w:tc>
                <w:tcPr>
                  <w:tcW w:w="852" w:type="pct"/>
                  <w:shd w:val="clear" w:color="auto" w:fill="auto"/>
                  <w:noWrap w:val="0"/>
                  <w:vAlign w:val="center"/>
                </w:tcPr>
                <w:p w14:paraId="4F3178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5~6.5</w:t>
                  </w:r>
                </w:p>
              </w:tc>
              <w:tc>
                <w:tcPr>
                  <w:tcW w:w="797" w:type="pct"/>
                  <w:shd w:val="clear" w:color="auto" w:fill="auto"/>
                  <w:noWrap w:val="0"/>
                  <w:vAlign w:val="center"/>
                </w:tcPr>
                <w:p w14:paraId="2E155D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3" w:type="pct"/>
                  <w:vMerge w:val="restart"/>
                  <w:shd w:val="clear" w:color="auto" w:fill="auto"/>
                  <w:noWrap w:val="0"/>
                  <w:vAlign w:val="center"/>
                </w:tcPr>
                <w:p w14:paraId="1C5111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污水处理站（详见下文废水处理工艺流程图）</w:t>
                  </w:r>
                </w:p>
              </w:tc>
            </w:tr>
            <w:tr w14:paraId="6F996C0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continue"/>
                  <w:shd w:val="clear" w:color="auto" w:fill="auto"/>
                  <w:noWrap w:val="0"/>
                  <w:vAlign w:val="center"/>
                </w:tcPr>
                <w:p w14:paraId="1C7AF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highlight w:val="none"/>
                    </w:rPr>
                  </w:pPr>
                </w:p>
              </w:tc>
              <w:tc>
                <w:tcPr>
                  <w:tcW w:w="841" w:type="pct"/>
                  <w:vMerge w:val="continue"/>
                  <w:shd w:val="clear" w:color="auto" w:fill="auto"/>
                  <w:noWrap w:val="0"/>
                  <w:vAlign w:val="center"/>
                </w:tcPr>
                <w:p w14:paraId="34732A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highlight w:val="none"/>
                    </w:rPr>
                  </w:pPr>
                </w:p>
              </w:tc>
              <w:tc>
                <w:tcPr>
                  <w:tcW w:w="884" w:type="pct"/>
                  <w:shd w:val="clear" w:color="auto" w:fill="auto"/>
                  <w:noWrap w:val="0"/>
                  <w:vAlign w:val="center"/>
                </w:tcPr>
                <w:p w14:paraId="5B85FE8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COD</w:t>
                  </w:r>
                </w:p>
              </w:tc>
              <w:tc>
                <w:tcPr>
                  <w:tcW w:w="852" w:type="pct"/>
                  <w:shd w:val="clear" w:color="auto" w:fill="auto"/>
                  <w:noWrap w:val="0"/>
                  <w:vAlign w:val="center"/>
                </w:tcPr>
                <w:p w14:paraId="2CA19B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2800</w:t>
                  </w:r>
                </w:p>
              </w:tc>
              <w:tc>
                <w:tcPr>
                  <w:tcW w:w="797" w:type="pct"/>
                  <w:shd w:val="clear" w:color="auto" w:fill="auto"/>
                  <w:noWrap w:val="0"/>
                  <w:vAlign w:val="center"/>
                </w:tcPr>
                <w:p w14:paraId="542823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0.364</w:t>
                  </w:r>
                </w:p>
              </w:tc>
              <w:tc>
                <w:tcPr>
                  <w:tcW w:w="503" w:type="pct"/>
                  <w:vMerge w:val="continue"/>
                  <w:shd w:val="clear" w:color="auto" w:fill="auto"/>
                  <w:noWrap w:val="0"/>
                  <w:vAlign w:val="center"/>
                </w:tcPr>
                <w:p w14:paraId="102E93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531ECCB0">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continue"/>
                  <w:shd w:val="clear" w:color="auto" w:fill="auto"/>
                  <w:noWrap w:val="0"/>
                  <w:vAlign w:val="center"/>
                </w:tcPr>
                <w:p w14:paraId="70C5FB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41" w:type="pct"/>
                  <w:vMerge w:val="continue"/>
                  <w:shd w:val="clear" w:color="auto" w:fill="auto"/>
                  <w:noWrap w:val="0"/>
                  <w:vAlign w:val="center"/>
                </w:tcPr>
                <w:p w14:paraId="7B9BD9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84" w:type="pct"/>
                  <w:shd w:val="clear" w:color="auto" w:fill="auto"/>
                  <w:noWrap w:val="0"/>
                  <w:vAlign w:val="center"/>
                </w:tcPr>
                <w:p w14:paraId="63D76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SS</w:t>
                  </w:r>
                </w:p>
              </w:tc>
              <w:tc>
                <w:tcPr>
                  <w:tcW w:w="852" w:type="pct"/>
                  <w:shd w:val="clear" w:color="auto" w:fill="auto"/>
                  <w:noWrap w:val="0"/>
                  <w:vAlign w:val="center"/>
                </w:tcPr>
                <w:p w14:paraId="383E2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c>
                <w:tcPr>
                  <w:tcW w:w="797" w:type="pct"/>
                  <w:shd w:val="clear" w:color="auto" w:fill="auto"/>
                  <w:noWrap w:val="0"/>
                  <w:vAlign w:val="center"/>
                </w:tcPr>
                <w:p w14:paraId="4E1B38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0.068</w:t>
                  </w:r>
                </w:p>
              </w:tc>
              <w:tc>
                <w:tcPr>
                  <w:tcW w:w="503" w:type="pct"/>
                  <w:vMerge w:val="continue"/>
                  <w:shd w:val="clear" w:color="auto" w:fill="auto"/>
                  <w:noWrap w:val="0"/>
                  <w:vAlign w:val="center"/>
                </w:tcPr>
                <w:p w14:paraId="1BC47D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505E9DB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continue"/>
                  <w:shd w:val="clear" w:color="auto" w:fill="auto"/>
                  <w:noWrap w:val="0"/>
                  <w:vAlign w:val="center"/>
                </w:tcPr>
                <w:p w14:paraId="5EE655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41" w:type="pct"/>
                  <w:vMerge w:val="continue"/>
                  <w:shd w:val="clear" w:color="auto" w:fill="auto"/>
                  <w:noWrap w:val="0"/>
                  <w:vAlign w:val="center"/>
                </w:tcPr>
                <w:p w14:paraId="099161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84" w:type="pct"/>
                  <w:shd w:val="clear" w:color="auto" w:fill="auto"/>
                  <w:noWrap w:val="0"/>
                  <w:vAlign w:val="center"/>
                </w:tcPr>
                <w:p w14:paraId="68E37B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石油类</w:t>
                  </w:r>
                </w:p>
              </w:tc>
              <w:tc>
                <w:tcPr>
                  <w:tcW w:w="852" w:type="pct"/>
                  <w:shd w:val="clear" w:color="auto" w:fill="auto"/>
                  <w:noWrap w:val="0"/>
                  <w:vAlign w:val="center"/>
                </w:tcPr>
                <w:p w14:paraId="6D89A1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797" w:type="pct"/>
                  <w:shd w:val="clear" w:color="auto" w:fill="auto"/>
                  <w:noWrap w:val="0"/>
                  <w:vAlign w:val="center"/>
                </w:tcPr>
                <w:p w14:paraId="6465E6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0.020</w:t>
                  </w:r>
                </w:p>
              </w:tc>
              <w:tc>
                <w:tcPr>
                  <w:tcW w:w="503" w:type="pct"/>
                  <w:vMerge w:val="continue"/>
                  <w:shd w:val="clear" w:color="auto" w:fill="auto"/>
                  <w:noWrap w:val="0"/>
                  <w:vAlign w:val="center"/>
                </w:tcPr>
                <w:p w14:paraId="223B8A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186FC008">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120" w:type="pct"/>
                  <w:vMerge w:val="continue"/>
                  <w:shd w:val="clear" w:color="auto" w:fill="auto"/>
                  <w:noWrap w:val="0"/>
                  <w:vAlign w:val="center"/>
                </w:tcPr>
                <w:p w14:paraId="1CE5D7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41" w:type="pct"/>
                  <w:vMerge w:val="continue"/>
                  <w:shd w:val="clear" w:color="auto" w:fill="auto"/>
                  <w:noWrap w:val="0"/>
                  <w:vAlign w:val="center"/>
                </w:tcPr>
                <w:p w14:paraId="67172B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884" w:type="pct"/>
                  <w:shd w:val="clear" w:color="auto" w:fill="auto"/>
                  <w:noWrap w:val="0"/>
                  <w:vAlign w:val="center"/>
                </w:tcPr>
                <w:p w14:paraId="50C36C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氟化物</w:t>
                  </w:r>
                </w:p>
              </w:tc>
              <w:tc>
                <w:tcPr>
                  <w:tcW w:w="852" w:type="pct"/>
                  <w:shd w:val="clear" w:color="auto" w:fill="auto"/>
                  <w:noWrap w:val="0"/>
                  <w:vAlign w:val="center"/>
                </w:tcPr>
                <w:p w14:paraId="065137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w:t>
                  </w:r>
                </w:p>
              </w:tc>
              <w:tc>
                <w:tcPr>
                  <w:tcW w:w="797" w:type="pct"/>
                  <w:shd w:val="clear" w:color="auto" w:fill="auto"/>
                  <w:noWrap w:val="0"/>
                  <w:vAlign w:val="center"/>
                </w:tcPr>
                <w:p w14:paraId="68D9EF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0.112</w:t>
                  </w:r>
                </w:p>
              </w:tc>
              <w:tc>
                <w:tcPr>
                  <w:tcW w:w="503" w:type="pct"/>
                  <w:vMerge w:val="continue"/>
                  <w:shd w:val="clear" w:color="auto" w:fill="auto"/>
                  <w:noWrap w:val="0"/>
                  <w:vAlign w:val="center"/>
                </w:tcPr>
                <w:p w14:paraId="6DDBDA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bl>
          <w:p w14:paraId="24231A1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污染防治措施</w:t>
            </w:r>
          </w:p>
          <w:p w14:paraId="6EDC9AA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p>
          <w:p w14:paraId="7D1AF1E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其水质较为简单，主要污染物为COD、SS、NH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-N、TP、TN。生活污水排放量约为</w:t>
            </w:r>
            <w:r>
              <w:rPr>
                <w:rFonts w:hint="eastAsia" w:ascii="Times New Roman" w:hAnsi="Times New Roman" w:eastAsia="宋体" w:cs="Times New Roman"/>
                <w:color w:val="auto"/>
                <w:sz w:val="24"/>
                <w:highlight w:val="none"/>
                <w:lang w:val="en-US" w:eastAsia="zh-CN"/>
              </w:rPr>
              <w:t>1080</w:t>
            </w:r>
            <w:r>
              <w:rPr>
                <w:rFonts w:hint="default" w:ascii="Times New Roman" w:hAnsi="Times New Roman" w:eastAsia="宋体" w:cs="Times New Roman"/>
                <w:color w:val="auto"/>
                <w:sz w:val="24"/>
                <w:highlight w:val="none"/>
              </w:rPr>
              <w:t>t/a，接管进金坛第二污水处理厂集中处理，达标排放，尾水排入尧塘河。</w:t>
            </w:r>
          </w:p>
          <w:p w14:paraId="12A64C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（2）生产</w:t>
            </w:r>
            <w:r>
              <w:rPr>
                <w:rFonts w:hint="default" w:ascii="Times New Roman" w:hAnsi="Times New Roman" w:eastAsia="宋体" w:cs="Times New Roman"/>
                <w:color w:val="auto"/>
                <w:sz w:val="24"/>
                <w:highlight w:val="none"/>
              </w:rPr>
              <w:t>污水</w:t>
            </w:r>
          </w:p>
          <w:p w14:paraId="4AC73F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0" w:firstLineChars="1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生产废水经厂内污水处理站处理后回用于前处理工序，本项目污水处理系</w:t>
            </w:r>
          </w:p>
          <w:p w14:paraId="7C71FE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统的能力为6m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/d。本项目废水处理工艺流程图如下：</w:t>
            </w:r>
          </w:p>
          <w:p w14:paraId="0CD60C37">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color w:val="auto"/>
                <w:highlight w:val="none"/>
              </w:rPr>
              <w:drawing>
                <wp:inline distT="0" distB="0" distL="114300" distR="114300">
                  <wp:extent cx="4286885" cy="5306060"/>
                  <wp:effectExtent l="0" t="0" r="889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6"/>
                          <a:stretch>
                            <a:fillRect/>
                          </a:stretch>
                        </pic:blipFill>
                        <pic:spPr>
                          <a:xfrm>
                            <a:off x="0" y="0"/>
                            <a:ext cx="4286885" cy="5306060"/>
                          </a:xfrm>
                          <a:prstGeom prst="rect">
                            <a:avLst/>
                          </a:prstGeom>
                          <a:noFill/>
                          <a:ln>
                            <a:noFill/>
                          </a:ln>
                        </pic:spPr>
                      </pic:pic>
                    </a:graphicData>
                  </a:graphic>
                </wp:inline>
              </w:drawing>
            </w:r>
          </w:p>
          <w:p w14:paraId="2E2976E9">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图4-</w:t>
            </w:r>
            <w:r>
              <w:rPr>
                <w:rFonts w:hint="eastAsia" w:ascii="Times New Roman" w:hAnsi="Times New Roman" w:eastAsia="宋体"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rPr>
              <w:t xml:space="preserve"> </w:t>
            </w:r>
            <w:r>
              <w:rPr>
                <w:rFonts w:hint="default" w:ascii="Times New Roman" w:hAnsi="Times New Roman" w:eastAsia="宋体"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rPr>
              <w:t>废</w:t>
            </w:r>
            <w:r>
              <w:rPr>
                <w:rFonts w:hint="eastAsia" w:ascii="Times New Roman" w:hAnsi="Times New Roman" w:eastAsia="宋体" w:cs="Times New Roman"/>
                <w:b/>
                <w:bCs/>
                <w:color w:val="auto"/>
                <w:kern w:val="0"/>
                <w:sz w:val="24"/>
                <w:highlight w:val="none"/>
                <w:lang w:val="en-US" w:eastAsia="zh-CN"/>
              </w:rPr>
              <w:t>水</w:t>
            </w:r>
            <w:r>
              <w:rPr>
                <w:rFonts w:hint="default" w:ascii="Times New Roman" w:hAnsi="Times New Roman" w:eastAsia="宋体" w:cs="Times New Roman"/>
                <w:b/>
                <w:bCs/>
                <w:color w:val="auto"/>
                <w:kern w:val="0"/>
                <w:sz w:val="24"/>
                <w:highlight w:val="none"/>
              </w:rPr>
              <w:t>处理工艺流程</w:t>
            </w:r>
          </w:p>
          <w:p w14:paraId="538143F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污水处理工艺流程简述：</w:t>
            </w:r>
          </w:p>
          <w:p w14:paraId="44BA4ED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1）7个清洗槽的废水流入调节池，然后对调节池废水的PH值进行监测与调节，使其PH值为中性；</w:t>
            </w:r>
          </w:p>
          <w:p w14:paraId="4B0559B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2）然后通过提升泵送至气浮机，气浮机通过加药，将污水中的油脂经溶气释放器提升至水面，通过刮渣机刮到污泥槽，除油后的污水自流至混凝槽进一处理；</w:t>
            </w:r>
          </w:p>
          <w:p w14:paraId="4931FBA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3）流至混凝槽的污水，通过加药使其中部分可降解的有机物在沉淀池中沉淀，上清液流入缺氧池，底部泥渣经污泥泵打至板框压滤机压滤；</w:t>
            </w:r>
          </w:p>
          <w:p w14:paraId="3249140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4）缺氧池的污水，通过潜水搅拌机搅拌，在缺氧池停留的时间为4小时，主要作用是为了给污水造成一个缺氧的状态，促使污水发生反硝化作用。反应后的污水自流入好氧池；</w:t>
            </w:r>
          </w:p>
          <w:p w14:paraId="7BE0D43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5）好氧池的污水，通过曝气风机加氧，利用氧气的存在，通过微生物的新陈代谢将污水中的有机物分解成二氧化碳和水，从而达到净化污水的目的。好氧池中的微生物以活性污泥的形式存在，它们在氧气充足的环境下，能够有效地分解有机物。此外，好氧池还利用了流态化技术，通过不间断的池水循环，保证废水中的有机物被彻底分解。反应后的污水自流至MBR膜池；</w:t>
            </w:r>
          </w:p>
          <w:p w14:paraId="6604B8E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6）MBR膜池的作用，污水进入膜分离器，膜分离器采用微孔膜作为过滤器，其孔径为0.1微米以下，能够有效地过滤污水中的悬浮物、胶体和细菌等微生物颗粒，从而达到固液分离的目的。膜分离器将过滤出的清水和未过滤的污泥分离，清水由管道排出，而污泥则被回收到生物反应器中，起到增强污泥活性和保持生物反应器中的污泥浓度平衡的作用。</w:t>
            </w:r>
          </w:p>
          <w:p w14:paraId="2E541B0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MBR膜池的好处在于，其膜分离技术能够有效地清除污水中的有机物和微生物颗粒，使废水处理效果更好；MBR出水至中间水箱；</w:t>
            </w:r>
          </w:p>
          <w:p w14:paraId="7671F9F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7）中间水箱的水经高压泵打至超滤系统进一步处理，超滤属于一种分离技术，将压力转为动力膜分离的过程，过滤的精度在0.01-0.005um的范围之内。它可高效地去除水中的细菌、病毒、悬浮物、胶体等颗粒状物质，已经广泛应用于物质的分离、浓缩、提纯等，效果非常好。同时在PH值为2-11的条件下能够连续的使用。</w:t>
            </w:r>
          </w:p>
          <w:p w14:paraId="0ED38FF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超滤膜一种孔径规格一致，额定孔径范围为 0.001-0.02 微米的微孔过滤膜。采用超滤膜以压力差为推动动力的膜过滤方法为超滤膜过滤。超滤出水至超滤中间水箱；</w:t>
            </w:r>
          </w:p>
          <w:p w14:paraId="2FD627F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color w:val="auto"/>
                <w:highlight w:val="none"/>
              </w:rPr>
            </w:pPr>
            <w:r>
              <w:rPr>
                <w:rFonts w:hint="eastAsia" w:ascii="Times New Roman" w:hAnsi="Times New Roman" w:eastAsia="宋体" w:cs="Times New Roman"/>
                <w:color w:val="auto"/>
                <w:kern w:val="0"/>
                <w:sz w:val="24"/>
                <w:highlight w:val="none"/>
                <w:lang w:eastAsia="zh-CN"/>
              </w:rPr>
              <w:t>8）超滤中间水箱的污水经高压泵打入纳滤系统进一步处理。荷电效应是指离子与膜所带电荷的静电相互作用。大多数纳滤膜的表面带有负电荷，他们通过静电相互作用，阻碍多价离子的渗透，这是纳滤膜在较低压力下仍具有较高脱盐性能的重要原因。经纳滤处理后的污水达到回用水标准，出水至回用水池。</w:t>
            </w:r>
          </w:p>
          <w:p w14:paraId="0E458EF2">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技术可行性分析：</w:t>
            </w:r>
          </w:p>
          <w:p w14:paraId="63D246D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根据该污水处理设计方案去除效果表，详见下表。</w:t>
            </w:r>
          </w:p>
          <w:p w14:paraId="3A954B2C">
            <w:pPr>
              <w:pStyle w:val="59"/>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15</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前处理废水产生</w:t>
            </w:r>
            <w:r>
              <w:rPr>
                <w:rFonts w:hint="default" w:ascii="Times New Roman" w:hAnsi="Times New Roman" w:eastAsia="宋体" w:cs="Times New Roman"/>
                <w:b/>
                <w:bCs w:val="0"/>
                <w:color w:val="auto"/>
                <w:spacing w:val="0"/>
                <w:sz w:val="24"/>
                <w:szCs w:val="24"/>
                <w:highlight w:val="none"/>
              </w:rPr>
              <w:t>情况表</w:t>
            </w:r>
          </w:p>
          <w:tbl>
            <w:tblPr>
              <w:tblStyle w:val="27"/>
              <w:tblW w:w="4963"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440"/>
              <w:gridCol w:w="1569"/>
              <w:gridCol w:w="1304"/>
              <w:gridCol w:w="1304"/>
              <w:gridCol w:w="1304"/>
              <w:gridCol w:w="1304"/>
            </w:tblGrid>
            <w:tr w14:paraId="44FF41F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PrEx>
              <w:trPr>
                <w:trHeight w:val="335" w:hRule="atLeast"/>
                <w:jc w:val="center"/>
              </w:trPr>
              <w:tc>
                <w:tcPr>
                  <w:tcW w:w="1829" w:type="pct"/>
                  <w:gridSpan w:val="2"/>
                  <w:noWrap w:val="0"/>
                  <w:vAlign w:val="center"/>
                </w:tcPr>
                <w:p w14:paraId="023DFF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处理单元</w:t>
                  </w:r>
                </w:p>
              </w:tc>
              <w:tc>
                <w:tcPr>
                  <w:tcW w:w="792" w:type="pct"/>
                  <w:noWrap w:val="0"/>
                  <w:vAlign w:val="center"/>
                </w:tcPr>
                <w:p w14:paraId="7C753F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COD</w:t>
                  </w:r>
                </w:p>
              </w:tc>
              <w:tc>
                <w:tcPr>
                  <w:tcW w:w="792" w:type="pct"/>
                  <w:noWrap w:val="0"/>
                  <w:vAlign w:val="center"/>
                </w:tcPr>
                <w:p w14:paraId="0797B1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SS</w:t>
                  </w:r>
                </w:p>
              </w:tc>
              <w:tc>
                <w:tcPr>
                  <w:tcW w:w="792" w:type="pct"/>
                  <w:noWrap w:val="0"/>
                  <w:vAlign w:val="center"/>
                </w:tcPr>
                <w:p w14:paraId="53719C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石油类</w:t>
                  </w:r>
                </w:p>
              </w:tc>
              <w:tc>
                <w:tcPr>
                  <w:tcW w:w="792" w:type="pct"/>
                  <w:noWrap w:val="0"/>
                  <w:vAlign w:val="center"/>
                </w:tcPr>
                <w:p w14:paraId="72B239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氟化物</w:t>
                  </w:r>
                </w:p>
              </w:tc>
            </w:tr>
            <w:tr w14:paraId="5F35D5B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noWrap w:val="0"/>
                  <w:vAlign w:val="center"/>
                </w:tcPr>
                <w:p w14:paraId="17617AF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气浮除脂</w:t>
                  </w:r>
                </w:p>
              </w:tc>
              <w:tc>
                <w:tcPr>
                  <w:tcW w:w="953" w:type="pct"/>
                  <w:noWrap w:val="0"/>
                  <w:vAlign w:val="center"/>
                </w:tcPr>
                <w:p w14:paraId="4A9ADE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进水（mg/L）</w:t>
                  </w:r>
                </w:p>
              </w:tc>
              <w:tc>
                <w:tcPr>
                  <w:tcW w:w="792" w:type="pct"/>
                  <w:noWrap w:val="0"/>
                  <w:vAlign w:val="center"/>
                </w:tcPr>
                <w:p w14:paraId="66D6666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2800</w:t>
                  </w:r>
                </w:p>
              </w:tc>
              <w:tc>
                <w:tcPr>
                  <w:tcW w:w="792" w:type="pct"/>
                  <w:noWrap w:val="0"/>
                  <w:vAlign w:val="center"/>
                </w:tcPr>
                <w:p w14:paraId="1FA326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792" w:type="pct"/>
                  <w:noWrap w:val="0"/>
                  <w:vAlign w:val="center"/>
                </w:tcPr>
                <w:p w14:paraId="7E49E7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150.00</w:t>
                  </w:r>
                </w:p>
              </w:tc>
              <w:tc>
                <w:tcPr>
                  <w:tcW w:w="792" w:type="pct"/>
                  <w:noWrap w:val="0"/>
                  <w:vAlign w:val="center"/>
                </w:tcPr>
                <w:p w14:paraId="55E91B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800</w:t>
                  </w:r>
                </w:p>
              </w:tc>
            </w:tr>
            <w:tr w14:paraId="12C020A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noWrap w:val="0"/>
                  <w:vAlign w:val="center"/>
                </w:tcPr>
                <w:p w14:paraId="3F145A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953" w:type="pct"/>
                  <w:noWrap w:val="0"/>
                  <w:vAlign w:val="center"/>
                </w:tcPr>
                <w:p w14:paraId="1B94B4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出水</w:t>
                  </w:r>
                  <w:r>
                    <w:rPr>
                      <w:rFonts w:hint="default" w:ascii="Times New Roman" w:hAnsi="Times New Roman" w:eastAsia="宋体" w:cs="Times New Roman"/>
                      <w:b w:val="0"/>
                      <w:bCs/>
                      <w:color w:val="auto"/>
                      <w:sz w:val="21"/>
                      <w:szCs w:val="21"/>
                      <w:highlight w:val="none"/>
                      <w:lang w:val="en-US" w:eastAsia="zh-CN"/>
                    </w:rPr>
                    <w:t>（mg/L）</w:t>
                  </w:r>
                </w:p>
              </w:tc>
              <w:tc>
                <w:tcPr>
                  <w:tcW w:w="792" w:type="pct"/>
                  <w:noWrap w:val="0"/>
                  <w:vAlign w:val="center"/>
                </w:tcPr>
                <w:p w14:paraId="5F4D43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1975</w:t>
                  </w:r>
                </w:p>
              </w:tc>
              <w:tc>
                <w:tcPr>
                  <w:tcW w:w="792" w:type="pct"/>
                  <w:noWrap w:val="0"/>
                  <w:vAlign w:val="center"/>
                </w:tcPr>
                <w:p w14:paraId="10D3AB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477</w:t>
                  </w:r>
                </w:p>
              </w:tc>
              <w:tc>
                <w:tcPr>
                  <w:tcW w:w="792" w:type="pct"/>
                  <w:noWrap w:val="0"/>
                  <w:vAlign w:val="center"/>
                </w:tcPr>
                <w:p w14:paraId="48B308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47.00</w:t>
                  </w:r>
                </w:p>
              </w:tc>
              <w:tc>
                <w:tcPr>
                  <w:tcW w:w="792" w:type="pct"/>
                  <w:noWrap w:val="0"/>
                  <w:vAlign w:val="center"/>
                </w:tcPr>
                <w:p w14:paraId="4722A0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800</w:t>
                  </w:r>
                </w:p>
              </w:tc>
            </w:tr>
            <w:tr w14:paraId="4DFA45D3">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noWrap w:val="0"/>
                  <w:vAlign w:val="center"/>
                </w:tcPr>
                <w:p w14:paraId="4A116E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3" w:type="pct"/>
                  <w:noWrap w:val="0"/>
                  <w:vAlign w:val="center"/>
                </w:tcPr>
                <w:p w14:paraId="71375B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去除率</w:t>
                  </w:r>
                </w:p>
              </w:tc>
              <w:tc>
                <w:tcPr>
                  <w:tcW w:w="792" w:type="pct"/>
                  <w:noWrap w:val="0"/>
                  <w:vAlign w:val="center"/>
                </w:tcPr>
                <w:p w14:paraId="15CF9C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92" w:type="pct"/>
                  <w:noWrap w:val="0"/>
                  <w:vAlign w:val="center"/>
                </w:tcPr>
                <w:p w14:paraId="2D210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792" w:type="pct"/>
                  <w:noWrap w:val="0"/>
                  <w:vAlign w:val="center"/>
                </w:tcPr>
                <w:p w14:paraId="178F97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c>
                <w:tcPr>
                  <w:tcW w:w="792" w:type="pct"/>
                  <w:noWrap w:val="0"/>
                  <w:vAlign w:val="center"/>
                </w:tcPr>
                <w:p w14:paraId="05966F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14:paraId="0618275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shd w:val="clear" w:color="auto" w:fill="auto"/>
                  <w:noWrap w:val="0"/>
                  <w:vAlign w:val="center"/>
                </w:tcPr>
                <w:p w14:paraId="6FFC1F1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混凝、絮凝</w:t>
                  </w:r>
                </w:p>
              </w:tc>
              <w:tc>
                <w:tcPr>
                  <w:tcW w:w="953" w:type="pct"/>
                  <w:shd w:val="clear" w:color="auto" w:fill="auto"/>
                  <w:noWrap w:val="0"/>
                  <w:vAlign w:val="center"/>
                </w:tcPr>
                <w:p w14:paraId="64EA42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进水（mg/L）</w:t>
                  </w:r>
                </w:p>
              </w:tc>
              <w:tc>
                <w:tcPr>
                  <w:tcW w:w="792" w:type="pct"/>
                  <w:shd w:val="clear" w:color="auto" w:fill="auto"/>
                  <w:noWrap w:val="0"/>
                  <w:vAlign w:val="center"/>
                </w:tcPr>
                <w:p w14:paraId="3F3955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1960</w:t>
                  </w:r>
                </w:p>
              </w:tc>
              <w:tc>
                <w:tcPr>
                  <w:tcW w:w="792" w:type="pct"/>
                  <w:shd w:val="clear" w:color="auto" w:fill="auto"/>
                  <w:noWrap w:val="0"/>
                  <w:vAlign w:val="center"/>
                </w:tcPr>
                <w:p w14:paraId="75B5E5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450</w:t>
                  </w:r>
                </w:p>
              </w:tc>
              <w:tc>
                <w:tcPr>
                  <w:tcW w:w="792" w:type="pct"/>
                  <w:shd w:val="clear" w:color="auto" w:fill="auto"/>
                  <w:noWrap w:val="0"/>
                  <w:vAlign w:val="center"/>
                </w:tcPr>
                <w:p w14:paraId="0AB8F5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45.00</w:t>
                  </w:r>
                </w:p>
              </w:tc>
              <w:tc>
                <w:tcPr>
                  <w:tcW w:w="792" w:type="pct"/>
                  <w:shd w:val="clear" w:color="auto" w:fill="auto"/>
                  <w:noWrap w:val="0"/>
                  <w:vAlign w:val="center"/>
                </w:tcPr>
                <w:p w14:paraId="4563D3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800</w:t>
                  </w:r>
                </w:p>
              </w:tc>
            </w:tr>
            <w:tr w14:paraId="45BE7CD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shd w:val="clear" w:color="auto" w:fill="auto"/>
                  <w:noWrap w:val="0"/>
                  <w:vAlign w:val="center"/>
                </w:tcPr>
                <w:p w14:paraId="3138C3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p>
              </w:tc>
              <w:tc>
                <w:tcPr>
                  <w:tcW w:w="953" w:type="pct"/>
                  <w:shd w:val="clear" w:color="auto" w:fill="auto"/>
                  <w:noWrap w:val="0"/>
                  <w:vAlign w:val="center"/>
                </w:tcPr>
                <w:p w14:paraId="3A67B7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出水</w:t>
                  </w:r>
                  <w:r>
                    <w:rPr>
                      <w:rFonts w:hint="default" w:ascii="Times New Roman" w:hAnsi="Times New Roman" w:eastAsia="宋体" w:cs="Times New Roman"/>
                      <w:b w:val="0"/>
                      <w:bCs/>
                      <w:color w:val="auto"/>
                      <w:sz w:val="21"/>
                      <w:szCs w:val="21"/>
                      <w:highlight w:val="none"/>
                      <w:lang w:val="en-US" w:eastAsia="zh-CN"/>
                    </w:rPr>
                    <w:t>（mg/L）</w:t>
                  </w:r>
                </w:p>
              </w:tc>
              <w:tc>
                <w:tcPr>
                  <w:tcW w:w="792" w:type="pct"/>
                  <w:shd w:val="clear" w:color="auto" w:fill="auto"/>
                  <w:noWrap w:val="0"/>
                  <w:vAlign w:val="center"/>
                </w:tcPr>
                <w:p w14:paraId="5C0B7C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1372</w:t>
                  </w:r>
                </w:p>
              </w:tc>
              <w:tc>
                <w:tcPr>
                  <w:tcW w:w="792" w:type="pct"/>
                  <w:shd w:val="clear" w:color="auto" w:fill="auto"/>
                  <w:noWrap w:val="0"/>
                  <w:vAlign w:val="center"/>
                </w:tcPr>
                <w:p w14:paraId="23461E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792" w:type="pct"/>
                  <w:shd w:val="clear" w:color="auto" w:fill="auto"/>
                  <w:noWrap w:val="0"/>
                  <w:vAlign w:val="center"/>
                </w:tcPr>
                <w:p w14:paraId="09F2961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22.50</w:t>
                  </w:r>
                </w:p>
              </w:tc>
              <w:tc>
                <w:tcPr>
                  <w:tcW w:w="792" w:type="pct"/>
                  <w:shd w:val="clear" w:color="auto" w:fill="auto"/>
                  <w:noWrap w:val="0"/>
                  <w:vAlign w:val="center"/>
                </w:tcPr>
                <w:p w14:paraId="7EF051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14:paraId="3AE44267">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PrEx>
              <w:trPr>
                <w:trHeight w:val="397" w:hRule="atLeast"/>
                <w:jc w:val="center"/>
              </w:trPr>
              <w:tc>
                <w:tcPr>
                  <w:tcW w:w="875" w:type="pct"/>
                  <w:vMerge w:val="continue"/>
                  <w:shd w:val="clear" w:color="auto" w:fill="auto"/>
                  <w:noWrap w:val="0"/>
                  <w:vAlign w:val="center"/>
                </w:tcPr>
                <w:p w14:paraId="50645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3" w:type="pct"/>
                  <w:shd w:val="clear" w:color="auto" w:fill="auto"/>
                  <w:noWrap w:val="0"/>
                  <w:vAlign w:val="center"/>
                </w:tcPr>
                <w:p w14:paraId="6D7186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去除率</w:t>
                  </w:r>
                </w:p>
              </w:tc>
              <w:tc>
                <w:tcPr>
                  <w:tcW w:w="792" w:type="pct"/>
                  <w:shd w:val="clear" w:color="auto" w:fill="auto"/>
                  <w:noWrap w:val="0"/>
                  <w:vAlign w:val="center"/>
                </w:tcPr>
                <w:p w14:paraId="59D0BF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92" w:type="pct"/>
                  <w:shd w:val="clear" w:color="auto" w:fill="auto"/>
                  <w:noWrap w:val="0"/>
                  <w:vAlign w:val="center"/>
                </w:tcPr>
                <w:p w14:paraId="4EE35D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c>
                <w:tcPr>
                  <w:tcW w:w="792" w:type="pct"/>
                  <w:shd w:val="clear" w:color="auto" w:fill="auto"/>
                  <w:noWrap w:val="0"/>
                  <w:vAlign w:val="center"/>
                </w:tcPr>
                <w:p w14:paraId="482DE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792" w:type="pct"/>
                  <w:shd w:val="clear" w:color="auto" w:fill="auto"/>
                  <w:noWrap w:val="0"/>
                  <w:vAlign w:val="center"/>
                </w:tcPr>
                <w:p w14:paraId="0D069C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95%</w:t>
                  </w:r>
                </w:p>
              </w:tc>
            </w:tr>
            <w:tr w14:paraId="1686CD5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noWrap w:val="0"/>
                  <w:vAlign w:val="center"/>
                </w:tcPr>
                <w:p w14:paraId="6D5A71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斜管沉淀</w:t>
                  </w:r>
                </w:p>
              </w:tc>
              <w:tc>
                <w:tcPr>
                  <w:tcW w:w="953" w:type="pct"/>
                  <w:shd w:val="clear" w:color="auto" w:fill="auto"/>
                  <w:noWrap w:val="0"/>
                  <w:vAlign w:val="center"/>
                </w:tcPr>
                <w:p w14:paraId="61DFB35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进水（mg/L）</w:t>
                  </w:r>
                </w:p>
              </w:tc>
              <w:tc>
                <w:tcPr>
                  <w:tcW w:w="792" w:type="pct"/>
                  <w:shd w:val="clear" w:color="auto" w:fill="auto"/>
                  <w:noWrap w:val="0"/>
                  <w:vAlign w:val="center"/>
                </w:tcPr>
                <w:p w14:paraId="5F116F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1372</w:t>
                  </w:r>
                </w:p>
              </w:tc>
              <w:tc>
                <w:tcPr>
                  <w:tcW w:w="792" w:type="pct"/>
                  <w:shd w:val="clear" w:color="auto" w:fill="auto"/>
                  <w:noWrap w:val="0"/>
                  <w:vAlign w:val="center"/>
                </w:tcPr>
                <w:p w14:paraId="32A09B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792" w:type="pct"/>
                  <w:shd w:val="clear" w:color="auto" w:fill="auto"/>
                  <w:noWrap w:val="0"/>
                  <w:vAlign w:val="center"/>
                </w:tcPr>
                <w:p w14:paraId="11B297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22.50</w:t>
                  </w:r>
                </w:p>
              </w:tc>
              <w:tc>
                <w:tcPr>
                  <w:tcW w:w="792" w:type="pct"/>
                  <w:shd w:val="clear" w:color="auto" w:fill="auto"/>
                  <w:noWrap w:val="0"/>
                  <w:vAlign w:val="center"/>
                </w:tcPr>
                <w:p w14:paraId="1D9BC9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14:paraId="058F5DD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noWrap w:val="0"/>
                  <w:vAlign w:val="center"/>
                </w:tcPr>
                <w:p w14:paraId="6AAD49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953" w:type="pct"/>
                  <w:shd w:val="clear" w:color="auto" w:fill="auto"/>
                  <w:noWrap w:val="0"/>
                  <w:vAlign w:val="center"/>
                </w:tcPr>
                <w:p w14:paraId="751389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出水</w:t>
                  </w:r>
                  <w:r>
                    <w:rPr>
                      <w:rFonts w:hint="default" w:ascii="Times New Roman" w:hAnsi="Times New Roman" w:eastAsia="宋体" w:cs="Times New Roman"/>
                      <w:b w:val="0"/>
                      <w:bCs/>
                      <w:color w:val="auto"/>
                      <w:sz w:val="21"/>
                      <w:szCs w:val="21"/>
                      <w:highlight w:val="none"/>
                      <w:lang w:val="en-US" w:eastAsia="zh-CN"/>
                    </w:rPr>
                    <w:t>（mg/L）</w:t>
                  </w:r>
                </w:p>
              </w:tc>
              <w:tc>
                <w:tcPr>
                  <w:tcW w:w="792" w:type="pct"/>
                  <w:shd w:val="clear" w:color="auto" w:fill="auto"/>
                  <w:noWrap w:val="0"/>
                  <w:vAlign w:val="center"/>
                </w:tcPr>
                <w:p w14:paraId="5B5DCF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960</w:t>
                  </w:r>
                </w:p>
              </w:tc>
              <w:tc>
                <w:tcPr>
                  <w:tcW w:w="792" w:type="pct"/>
                  <w:shd w:val="clear" w:color="auto" w:fill="auto"/>
                  <w:noWrap w:val="0"/>
                  <w:vAlign w:val="center"/>
                </w:tcPr>
                <w:p w14:paraId="25F962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92" w:type="pct"/>
                  <w:shd w:val="clear" w:color="auto" w:fill="auto"/>
                  <w:noWrap w:val="0"/>
                  <w:vAlign w:val="center"/>
                </w:tcPr>
                <w:p w14:paraId="6C46AF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11.25</w:t>
                  </w:r>
                </w:p>
              </w:tc>
              <w:tc>
                <w:tcPr>
                  <w:tcW w:w="792" w:type="pct"/>
                  <w:shd w:val="clear" w:color="auto" w:fill="auto"/>
                  <w:noWrap w:val="0"/>
                  <w:vAlign w:val="center"/>
                </w:tcPr>
                <w:p w14:paraId="7B5976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5066DB0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noWrap w:val="0"/>
                  <w:vAlign w:val="center"/>
                </w:tcPr>
                <w:p w14:paraId="0F59C7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3" w:type="pct"/>
                  <w:shd w:val="clear" w:color="auto" w:fill="auto"/>
                  <w:noWrap w:val="0"/>
                  <w:vAlign w:val="center"/>
                </w:tcPr>
                <w:p w14:paraId="080E8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去除率</w:t>
                  </w:r>
                </w:p>
              </w:tc>
              <w:tc>
                <w:tcPr>
                  <w:tcW w:w="792" w:type="pct"/>
                  <w:shd w:val="clear" w:color="auto" w:fill="auto"/>
                  <w:noWrap w:val="0"/>
                  <w:vAlign w:val="center"/>
                </w:tcPr>
                <w:p w14:paraId="15BC2A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92" w:type="pct"/>
                  <w:shd w:val="clear" w:color="auto" w:fill="auto"/>
                  <w:noWrap w:val="0"/>
                  <w:vAlign w:val="center"/>
                </w:tcPr>
                <w:p w14:paraId="6A28DA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792" w:type="pct"/>
                  <w:shd w:val="clear" w:color="auto" w:fill="auto"/>
                  <w:noWrap w:val="0"/>
                  <w:vAlign w:val="center"/>
                </w:tcPr>
                <w:p w14:paraId="5A2460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792" w:type="pct"/>
                  <w:shd w:val="clear" w:color="auto" w:fill="auto"/>
                  <w:noWrap w:val="0"/>
                  <w:vAlign w:val="center"/>
                </w:tcPr>
                <w:p w14:paraId="5A0A6F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r>
            <w:tr w14:paraId="24CC041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shd w:val="clear" w:color="auto" w:fill="auto"/>
                  <w:noWrap w:val="0"/>
                  <w:vAlign w:val="center"/>
                </w:tcPr>
                <w:p w14:paraId="5E61126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缺氧+好氧+MBR</w:t>
                  </w:r>
                </w:p>
                <w:p w14:paraId="78BE179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3" w:type="pct"/>
                  <w:shd w:val="clear" w:color="auto" w:fill="auto"/>
                  <w:noWrap w:val="0"/>
                  <w:vAlign w:val="center"/>
                </w:tcPr>
                <w:p w14:paraId="7B36936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进水（mg/L）</w:t>
                  </w:r>
                </w:p>
              </w:tc>
              <w:tc>
                <w:tcPr>
                  <w:tcW w:w="792" w:type="pct"/>
                  <w:shd w:val="clear" w:color="auto" w:fill="auto"/>
                  <w:noWrap w:val="0"/>
                  <w:vAlign w:val="center"/>
                </w:tcPr>
                <w:p w14:paraId="5E3844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960</w:t>
                  </w:r>
                </w:p>
              </w:tc>
              <w:tc>
                <w:tcPr>
                  <w:tcW w:w="792" w:type="pct"/>
                  <w:shd w:val="clear" w:color="auto" w:fill="auto"/>
                  <w:noWrap w:val="0"/>
                  <w:vAlign w:val="center"/>
                </w:tcPr>
                <w:p w14:paraId="1D1D07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92" w:type="pct"/>
                  <w:shd w:val="clear" w:color="auto" w:fill="auto"/>
                  <w:noWrap w:val="0"/>
                  <w:vAlign w:val="center"/>
                </w:tcPr>
                <w:p w14:paraId="43D920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11.25</w:t>
                  </w:r>
                </w:p>
              </w:tc>
              <w:tc>
                <w:tcPr>
                  <w:tcW w:w="792" w:type="pct"/>
                  <w:shd w:val="clear" w:color="auto" w:fill="auto"/>
                  <w:noWrap w:val="0"/>
                  <w:vAlign w:val="center"/>
                </w:tcPr>
                <w:p w14:paraId="6503E02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027019F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shd w:val="clear" w:color="auto" w:fill="auto"/>
                  <w:noWrap w:val="0"/>
                  <w:vAlign w:val="center"/>
                </w:tcPr>
                <w:p w14:paraId="3C8EB7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953" w:type="pct"/>
                  <w:shd w:val="clear" w:color="auto" w:fill="auto"/>
                  <w:noWrap w:val="0"/>
                  <w:vAlign w:val="center"/>
                </w:tcPr>
                <w:p w14:paraId="322EF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出水</w:t>
                  </w:r>
                  <w:r>
                    <w:rPr>
                      <w:rFonts w:hint="default" w:ascii="Times New Roman" w:hAnsi="Times New Roman" w:eastAsia="宋体" w:cs="Times New Roman"/>
                      <w:b w:val="0"/>
                      <w:bCs/>
                      <w:color w:val="auto"/>
                      <w:sz w:val="21"/>
                      <w:szCs w:val="21"/>
                      <w:highlight w:val="none"/>
                      <w:lang w:val="en-US" w:eastAsia="zh-CN"/>
                    </w:rPr>
                    <w:t>（mg/L）</w:t>
                  </w:r>
                </w:p>
              </w:tc>
              <w:tc>
                <w:tcPr>
                  <w:tcW w:w="792" w:type="pct"/>
                  <w:shd w:val="clear" w:color="auto" w:fill="auto"/>
                  <w:noWrap w:val="0"/>
                  <w:vAlign w:val="center"/>
                </w:tcPr>
                <w:p w14:paraId="660CC9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384</w:t>
                  </w:r>
                </w:p>
              </w:tc>
              <w:tc>
                <w:tcPr>
                  <w:tcW w:w="792" w:type="pct"/>
                  <w:shd w:val="clear" w:color="auto" w:fill="auto"/>
                  <w:noWrap w:val="0"/>
                  <w:vAlign w:val="center"/>
                </w:tcPr>
                <w:p w14:paraId="3C20E3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792" w:type="pct"/>
                  <w:shd w:val="clear" w:color="auto" w:fill="auto"/>
                  <w:noWrap w:val="0"/>
                  <w:vAlign w:val="center"/>
                </w:tcPr>
                <w:p w14:paraId="34C9234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792" w:type="pct"/>
                  <w:shd w:val="clear" w:color="auto" w:fill="auto"/>
                  <w:noWrap w:val="0"/>
                  <w:vAlign w:val="center"/>
                </w:tcPr>
                <w:p w14:paraId="05C5C8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489CB53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shd w:val="clear" w:color="auto" w:fill="auto"/>
                  <w:noWrap w:val="0"/>
                  <w:vAlign w:val="center"/>
                </w:tcPr>
                <w:p w14:paraId="1F7F03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953" w:type="pct"/>
                  <w:shd w:val="clear" w:color="auto" w:fill="auto"/>
                  <w:noWrap w:val="0"/>
                  <w:vAlign w:val="center"/>
                </w:tcPr>
                <w:p w14:paraId="35B9DE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去除率</w:t>
                  </w:r>
                </w:p>
              </w:tc>
              <w:tc>
                <w:tcPr>
                  <w:tcW w:w="792" w:type="pct"/>
                  <w:shd w:val="clear" w:color="auto" w:fill="auto"/>
                  <w:noWrap w:val="0"/>
                  <w:vAlign w:val="center"/>
                </w:tcPr>
                <w:p w14:paraId="7E32EA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w:t>
                  </w:r>
                </w:p>
              </w:tc>
              <w:tc>
                <w:tcPr>
                  <w:tcW w:w="792" w:type="pct"/>
                  <w:shd w:val="clear" w:color="auto" w:fill="auto"/>
                  <w:noWrap w:val="0"/>
                  <w:vAlign w:val="center"/>
                </w:tcPr>
                <w:p w14:paraId="23B45A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92" w:type="pct"/>
                  <w:shd w:val="clear" w:color="auto" w:fill="auto"/>
                  <w:noWrap w:val="0"/>
                  <w:vAlign w:val="center"/>
                </w:tcPr>
                <w:p w14:paraId="4CAE9D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w:t>
                  </w:r>
                </w:p>
              </w:tc>
              <w:tc>
                <w:tcPr>
                  <w:tcW w:w="792" w:type="pct"/>
                  <w:shd w:val="clear" w:color="auto" w:fill="auto"/>
                  <w:noWrap w:val="0"/>
                  <w:vAlign w:val="center"/>
                </w:tcPr>
                <w:p w14:paraId="137B35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14:paraId="2A8C8B6C">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restart"/>
                  <w:shd w:val="clear" w:color="auto" w:fill="auto"/>
                  <w:noWrap w:val="0"/>
                  <w:vAlign w:val="center"/>
                </w:tcPr>
                <w:p w14:paraId="69BD3D1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纳滤</w:t>
                  </w:r>
                </w:p>
              </w:tc>
              <w:tc>
                <w:tcPr>
                  <w:tcW w:w="953" w:type="pct"/>
                  <w:shd w:val="clear" w:color="auto" w:fill="auto"/>
                  <w:noWrap w:val="0"/>
                  <w:vAlign w:val="center"/>
                </w:tcPr>
                <w:p w14:paraId="6617C61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进水（mg/L）</w:t>
                  </w:r>
                </w:p>
              </w:tc>
              <w:tc>
                <w:tcPr>
                  <w:tcW w:w="792" w:type="pct"/>
                  <w:shd w:val="clear" w:color="auto" w:fill="auto"/>
                  <w:noWrap w:val="0"/>
                  <w:vAlign w:val="center"/>
                </w:tcPr>
                <w:p w14:paraId="573BF3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384</w:t>
                  </w:r>
                </w:p>
              </w:tc>
              <w:tc>
                <w:tcPr>
                  <w:tcW w:w="792" w:type="pct"/>
                  <w:shd w:val="clear" w:color="auto" w:fill="auto"/>
                  <w:noWrap w:val="0"/>
                  <w:vAlign w:val="center"/>
                </w:tcPr>
                <w:p w14:paraId="4ED072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792" w:type="pct"/>
                  <w:shd w:val="clear" w:color="auto" w:fill="auto"/>
                  <w:noWrap w:val="0"/>
                  <w:vAlign w:val="center"/>
                </w:tcPr>
                <w:p w14:paraId="3A7340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792" w:type="pct"/>
                  <w:shd w:val="clear" w:color="auto" w:fill="auto"/>
                  <w:noWrap w:val="0"/>
                  <w:vAlign w:val="center"/>
                </w:tcPr>
                <w:p w14:paraId="5F692F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6441C1C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shd w:val="clear" w:color="auto" w:fill="auto"/>
                  <w:noWrap w:val="0"/>
                  <w:vAlign w:val="center"/>
                </w:tcPr>
                <w:p w14:paraId="269FCA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p>
              </w:tc>
              <w:tc>
                <w:tcPr>
                  <w:tcW w:w="953" w:type="pct"/>
                  <w:shd w:val="clear" w:color="auto" w:fill="auto"/>
                  <w:noWrap w:val="0"/>
                  <w:vAlign w:val="center"/>
                </w:tcPr>
                <w:p w14:paraId="2B198C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出水</w:t>
                  </w:r>
                  <w:r>
                    <w:rPr>
                      <w:rFonts w:hint="default" w:ascii="Times New Roman" w:hAnsi="Times New Roman" w:eastAsia="宋体" w:cs="Times New Roman"/>
                      <w:b w:val="0"/>
                      <w:bCs/>
                      <w:color w:val="auto"/>
                      <w:sz w:val="21"/>
                      <w:szCs w:val="21"/>
                      <w:highlight w:val="none"/>
                      <w:lang w:val="en-US" w:eastAsia="zh-CN"/>
                    </w:rPr>
                    <w:t>（mg/L）</w:t>
                  </w:r>
                </w:p>
              </w:tc>
              <w:tc>
                <w:tcPr>
                  <w:tcW w:w="792" w:type="pct"/>
                  <w:shd w:val="clear" w:color="auto" w:fill="auto"/>
                  <w:noWrap w:val="0"/>
                  <w:vAlign w:val="center"/>
                </w:tcPr>
                <w:p w14:paraId="1FE923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192</w:t>
                  </w:r>
                </w:p>
              </w:tc>
              <w:tc>
                <w:tcPr>
                  <w:tcW w:w="792" w:type="pct"/>
                  <w:shd w:val="clear" w:color="auto" w:fill="auto"/>
                  <w:noWrap w:val="0"/>
                  <w:vAlign w:val="center"/>
                </w:tcPr>
                <w:p w14:paraId="5E587A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w:t>
                  </w:r>
                </w:p>
              </w:tc>
              <w:tc>
                <w:tcPr>
                  <w:tcW w:w="792" w:type="pct"/>
                  <w:shd w:val="clear" w:color="auto" w:fill="auto"/>
                  <w:noWrap w:val="0"/>
                  <w:vAlign w:val="center"/>
                </w:tcPr>
                <w:p w14:paraId="6769A6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1.80</w:t>
                  </w:r>
                </w:p>
              </w:tc>
              <w:tc>
                <w:tcPr>
                  <w:tcW w:w="792" w:type="pct"/>
                  <w:shd w:val="clear" w:color="auto" w:fill="auto"/>
                  <w:noWrap w:val="0"/>
                  <w:vAlign w:val="center"/>
                </w:tcPr>
                <w:p w14:paraId="683C49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41F06C3D">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75" w:type="pct"/>
                  <w:vMerge w:val="continue"/>
                  <w:shd w:val="clear" w:color="auto" w:fill="auto"/>
                  <w:noWrap w:val="0"/>
                  <w:vAlign w:val="center"/>
                </w:tcPr>
                <w:p w14:paraId="413DAB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953" w:type="pct"/>
                  <w:shd w:val="clear" w:color="auto" w:fill="auto"/>
                  <w:noWrap w:val="0"/>
                  <w:vAlign w:val="center"/>
                </w:tcPr>
                <w:p w14:paraId="2D758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去除率</w:t>
                  </w:r>
                </w:p>
              </w:tc>
              <w:tc>
                <w:tcPr>
                  <w:tcW w:w="792" w:type="pct"/>
                  <w:shd w:val="clear" w:color="auto" w:fill="auto"/>
                  <w:noWrap w:val="0"/>
                  <w:vAlign w:val="center"/>
                </w:tcPr>
                <w:p w14:paraId="0C469B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792" w:type="pct"/>
                  <w:shd w:val="clear" w:color="auto" w:fill="auto"/>
                  <w:noWrap w:val="0"/>
                  <w:vAlign w:val="center"/>
                </w:tcPr>
                <w:p w14:paraId="185559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92" w:type="pct"/>
                  <w:shd w:val="clear" w:color="auto" w:fill="auto"/>
                  <w:noWrap w:val="0"/>
                  <w:vAlign w:val="center"/>
                </w:tcPr>
                <w:p w14:paraId="7B394C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w:t>
                  </w:r>
                </w:p>
              </w:tc>
              <w:tc>
                <w:tcPr>
                  <w:tcW w:w="792" w:type="pct"/>
                  <w:shd w:val="clear" w:color="auto" w:fill="auto"/>
                  <w:noWrap w:val="0"/>
                  <w:vAlign w:val="center"/>
                </w:tcPr>
                <w:p w14:paraId="36BA97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r>
            <w:tr w14:paraId="0FF3683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1829" w:type="pct"/>
                  <w:gridSpan w:val="2"/>
                  <w:shd w:val="clear" w:color="auto" w:fill="auto"/>
                  <w:noWrap w:val="0"/>
                  <w:vAlign w:val="center"/>
                </w:tcPr>
                <w:p w14:paraId="6F4F75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排放标准</w:t>
                  </w:r>
                </w:p>
              </w:tc>
              <w:tc>
                <w:tcPr>
                  <w:tcW w:w="792" w:type="pct"/>
                  <w:shd w:val="clear" w:color="auto" w:fill="auto"/>
                  <w:noWrap w:val="0"/>
                  <w:vAlign w:val="center"/>
                </w:tcPr>
                <w:p w14:paraId="13F8DB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200</w:t>
                  </w:r>
                </w:p>
              </w:tc>
              <w:tc>
                <w:tcPr>
                  <w:tcW w:w="792" w:type="pct"/>
                  <w:shd w:val="clear" w:color="auto" w:fill="auto"/>
                  <w:noWrap w:val="0"/>
                  <w:vAlign w:val="center"/>
                </w:tcPr>
                <w:p w14:paraId="64A867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792" w:type="pct"/>
                  <w:shd w:val="clear" w:color="auto" w:fill="auto"/>
                  <w:noWrap w:val="0"/>
                  <w:vAlign w:val="center"/>
                </w:tcPr>
                <w:p w14:paraId="00995F0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792" w:type="pct"/>
                  <w:shd w:val="clear" w:color="auto" w:fill="auto"/>
                  <w:noWrap w:val="0"/>
                  <w:vAlign w:val="center"/>
                </w:tcPr>
                <w:p w14:paraId="52229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bl>
          <w:p w14:paraId="664A823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由上表可见，本项目</w:t>
            </w:r>
            <w:r>
              <w:rPr>
                <w:rFonts w:hint="eastAsia" w:ascii="Times New Roman" w:hAnsi="Times New Roman" w:eastAsia="宋体" w:cs="Times New Roman"/>
                <w:b w:val="0"/>
                <w:bCs w:val="0"/>
                <w:color w:val="auto"/>
                <w:sz w:val="24"/>
                <w:highlight w:val="none"/>
                <w:lang w:val="en-US" w:eastAsia="zh-CN"/>
              </w:rPr>
              <w:t>生产</w:t>
            </w:r>
            <w:r>
              <w:rPr>
                <w:rFonts w:hint="default" w:ascii="Times New Roman" w:hAnsi="Times New Roman" w:eastAsia="宋体" w:cs="Times New Roman"/>
                <w:b w:val="0"/>
                <w:bCs w:val="0"/>
                <w:color w:val="auto"/>
                <w:sz w:val="24"/>
                <w:highlight w:val="none"/>
                <w:lang w:val="en-US" w:eastAsia="zh-CN"/>
              </w:rPr>
              <w:t>废水经废水处理系统处理后能达到</w:t>
            </w:r>
            <w:r>
              <w:rPr>
                <w:rFonts w:hint="eastAsia" w:ascii="Times New Roman" w:hAnsi="Times New Roman" w:eastAsia="宋体" w:cs="Times New Roman"/>
                <w:b w:val="0"/>
                <w:bCs w:val="0"/>
                <w:color w:val="auto"/>
                <w:sz w:val="24"/>
                <w:highlight w:val="none"/>
                <w:lang w:val="en-US" w:eastAsia="zh-CN"/>
              </w:rPr>
              <w:t>企业自定的</w:t>
            </w:r>
            <w:r>
              <w:rPr>
                <w:rFonts w:hint="default" w:ascii="Times New Roman" w:hAnsi="Times New Roman" w:eastAsia="宋体" w:cs="Times New Roman"/>
                <w:b w:val="0"/>
                <w:bCs w:val="0"/>
                <w:color w:val="auto"/>
                <w:sz w:val="24"/>
                <w:highlight w:val="none"/>
                <w:lang w:val="en-US" w:eastAsia="zh-CN"/>
              </w:rPr>
              <w:t>回用水标准限值，能稳定达标，回用于</w:t>
            </w:r>
            <w:r>
              <w:rPr>
                <w:rFonts w:hint="eastAsia" w:ascii="Times New Roman" w:hAnsi="Times New Roman" w:eastAsia="宋体" w:cs="Times New Roman"/>
                <w:b w:val="0"/>
                <w:bCs w:val="0"/>
                <w:color w:val="auto"/>
                <w:sz w:val="24"/>
                <w:highlight w:val="none"/>
                <w:lang w:val="en-US" w:eastAsia="zh-CN"/>
              </w:rPr>
              <w:t>前处理工段</w:t>
            </w:r>
            <w:r>
              <w:rPr>
                <w:rFonts w:hint="default" w:ascii="Times New Roman" w:hAnsi="Times New Roman" w:eastAsia="宋体" w:cs="Times New Roman"/>
                <w:b w:val="0"/>
                <w:bCs w:val="0"/>
                <w:color w:val="auto"/>
                <w:sz w:val="24"/>
                <w:highlight w:val="none"/>
                <w:lang w:val="en-US" w:eastAsia="zh-CN"/>
              </w:rPr>
              <w:t>。</w:t>
            </w:r>
          </w:p>
          <w:p w14:paraId="3FF14086">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回用</w:t>
            </w:r>
            <w:r>
              <w:rPr>
                <w:rFonts w:hint="default" w:ascii="Times New Roman" w:hAnsi="Times New Roman" w:eastAsia="宋体" w:cs="Times New Roman"/>
                <w:b/>
                <w:bCs/>
                <w:color w:val="auto"/>
                <w:sz w:val="24"/>
                <w:highlight w:val="none"/>
                <w:lang w:val="en-US" w:eastAsia="zh-CN"/>
              </w:rPr>
              <w:t>可行性分析</w:t>
            </w:r>
            <w:r>
              <w:rPr>
                <w:rFonts w:hint="eastAsia" w:ascii="Times New Roman" w:hAnsi="Times New Roman" w:eastAsia="宋体" w:cs="Times New Roman"/>
                <w:b/>
                <w:bCs/>
                <w:color w:val="auto"/>
                <w:sz w:val="24"/>
                <w:highlight w:val="none"/>
                <w:lang w:val="en-US" w:eastAsia="zh-CN"/>
              </w:rPr>
              <w:t>：</w:t>
            </w:r>
          </w:p>
          <w:p w14:paraId="08A42B9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水量情况：根据水平衡图，本项目回用水109.8t/a，与52.2t/a新鲜水混合后回用于前处理工序。</w:t>
            </w:r>
          </w:p>
          <w:p w14:paraId="4EA44D2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水质方面：本项目回用水质均能达到回用水标准，根据设计方提供资料，处理过后的水对工艺无影响。企业安装流量监控、视频监控防止污水处理设施异常。因此本项目回用在水量和水质方面均可行。</w:t>
            </w:r>
          </w:p>
          <w:p w14:paraId="29F4EE40">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处理能力</w:t>
            </w:r>
            <w:r>
              <w:rPr>
                <w:rFonts w:hint="default" w:ascii="Times New Roman" w:hAnsi="Times New Roman" w:eastAsia="宋体" w:cs="Times New Roman"/>
                <w:b/>
                <w:bCs/>
                <w:color w:val="auto"/>
                <w:sz w:val="24"/>
                <w:highlight w:val="none"/>
                <w:lang w:val="en-US" w:eastAsia="zh-CN"/>
              </w:rPr>
              <w:t>可行性分析</w:t>
            </w:r>
            <w:r>
              <w:rPr>
                <w:rFonts w:hint="eastAsia" w:ascii="Times New Roman" w:hAnsi="Times New Roman" w:eastAsia="宋体" w:cs="Times New Roman"/>
                <w:b/>
                <w:bCs/>
                <w:color w:val="auto"/>
                <w:sz w:val="24"/>
                <w:highlight w:val="none"/>
                <w:lang w:val="en-US" w:eastAsia="zh-CN"/>
              </w:rPr>
              <w:t>：</w:t>
            </w:r>
          </w:p>
          <w:p w14:paraId="1F1AB5C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本项目污水处理系统处理能力为6m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/d，工业废水量为131m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/a（0.43m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/d），处理能力可以满足本项目处理要求。</w:t>
            </w:r>
          </w:p>
          <w:p w14:paraId="72F20FA0">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污水处理设施安全</w:t>
            </w:r>
            <w:r>
              <w:rPr>
                <w:rFonts w:hint="default" w:ascii="Times New Roman" w:hAnsi="Times New Roman" w:eastAsia="宋体" w:cs="Times New Roman"/>
                <w:b/>
                <w:bCs/>
                <w:color w:val="auto"/>
                <w:sz w:val="24"/>
                <w:highlight w:val="none"/>
                <w:lang w:val="en-US" w:eastAsia="zh-CN"/>
              </w:rPr>
              <w:t>设置要求：</w:t>
            </w:r>
          </w:p>
          <w:p w14:paraId="006D8A3C">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按照《污水处理设备安全技术规范》</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GB 28742-2012</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安全设置规定，本项目对拟建活性炭吸附装置提出以下要求：</w:t>
            </w:r>
          </w:p>
          <w:p w14:paraId="5AE9E988">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①为了保护工人的职业健康安全</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当进入设施内部检修时</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应提供一次性衣服</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防护罩、防护手套等防护用品</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在加药设施旁边还应设置洗眼液等防护设施。</w:t>
            </w:r>
          </w:p>
          <w:p w14:paraId="603DBC76">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②设备中皮带、齿轮、联轴器等传动部分应设有防护罩。</w:t>
            </w:r>
          </w:p>
          <w:p w14:paraId="17021C83">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③设备中应有可靠的接地桩头。接地电阻应符合GB50169的要求。</w:t>
            </w:r>
          </w:p>
          <w:p w14:paraId="0F4EBF2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④设备应配有处理后不能达标时能返回到调节池的管道,多台串联处理设施应设有超过管。</w:t>
            </w:r>
          </w:p>
          <w:p w14:paraId="2CC9C1C4">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val="en-US" w:eastAsia="zh-CN"/>
              </w:rPr>
              <w:t>3.接管可行性分析</w:t>
            </w:r>
          </w:p>
          <w:p w14:paraId="6FCBA18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管网建设情况</w:t>
            </w:r>
          </w:p>
          <w:p w14:paraId="03656BA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。根据区域规划，本项目在</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接收范围之内。</w:t>
            </w:r>
          </w:p>
          <w:p w14:paraId="1DA2652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污水处理厂简介</w:t>
            </w:r>
          </w:p>
          <w:p w14:paraId="4408F7C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位于江苏省金坛经济开发区内，华城东路与新常金公路交汇处以北100m。2013年年平均处理水量约为3.1万m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/d（处理负荷为77.5%），接管工业废水约1.57万t/d，接管生活污水约1.53万t/d，二污厂现状工业废水与生活污水之比约为1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1。2014年4月8日《金坛市</w:t>
            </w:r>
            <w:r>
              <w:rPr>
                <w:rFonts w:hint="default" w:ascii="Times New Roman" w:hAnsi="Times New Roman" w:eastAsia="宋体" w:cs="Times New Roman"/>
                <w:color w:val="auto"/>
                <w:kern w:val="0"/>
                <w:sz w:val="24"/>
                <w:highlight w:val="none"/>
                <w:lang w:eastAsia="zh-CN"/>
              </w:rPr>
              <w:t>第二污水处理有限公司</w:t>
            </w:r>
            <w:r>
              <w:rPr>
                <w:rFonts w:hint="default" w:ascii="Times New Roman" w:hAnsi="Times New Roman" w:eastAsia="宋体" w:cs="Times New Roman"/>
                <w:color w:val="auto"/>
                <w:kern w:val="0"/>
                <w:sz w:val="24"/>
                <w:highlight w:val="none"/>
              </w:rPr>
              <w:t>扩建工程项目环境影响报告书》通过</w:t>
            </w:r>
            <w:r>
              <w:rPr>
                <w:rFonts w:hint="default" w:ascii="Times New Roman" w:hAnsi="Times New Roman" w:eastAsia="宋体" w:cs="Times New Roman"/>
                <w:color w:val="auto"/>
                <w:kern w:val="0"/>
                <w:sz w:val="24"/>
                <w:highlight w:val="none"/>
                <w:lang w:val="en-US" w:eastAsia="zh-CN"/>
              </w:rPr>
              <w:t>原</w:t>
            </w:r>
            <w:r>
              <w:rPr>
                <w:rFonts w:hint="default" w:ascii="Times New Roman" w:hAnsi="Times New Roman" w:eastAsia="宋体" w:cs="Times New Roman"/>
                <w:color w:val="auto"/>
                <w:kern w:val="0"/>
                <w:sz w:val="24"/>
                <w:highlight w:val="none"/>
              </w:rPr>
              <w:t>金坛市环境保护局审批，规划扩建工程规模为2.0万m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/d，远期规划规模达16万m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/d，该项目已于2017年1月3日通过</w:t>
            </w:r>
            <w:r>
              <w:rPr>
                <w:rFonts w:hint="default" w:ascii="Times New Roman" w:hAnsi="Times New Roman" w:eastAsia="宋体" w:cs="Times New Roman"/>
                <w:color w:val="auto"/>
                <w:kern w:val="0"/>
                <w:sz w:val="24"/>
                <w:highlight w:val="none"/>
                <w:lang w:val="en-US" w:eastAsia="zh-CN"/>
              </w:rPr>
              <w:t>原</w:t>
            </w:r>
            <w:r>
              <w:rPr>
                <w:rFonts w:hint="default" w:ascii="Times New Roman" w:hAnsi="Times New Roman" w:eastAsia="宋体" w:cs="Times New Roman"/>
                <w:color w:val="auto"/>
                <w:kern w:val="0"/>
                <w:sz w:val="24"/>
                <w:highlight w:val="none"/>
              </w:rPr>
              <w:t>常州市金坛区环境保护局验收，并正式投入运营。</w:t>
            </w:r>
          </w:p>
          <w:p w14:paraId="53F6187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（3）接管水量可行性</w:t>
            </w:r>
          </w:p>
          <w:p w14:paraId="3B3BBDF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金坛第二污水处理厂目前实际处理量约5.8万吨/日，还有余量0.2万吨/日。本项目废水排放总量约为</w:t>
            </w:r>
            <w:r>
              <w:rPr>
                <w:rFonts w:hint="eastAsia" w:ascii="Times New Roman" w:hAnsi="Times New Roman" w:eastAsia="宋体" w:cs="Times New Roman"/>
                <w:bCs/>
                <w:color w:val="auto"/>
                <w:sz w:val="24"/>
                <w:highlight w:val="none"/>
                <w:lang w:val="en-US" w:eastAsia="zh-CN"/>
              </w:rPr>
              <w:t>720</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2.4</w:t>
            </w:r>
            <w:r>
              <w:rPr>
                <w:rFonts w:hint="default" w:ascii="Times New Roman" w:hAnsi="Times New Roman" w:eastAsia="宋体" w:cs="Times New Roman"/>
                <w:bCs/>
                <w:color w:val="auto"/>
                <w:sz w:val="24"/>
                <w:highlight w:val="none"/>
                <w:lang w:val="en-US" w:eastAsia="zh-CN"/>
              </w:rPr>
              <w:t>t/d），占金坛第二污水处理厂日处理余量的比例极小，金坛第二污水处理厂完全有能力接纳本项目污水。</w:t>
            </w:r>
          </w:p>
          <w:p w14:paraId="54202E3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（4）接管水质可行性</w:t>
            </w:r>
          </w:p>
          <w:p w14:paraId="67CFA8A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本项目建成后接管废水为生活污水，废水排放浓度低、水量小、水质简单，不会对污水处理厂运行产生冲击负荷，不影响污水处理厂出水水质。</w:t>
            </w:r>
          </w:p>
          <w:p w14:paraId="15B93EC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bCs/>
                <w:color w:val="auto"/>
                <w:sz w:val="24"/>
                <w:highlight w:val="none"/>
                <w:lang w:val="en-US" w:eastAsia="zh-CN"/>
              </w:rPr>
              <w:t>处理是可行的。</w:t>
            </w:r>
          </w:p>
          <w:p w14:paraId="7A0ADD3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4.废水排放情况</w:t>
            </w:r>
          </w:p>
          <w:p w14:paraId="65FD5C5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667766A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本项目生活污水经市政污水管网接至</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生产废水经厂区废水处理设施处理后回用于前处理工段，</w:t>
            </w:r>
            <w:r>
              <w:rPr>
                <w:rFonts w:hint="default" w:ascii="Times New Roman" w:hAnsi="Times New Roman" w:eastAsia="宋体" w:cs="Times New Roman"/>
                <w:bCs/>
                <w:color w:val="auto"/>
                <w:sz w:val="24"/>
                <w:highlight w:val="none"/>
                <w:lang w:val="en-US" w:eastAsia="zh-CN"/>
              </w:rPr>
              <w:t>废水产生及排放情况见下表。</w:t>
            </w:r>
          </w:p>
          <w:p w14:paraId="37D51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eastAsia" w:ascii="Times New Roman" w:hAnsi="Times New Roman" w:eastAsia="宋体" w:cs="Times New Roman"/>
                <w:b/>
                <w:bCs/>
                <w:color w:val="auto"/>
                <w:sz w:val="24"/>
                <w:szCs w:val="24"/>
                <w:highlight w:val="none"/>
                <w:lang w:val="en-US" w:eastAsia="zh-CN"/>
              </w:rPr>
              <w:t>16</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本项目废水污染物排放情况表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845"/>
              <w:gridCol w:w="845"/>
              <w:gridCol w:w="852"/>
              <w:gridCol w:w="1114"/>
              <w:gridCol w:w="721"/>
              <w:gridCol w:w="721"/>
              <w:gridCol w:w="789"/>
              <w:gridCol w:w="796"/>
              <w:gridCol w:w="913"/>
            </w:tblGrid>
            <w:tr w14:paraId="69E20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vAlign w:val="center"/>
                </w:tcPr>
                <w:p w14:paraId="0CB9B1F9">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废水产生源</w:t>
                  </w:r>
                </w:p>
              </w:tc>
              <w:tc>
                <w:tcPr>
                  <w:tcW w:w="1534" w:type="pct"/>
                  <w:gridSpan w:val="3"/>
                  <w:tcBorders>
                    <w:tl2br w:val="nil"/>
                    <w:tr2bl w:val="nil"/>
                  </w:tcBorders>
                  <w:vAlign w:val="center"/>
                </w:tcPr>
                <w:p w14:paraId="35E1E69C">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污染物产生情况</w:t>
                  </w:r>
                </w:p>
              </w:tc>
              <w:tc>
                <w:tcPr>
                  <w:tcW w:w="672" w:type="pct"/>
                  <w:vMerge w:val="restart"/>
                  <w:tcBorders>
                    <w:tl2br w:val="nil"/>
                    <w:tr2bl w:val="nil"/>
                  </w:tcBorders>
                  <w:vAlign w:val="center"/>
                </w:tcPr>
                <w:p w14:paraId="2A0982D3">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拟采取</w:t>
                  </w:r>
                </w:p>
                <w:p w14:paraId="55063A78">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措施</w:t>
                  </w:r>
                </w:p>
              </w:tc>
              <w:tc>
                <w:tcPr>
                  <w:tcW w:w="1346" w:type="pct"/>
                  <w:gridSpan w:val="3"/>
                  <w:tcBorders>
                    <w:tl2br w:val="nil"/>
                    <w:tr2bl w:val="nil"/>
                  </w:tcBorders>
                  <w:vAlign w:val="center"/>
                </w:tcPr>
                <w:p w14:paraId="34EC3EF2">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污染物排放情况</w:t>
                  </w:r>
                </w:p>
              </w:tc>
              <w:tc>
                <w:tcPr>
                  <w:tcW w:w="480" w:type="pct"/>
                  <w:vMerge w:val="restart"/>
                  <w:tcBorders>
                    <w:tl2br w:val="nil"/>
                    <w:tr2bl w:val="nil"/>
                  </w:tcBorders>
                  <w:vAlign w:val="center"/>
                </w:tcPr>
                <w:p w14:paraId="3C174DAC">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024F212E">
                  <w:pPr>
                    <w:tabs>
                      <w:tab w:val="left" w:pos="6840"/>
                    </w:tabs>
                    <w:spacing w:line="27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标准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mg/L</w:t>
                  </w:r>
                  <w:r>
                    <w:rPr>
                      <w:rFonts w:hint="default" w:ascii="Times New Roman" w:hAnsi="Times New Roman" w:eastAsia="宋体" w:cs="Times New Roman"/>
                      <w:b/>
                      <w:bCs/>
                      <w:color w:val="auto"/>
                      <w:szCs w:val="21"/>
                      <w:highlight w:val="none"/>
                      <w:lang w:eastAsia="zh-CN"/>
                    </w:rPr>
                    <w:t>）</w:t>
                  </w:r>
                </w:p>
              </w:tc>
              <w:tc>
                <w:tcPr>
                  <w:tcW w:w="551" w:type="pct"/>
                  <w:vMerge w:val="restart"/>
                  <w:tcBorders>
                    <w:tl2br w:val="nil"/>
                    <w:tr2bl w:val="nil"/>
                  </w:tcBorders>
                  <w:vAlign w:val="center"/>
                </w:tcPr>
                <w:p w14:paraId="16E5C67F">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排放方式与去向</w:t>
                  </w:r>
                </w:p>
              </w:tc>
            </w:tr>
            <w:tr w14:paraId="63DC5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74CFBBE2">
                  <w:pPr>
                    <w:tabs>
                      <w:tab w:val="left" w:pos="6840"/>
                    </w:tabs>
                    <w:spacing w:line="270" w:lineRule="exact"/>
                    <w:jc w:val="center"/>
                    <w:rPr>
                      <w:rFonts w:hint="default" w:ascii="Times New Roman" w:hAnsi="Times New Roman" w:eastAsia="宋体" w:cs="Times New Roman"/>
                      <w:b/>
                      <w:bCs/>
                      <w:color w:val="auto"/>
                      <w:szCs w:val="21"/>
                      <w:highlight w:val="none"/>
                    </w:rPr>
                  </w:pPr>
                </w:p>
              </w:tc>
              <w:tc>
                <w:tcPr>
                  <w:tcW w:w="510" w:type="pct"/>
                  <w:tcBorders>
                    <w:tl2br w:val="nil"/>
                    <w:tr2bl w:val="nil"/>
                  </w:tcBorders>
                  <w:vAlign w:val="center"/>
                </w:tcPr>
                <w:p w14:paraId="423138E8">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p w14:paraId="18CBB754">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510" w:type="pct"/>
                  <w:tcBorders>
                    <w:tl2br w:val="nil"/>
                    <w:tr2bl w:val="nil"/>
                  </w:tcBorders>
                  <w:vAlign w:val="center"/>
                </w:tcPr>
                <w:p w14:paraId="3C4D9F89">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3EA5DE7C">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mg/L</w:t>
                  </w:r>
                </w:p>
              </w:tc>
              <w:tc>
                <w:tcPr>
                  <w:tcW w:w="514" w:type="pct"/>
                  <w:tcBorders>
                    <w:tl2br w:val="nil"/>
                    <w:tr2bl w:val="nil"/>
                  </w:tcBorders>
                  <w:vAlign w:val="center"/>
                </w:tcPr>
                <w:p w14:paraId="796B5612">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w:t>
                  </w:r>
                </w:p>
                <w:p w14:paraId="7B9A4AA5">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672" w:type="pct"/>
                  <w:vMerge w:val="continue"/>
                  <w:tcBorders>
                    <w:tl2br w:val="nil"/>
                    <w:tr2bl w:val="nil"/>
                  </w:tcBorders>
                  <w:vAlign w:val="center"/>
                </w:tcPr>
                <w:p w14:paraId="4779E0FE">
                  <w:pPr>
                    <w:tabs>
                      <w:tab w:val="left" w:pos="6840"/>
                    </w:tabs>
                    <w:spacing w:line="270" w:lineRule="exact"/>
                    <w:jc w:val="center"/>
                    <w:rPr>
                      <w:rFonts w:hint="default" w:ascii="Times New Roman" w:hAnsi="Times New Roman" w:eastAsia="宋体" w:cs="Times New Roman"/>
                      <w:b/>
                      <w:bCs/>
                      <w:color w:val="auto"/>
                      <w:szCs w:val="21"/>
                      <w:highlight w:val="none"/>
                    </w:rPr>
                  </w:pPr>
                </w:p>
              </w:tc>
              <w:tc>
                <w:tcPr>
                  <w:tcW w:w="435" w:type="pct"/>
                  <w:tcBorders>
                    <w:tl2br w:val="nil"/>
                    <w:tr2bl w:val="nil"/>
                  </w:tcBorders>
                  <w:vAlign w:val="center"/>
                </w:tcPr>
                <w:p w14:paraId="60264BCC">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p w14:paraId="6C986810">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435" w:type="pct"/>
                  <w:tcBorders>
                    <w:tl2br w:val="nil"/>
                    <w:tr2bl w:val="nil"/>
                  </w:tcBorders>
                  <w:vAlign w:val="center"/>
                </w:tcPr>
                <w:p w14:paraId="500B0D5F">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79648F16">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mg/L</w:t>
                  </w:r>
                </w:p>
              </w:tc>
              <w:tc>
                <w:tcPr>
                  <w:tcW w:w="476" w:type="pct"/>
                  <w:tcBorders>
                    <w:tl2br w:val="nil"/>
                    <w:tr2bl w:val="nil"/>
                  </w:tcBorders>
                  <w:vAlign w:val="center"/>
                </w:tcPr>
                <w:p w14:paraId="3A83C2BD">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w:t>
                  </w:r>
                </w:p>
                <w:p w14:paraId="59276C6D">
                  <w:pPr>
                    <w:tabs>
                      <w:tab w:val="left" w:pos="6840"/>
                    </w:tabs>
                    <w:spacing w:line="27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480" w:type="pct"/>
                  <w:vMerge w:val="continue"/>
                  <w:tcBorders>
                    <w:tl2br w:val="nil"/>
                    <w:tr2bl w:val="nil"/>
                  </w:tcBorders>
                  <w:vAlign w:val="center"/>
                </w:tcPr>
                <w:p w14:paraId="6DEBEBEA">
                  <w:pPr>
                    <w:tabs>
                      <w:tab w:val="left" w:pos="6840"/>
                    </w:tabs>
                    <w:spacing w:line="270" w:lineRule="exact"/>
                    <w:jc w:val="center"/>
                    <w:rPr>
                      <w:rFonts w:hint="default" w:ascii="Times New Roman" w:hAnsi="Times New Roman" w:eastAsia="宋体" w:cs="Times New Roman"/>
                      <w:color w:val="auto"/>
                      <w:szCs w:val="21"/>
                      <w:highlight w:val="none"/>
                    </w:rPr>
                  </w:pPr>
                </w:p>
              </w:tc>
              <w:tc>
                <w:tcPr>
                  <w:tcW w:w="551" w:type="pct"/>
                  <w:vMerge w:val="continue"/>
                  <w:tcBorders>
                    <w:tl2br w:val="nil"/>
                    <w:tr2bl w:val="nil"/>
                  </w:tcBorders>
                  <w:vAlign w:val="center"/>
                </w:tcPr>
                <w:p w14:paraId="1697ACFA">
                  <w:pPr>
                    <w:tabs>
                      <w:tab w:val="left" w:pos="6840"/>
                    </w:tabs>
                    <w:spacing w:line="270" w:lineRule="exact"/>
                    <w:jc w:val="center"/>
                    <w:rPr>
                      <w:rFonts w:hint="default" w:ascii="Times New Roman" w:hAnsi="Times New Roman" w:eastAsia="宋体" w:cs="Times New Roman"/>
                      <w:color w:val="auto"/>
                      <w:szCs w:val="21"/>
                      <w:highlight w:val="none"/>
                    </w:rPr>
                  </w:pPr>
                </w:p>
              </w:tc>
            </w:tr>
            <w:tr w14:paraId="68E04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restart"/>
                  <w:tcBorders>
                    <w:tl2br w:val="nil"/>
                    <w:tr2bl w:val="nil"/>
                  </w:tcBorders>
                  <w:vAlign w:val="center"/>
                </w:tcPr>
                <w:p w14:paraId="32370691">
                  <w:pPr>
                    <w:tabs>
                      <w:tab w:val="left" w:pos="6840"/>
                    </w:tabs>
                    <w:spacing w:line="27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生活</w:t>
                  </w:r>
                  <w:r>
                    <w:rPr>
                      <w:rFonts w:hint="default" w:ascii="Times New Roman" w:hAnsi="Times New Roman" w:eastAsia="宋体" w:cs="Times New Roman"/>
                      <w:color w:val="auto"/>
                      <w:sz w:val="21"/>
                      <w:szCs w:val="21"/>
                      <w:highlight w:val="none"/>
                    </w:rPr>
                    <w:t>污水</w:t>
                  </w:r>
                  <w:r>
                    <w:rPr>
                      <w:rFonts w:hint="eastAsia" w:ascii="Times New Roman" w:hAnsi="Times New Roman" w:eastAsia="宋体" w:cs="Times New Roman"/>
                      <w:color w:val="auto"/>
                      <w:sz w:val="21"/>
                      <w:szCs w:val="21"/>
                      <w:highlight w:val="none"/>
                      <w:lang w:val="en-US" w:eastAsia="zh-CN"/>
                    </w:rPr>
                    <w:t>1080</w:t>
                  </w:r>
                </w:p>
                <w:p w14:paraId="07A9BA95">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t/a</w:t>
                  </w:r>
                </w:p>
              </w:tc>
              <w:tc>
                <w:tcPr>
                  <w:tcW w:w="510" w:type="pct"/>
                  <w:tcBorders>
                    <w:tl2br w:val="nil"/>
                    <w:tr2bl w:val="nil"/>
                  </w:tcBorders>
                  <w:vAlign w:val="center"/>
                </w:tcPr>
                <w:p w14:paraId="63688956">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510" w:type="pct"/>
                  <w:tcBorders>
                    <w:tl2br w:val="nil"/>
                    <w:tr2bl w:val="nil"/>
                  </w:tcBorders>
                  <w:vAlign w:val="center"/>
                </w:tcPr>
                <w:p w14:paraId="7C1E4EC8">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514" w:type="pct"/>
                  <w:tcBorders>
                    <w:tl2br w:val="nil"/>
                    <w:tr2bl w:val="nil"/>
                  </w:tcBorders>
                  <w:vAlign w:val="center"/>
                </w:tcPr>
                <w:p w14:paraId="229A5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672" w:type="pct"/>
                  <w:vMerge w:val="restart"/>
                  <w:tcBorders>
                    <w:tl2br w:val="nil"/>
                    <w:tr2bl w:val="nil"/>
                  </w:tcBorders>
                  <w:vAlign w:val="center"/>
                </w:tcPr>
                <w:p w14:paraId="22E54F71">
                  <w:pPr>
                    <w:tabs>
                      <w:tab w:val="left" w:pos="6840"/>
                    </w:tabs>
                    <w:spacing w:line="27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35" w:type="pct"/>
                  <w:tcBorders>
                    <w:tl2br w:val="nil"/>
                    <w:tr2bl w:val="nil"/>
                  </w:tcBorders>
                  <w:vAlign w:val="center"/>
                </w:tcPr>
                <w:p w14:paraId="675064AB">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435" w:type="pct"/>
                  <w:tcBorders>
                    <w:tl2br w:val="nil"/>
                    <w:tr2bl w:val="nil"/>
                  </w:tcBorders>
                  <w:shd w:val="clear" w:color="auto" w:fill="auto"/>
                  <w:vAlign w:val="center"/>
                </w:tcPr>
                <w:p w14:paraId="5102159C">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400</w:t>
                  </w:r>
                </w:p>
              </w:tc>
              <w:tc>
                <w:tcPr>
                  <w:tcW w:w="476" w:type="pct"/>
                  <w:tcBorders>
                    <w:tl2br w:val="nil"/>
                    <w:tr2bl w:val="nil"/>
                  </w:tcBorders>
                  <w:shd w:val="clear" w:color="auto" w:fill="auto"/>
                  <w:vAlign w:val="center"/>
                </w:tcPr>
                <w:p w14:paraId="349CB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480" w:type="pct"/>
                  <w:tcBorders>
                    <w:tl2br w:val="nil"/>
                    <w:tr2bl w:val="nil"/>
                  </w:tcBorders>
                  <w:vAlign w:val="center"/>
                </w:tcPr>
                <w:p w14:paraId="79569AFA">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551" w:type="pct"/>
                  <w:vMerge w:val="restart"/>
                  <w:tcBorders>
                    <w:tl2br w:val="nil"/>
                    <w:tr2bl w:val="nil"/>
                  </w:tcBorders>
                  <w:vAlign w:val="center"/>
                </w:tcPr>
                <w:p w14:paraId="15D2D1E5">
                  <w:pPr>
                    <w:tabs>
                      <w:tab w:val="left" w:pos="6840"/>
                    </w:tabs>
                    <w:spacing w:line="270" w:lineRule="exact"/>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接管</w:t>
                  </w:r>
                  <w:r>
                    <w:rPr>
                      <w:rFonts w:hint="default" w:ascii="Times New Roman" w:hAnsi="Times New Roman" w:eastAsia="宋体" w:cs="Times New Roman"/>
                      <w:color w:val="auto"/>
                      <w:szCs w:val="21"/>
                      <w:highlight w:val="none"/>
                      <w:lang w:val="en-US" w:eastAsia="zh-CN"/>
                    </w:rPr>
                    <w:t>至金坛第二污水处理厂</w:t>
                  </w:r>
                </w:p>
              </w:tc>
            </w:tr>
            <w:tr w14:paraId="354E5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57D9DA0B">
                  <w:pPr>
                    <w:tabs>
                      <w:tab w:val="left" w:pos="6840"/>
                    </w:tabs>
                    <w:spacing w:line="270" w:lineRule="exact"/>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392F2772">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510" w:type="pct"/>
                  <w:tcBorders>
                    <w:tl2br w:val="nil"/>
                    <w:tr2bl w:val="nil"/>
                  </w:tcBorders>
                  <w:vAlign w:val="center"/>
                </w:tcPr>
                <w:p w14:paraId="4E8448C6">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w:t>
                  </w:r>
                </w:p>
              </w:tc>
              <w:tc>
                <w:tcPr>
                  <w:tcW w:w="514" w:type="pct"/>
                  <w:tcBorders>
                    <w:tl2br w:val="nil"/>
                    <w:tr2bl w:val="nil"/>
                  </w:tcBorders>
                  <w:vAlign w:val="center"/>
                </w:tcPr>
                <w:p w14:paraId="0944F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672" w:type="pct"/>
                  <w:vMerge w:val="continue"/>
                  <w:tcBorders>
                    <w:tl2br w:val="nil"/>
                    <w:tr2bl w:val="nil"/>
                  </w:tcBorders>
                  <w:vAlign w:val="center"/>
                </w:tcPr>
                <w:p w14:paraId="55EBA752">
                  <w:pPr>
                    <w:tabs>
                      <w:tab w:val="left" w:pos="6840"/>
                    </w:tabs>
                    <w:spacing w:line="270" w:lineRule="exact"/>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4C424B45">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435" w:type="pct"/>
                  <w:tcBorders>
                    <w:tl2br w:val="nil"/>
                    <w:tr2bl w:val="nil"/>
                  </w:tcBorders>
                  <w:shd w:val="clear" w:color="auto" w:fill="auto"/>
                  <w:vAlign w:val="center"/>
                </w:tcPr>
                <w:p w14:paraId="5180FBE1">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w:t>
                  </w:r>
                </w:p>
              </w:tc>
              <w:tc>
                <w:tcPr>
                  <w:tcW w:w="476" w:type="pct"/>
                  <w:tcBorders>
                    <w:tl2br w:val="nil"/>
                    <w:tr2bl w:val="nil"/>
                  </w:tcBorders>
                  <w:shd w:val="clear" w:color="auto" w:fill="auto"/>
                  <w:vAlign w:val="center"/>
                </w:tcPr>
                <w:p w14:paraId="19400F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480" w:type="pct"/>
                  <w:tcBorders>
                    <w:tl2br w:val="nil"/>
                    <w:tr2bl w:val="nil"/>
                  </w:tcBorders>
                  <w:vAlign w:val="center"/>
                </w:tcPr>
                <w:p w14:paraId="5B0FB58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551" w:type="pct"/>
                  <w:vMerge w:val="continue"/>
                  <w:tcBorders>
                    <w:tl2br w:val="nil"/>
                    <w:tr2bl w:val="nil"/>
                  </w:tcBorders>
                  <w:vAlign w:val="center"/>
                </w:tcPr>
                <w:p w14:paraId="1FD02152">
                  <w:pPr>
                    <w:tabs>
                      <w:tab w:val="left" w:pos="6840"/>
                    </w:tabs>
                    <w:spacing w:line="270" w:lineRule="exact"/>
                    <w:jc w:val="center"/>
                    <w:rPr>
                      <w:rFonts w:hint="default" w:ascii="Times New Roman" w:hAnsi="Times New Roman" w:eastAsia="宋体" w:cs="Times New Roman"/>
                      <w:color w:val="auto"/>
                      <w:szCs w:val="21"/>
                      <w:highlight w:val="none"/>
                    </w:rPr>
                  </w:pPr>
                </w:p>
              </w:tc>
            </w:tr>
            <w:tr w14:paraId="671B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7BF36BA5">
                  <w:pPr>
                    <w:tabs>
                      <w:tab w:val="left" w:pos="6840"/>
                    </w:tabs>
                    <w:spacing w:line="270" w:lineRule="exact"/>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25734DE8">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510" w:type="pct"/>
                  <w:tcBorders>
                    <w:tl2br w:val="nil"/>
                    <w:tr2bl w:val="nil"/>
                  </w:tcBorders>
                  <w:vAlign w:val="center"/>
                </w:tcPr>
                <w:p w14:paraId="013746D9">
                  <w:pPr>
                    <w:tabs>
                      <w:tab w:val="left" w:pos="6840"/>
                    </w:tabs>
                    <w:spacing w:line="27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w:t>
                  </w:r>
                </w:p>
              </w:tc>
              <w:tc>
                <w:tcPr>
                  <w:tcW w:w="514" w:type="pct"/>
                  <w:tcBorders>
                    <w:tl2br w:val="nil"/>
                    <w:tr2bl w:val="nil"/>
                  </w:tcBorders>
                  <w:vAlign w:val="center"/>
                </w:tcPr>
                <w:p w14:paraId="2606A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672" w:type="pct"/>
                  <w:vMerge w:val="continue"/>
                  <w:tcBorders>
                    <w:tl2br w:val="nil"/>
                    <w:tr2bl w:val="nil"/>
                  </w:tcBorders>
                  <w:vAlign w:val="center"/>
                </w:tcPr>
                <w:p w14:paraId="3230EF5D">
                  <w:pPr>
                    <w:tabs>
                      <w:tab w:val="left" w:pos="6840"/>
                    </w:tabs>
                    <w:spacing w:line="270" w:lineRule="exact"/>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34FF72DD">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435" w:type="pct"/>
                  <w:tcBorders>
                    <w:tl2br w:val="nil"/>
                    <w:tr2bl w:val="nil"/>
                  </w:tcBorders>
                  <w:shd w:val="clear" w:color="auto" w:fill="auto"/>
                  <w:vAlign w:val="center"/>
                </w:tcPr>
                <w:p w14:paraId="5494D265">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25</w:t>
                  </w:r>
                </w:p>
              </w:tc>
              <w:tc>
                <w:tcPr>
                  <w:tcW w:w="476" w:type="pct"/>
                  <w:tcBorders>
                    <w:tl2br w:val="nil"/>
                    <w:tr2bl w:val="nil"/>
                  </w:tcBorders>
                  <w:shd w:val="clear" w:color="auto" w:fill="auto"/>
                  <w:vAlign w:val="center"/>
                </w:tcPr>
                <w:p w14:paraId="638A4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480" w:type="pct"/>
                  <w:tcBorders>
                    <w:tl2br w:val="nil"/>
                    <w:tr2bl w:val="nil"/>
                  </w:tcBorders>
                  <w:vAlign w:val="center"/>
                </w:tcPr>
                <w:p w14:paraId="053220A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551" w:type="pct"/>
                  <w:vMerge w:val="continue"/>
                  <w:tcBorders>
                    <w:tl2br w:val="nil"/>
                    <w:tr2bl w:val="nil"/>
                  </w:tcBorders>
                  <w:vAlign w:val="center"/>
                </w:tcPr>
                <w:p w14:paraId="0A12A66A">
                  <w:pPr>
                    <w:tabs>
                      <w:tab w:val="left" w:pos="6840"/>
                    </w:tabs>
                    <w:spacing w:line="270" w:lineRule="exact"/>
                    <w:jc w:val="center"/>
                    <w:rPr>
                      <w:rFonts w:hint="default" w:ascii="Times New Roman" w:hAnsi="Times New Roman" w:eastAsia="宋体" w:cs="Times New Roman"/>
                      <w:color w:val="auto"/>
                      <w:szCs w:val="21"/>
                      <w:highlight w:val="none"/>
                    </w:rPr>
                  </w:pPr>
                </w:p>
              </w:tc>
            </w:tr>
            <w:tr w14:paraId="47D3D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1E21E2FB">
                  <w:pPr>
                    <w:tabs>
                      <w:tab w:val="left" w:pos="6840"/>
                    </w:tabs>
                    <w:spacing w:line="270" w:lineRule="exact"/>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69AAEC2D">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TN</w:t>
                  </w:r>
                </w:p>
              </w:tc>
              <w:tc>
                <w:tcPr>
                  <w:tcW w:w="510" w:type="pct"/>
                  <w:tcBorders>
                    <w:tl2br w:val="nil"/>
                    <w:tr2bl w:val="nil"/>
                  </w:tcBorders>
                  <w:vAlign w:val="center"/>
                </w:tcPr>
                <w:p w14:paraId="4059E6F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w:t>
                  </w:r>
                </w:p>
              </w:tc>
              <w:tc>
                <w:tcPr>
                  <w:tcW w:w="514" w:type="pct"/>
                  <w:tcBorders>
                    <w:tl2br w:val="nil"/>
                    <w:tr2bl w:val="nil"/>
                  </w:tcBorders>
                  <w:vAlign w:val="center"/>
                </w:tcPr>
                <w:p w14:paraId="7A8C5A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378</w:t>
                  </w:r>
                </w:p>
              </w:tc>
              <w:tc>
                <w:tcPr>
                  <w:tcW w:w="672" w:type="pct"/>
                  <w:vMerge w:val="continue"/>
                  <w:tcBorders>
                    <w:tl2br w:val="nil"/>
                    <w:tr2bl w:val="nil"/>
                  </w:tcBorders>
                  <w:vAlign w:val="center"/>
                </w:tcPr>
                <w:p w14:paraId="2130C7D6">
                  <w:pPr>
                    <w:tabs>
                      <w:tab w:val="left" w:pos="6840"/>
                    </w:tabs>
                    <w:spacing w:line="270" w:lineRule="exact"/>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792BF95E">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TN</w:t>
                  </w:r>
                </w:p>
              </w:tc>
              <w:tc>
                <w:tcPr>
                  <w:tcW w:w="435" w:type="pct"/>
                  <w:tcBorders>
                    <w:tl2br w:val="nil"/>
                    <w:tr2bl w:val="nil"/>
                  </w:tcBorders>
                  <w:shd w:val="clear" w:color="auto" w:fill="auto"/>
                  <w:vAlign w:val="center"/>
                </w:tcPr>
                <w:p w14:paraId="415DA90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35</w:t>
                  </w:r>
                </w:p>
              </w:tc>
              <w:tc>
                <w:tcPr>
                  <w:tcW w:w="476" w:type="pct"/>
                  <w:tcBorders>
                    <w:tl2br w:val="nil"/>
                    <w:tr2bl w:val="nil"/>
                  </w:tcBorders>
                  <w:shd w:val="clear" w:color="auto" w:fill="auto"/>
                  <w:vAlign w:val="center"/>
                </w:tcPr>
                <w:p w14:paraId="37557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378</w:t>
                  </w:r>
                </w:p>
              </w:tc>
              <w:tc>
                <w:tcPr>
                  <w:tcW w:w="480" w:type="pct"/>
                  <w:tcBorders>
                    <w:tl2br w:val="nil"/>
                    <w:tr2bl w:val="nil"/>
                  </w:tcBorders>
                  <w:vAlign w:val="center"/>
                </w:tcPr>
                <w:p w14:paraId="7F35C55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551" w:type="pct"/>
                  <w:vMerge w:val="continue"/>
                  <w:tcBorders>
                    <w:tl2br w:val="nil"/>
                    <w:tr2bl w:val="nil"/>
                  </w:tcBorders>
                  <w:vAlign w:val="center"/>
                </w:tcPr>
                <w:p w14:paraId="7A3567E4">
                  <w:pPr>
                    <w:tabs>
                      <w:tab w:val="left" w:pos="6840"/>
                    </w:tabs>
                    <w:spacing w:line="270" w:lineRule="exact"/>
                    <w:jc w:val="center"/>
                    <w:rPr>
                      <w:rFonts w:hint="default" w:ascii="Times New Roman" w:hAnsi="Times New Roman" w:eastAsia="宋体" w:cs="Times New Roman"/>
                      <w:color w:val="auto"/>
                      <w:szCs w:val="21"/>
                      <w:highlight w:val="none"/>
                    </w:rPr>
                  </w:pPr>
                </w:p>
              </w:tc>
            </w:tr>
            <w:tr w14:paraId="77704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07CF582E">
                  <w:pPr>
                    <w:tabs>
                      <w:tab w:val="left" w:pos="6840"/>
                    </w:tabs>
                    <w:spacing w:line="270" w:lineRule="exact"/>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3A53DA2E">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TP</w:t>
                  </w:r>
                </w:p>
              </w:tc>
              <w:tc>
                <w:tcPr>
                  <w:tcW w:w="510" w:type="pct"/>
                  <w:tcBorders>
                    <w:tl2br w:val="nil"/>
                    <w:tr2bl w:val="nil"/>
                  </w:tcBorders>
                  <w:vAlign w:val="center"/>
                </w:tcPr>
                <w:p w14:paraId="0EC5EDB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.5</w:t>
                  </w:r>
                </w:p>
              </w:tc>
              <w:tc>
                <w:tcPr>
                  <w:tcW w:w="514" w:type="pct"/>
                  <w:tcBorders>
                    <w:tl2br w:val="nil"/>
                    <w:tr2bl w:val="nil"/>
                  </w:tcBorders>
                  <w:vAlign w:val="center"/>
                </w:tcPr>
                <w:p w14:paraId="01651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672" w:type="pct"/>
                  <w:vMerge w:val="continue"/>
                  <w:tcBorders>
                    <w:tl2br w:val="nil"/>
                    <w:tr2bl w:val="nil"/>
                  </w:tcBorders>
                  <w:vAlign w:val="center"/>
                </w:tcPr>
                <w:p w14:paraId="20B4F180">
                  <w:pPr>
                    <w:tabs>
                      <w:tab w:val="left" w:pos="6840"/>
                    </w:tabs>
                    <w:spacing w:line="270" w:lineRule="exact"/>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3B73FCE5">
                  <w:pPr>
                    <w:tabs>
                      <w:tab w:val="left" w:pos="6840"/>
                    </w:tabs>
                    <w:spacing w:line="27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TP</w:t>
                  </w:r>
                </w:p>
              </w:tc>
              <w:tc>
                <w:tcPr>
                  <w:tcW w:w="435" w:type="pct"/>
                  <w:tcBorders>
                    <w:tl2br w:val="nil"/>
                    <w:tr2bl w:val="nil"/>
                  </w:tcBorders>
                  <w:shd w:val="clear" w:color="auto" w:fill="auto"/>
                  <w:vAlign w:val="center"/>
                </w:tcPr>
                <w:p w14:paraId="0261537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.5</w:t>
                  </w:r>
                </w:p>
              </w:tc>
              <w:tc>
                <w:tcPr>
                  <w:tcW w:w="476" w:type="pct"/>
                  <w:tcBorders>
                    <w:tl2br w:val="nil"/>
                    <w:tr2bl w:val="nil"/>
                  </w:tcBorders>
                  <w:shd w:val="clear" w:color="auto" w:fill="auto"/>
                  <w:vAlign w:val="center"/>
                </w:tcPr>
                <w:p w14:paraId="24037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480" w:type="pct"/>
                  <w:tcBorders>
                    <w:tl2br w:val="nil"/>
                    <w:tr2bl w:val="nil"/>
                  </w:tcBorders>
                  <w:vAlign w:val="center"/>
                </w:tcPr>
                <w:p w14:paraId="244C55C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551" w:type="pct"/>
                  <w:vMerge w:val="continue"/>
                  <w:tcBorders>
                    <w:tl2br w:val="nil"/>
                    <w:tr2bl w:val="nil"/>
                  </w:tcBorders>
                  <w:vAlign w:val="center"/>
                </w:tcPr>
                <w:p w14:paraId="2A7B6A52">
                  <w:pPr>
                    <w:tabs>
                      <w:tab w:val="left" w:pos="6840"/>
                    </w:tabs>
                    <w:spacing w:line="270" w:lineRule="exact"/>
                    <w:jc w:val="center"/>
                    <w:rPr>
                      <w:rFonts w:hint="default" w:ascii="Times New Roman" w:hAnsi="Times New Roman" w:eastAsia="宋体" w:cs="Times New Roman"/>
                      <w:color w:val="auto"/>
                      <w:szCs w:val="21"/>
                      <w:highlight w:val="none"/>
                    </w:rPr>
                  </w:pPr>
                </w:p>
              </w:tc>
            </w:tr>
            <w:tr w14:paraId="01F60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restart"/>
                  <w:tcBorders>
                    <w:tl2br w:val="nil"/>
                    <w:tr2bl w:val="nil"/>
                  </w:tcBorders>
                  <w:vAlign w:val="center"/>
                </w:tcPr>
                <w:p w14:paraId="0CFC9F4C">
                  <w:pPr>
                    <w:tabs>
                      <w:tab w:val="left" w:pos="6840"/>
                    </w:tabs>
                    <w:spacing w:line="27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生产废水131</w:t>
                  </w:r>
                  <w:r>
                    <w:rPr>
                      <w:rFonts w:hint="default" w:ascii="Times New Roman" w:hAnsi="Times New Roman" w:eastAsia="宋体" w:cs="Times New Roman"/>
                      <w:color w:val="auto"/>
                      <w:sz w:val="21"/>
                      <w:szCs w:val="21"/>
                      <w:highlight w:val="none"/>
                    </w:rPr>
                    <w:t>t/a</w:t>
                  </w:r>
                </w:p>
              </w:tc>
              <w:tc>
                <w:tcPr>
                  <w:tcW w:w="510" w:type="pct"/>
                  <w:tcBorders>
                    <w:tl2br w:val="nil"/>
                    <w:tr2bl w:val="nil"/>
                  </w:tcBorders>
                  <w:shd w:val="clear" w:color="auto" w:fill="auto"/>
                  <w:vAlign w:val="center"/>
                </w:tcPr>
                <w:p w14:paraId="4B2CB8F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pH</w:t>
                  </w:r>
                </w:p>
              </w:tc>
              <w:tc>
                <w:tcPr>
                  <w:tcW w:w="510" w:type="pct"/>
                  <w:tcBorders>
                    <w:tl2br w:val="nil"/>
                    <w:tr2bl w:val="nil"/>
                  </w:tcBorders>
                  <w:shd w:val="clear" w:color="auto" w:fill="auto"/>
                  <w:vAlign w:val="center"/>
                </w:tcPr>
                <w:p w14:paraId="564E2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5~6.5（无量纲）</w:t>
                  </w:r>
                </w:p>
              </w:tc>
              <w:tc>
                <w:tcPr>
                  <w:tcW w:w="514" w:type="pct"/>
                  <w:tcBorders>
                    <w:tl2br w:val="nil"/>
                    <w:tr2bl w:val="nil"/>
                  </w:tcBorders>
                  <w:shd w:val="clear" w:color="auto" w:fill="auto"/>
                  <w:vAlign w:val="center"/>
                </w:tcPr>
                <w:p w14:paraId="14F930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672" w:type="pct"/>
                  <w:vMerge w:val="restart"/>
                  <w:tcBorders>
                    <w:tl2br w:val="nil"/>
                    <w:tr2bl w:val="nil"/>
                  </w:tcBorders>
                  <w:vAlign w:val="center"/>
                </w:tcPr>
                <w:p w14:paraId="726372F0">
                  <w:pPr>
                    <w:tabs>
                      <w:tab w:val="left" w:pos="6840"/>
                    </w:tabs>
                    <w:spacing w:line="27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污水处理站</w:t>
                  </w:r>
                </w:p>
              </w:tc>
              <w:tc>
                <w:tcPr>
                  <w:tcW w:w="435" w:type="pct"/>
                  <w:tcBorders>
                    <w:tl2br w:val="nil"/>
                    <w:tr2bl w:val="nil"/>
                  </w:tcBorders>
                  <w:shd w:val="clear" w:color="auto" w:fill="auto"/>
                  <w:vAlign w:val="center"/>
                </w:tcPr>
                <w:p w14:paraId="46C9650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pH</w:t>
                  </w:r>
                </w:p>
              </w:tc>
              <w:tc>
                <w:tcPr>
                  <w:tcW w:w="435" w:type="pct"/>
                  <w:tcBorders>
                    <w:tl2br w:val="nil"/>
                    <w:tr2bl w:val="nil"/>
                  </w:tcBorders>
                  <w:shd w:val="clear" w:color="auto" w:fill="auto"/>
                  <w:vAlign w:val="center"/>
                </w:tcPr>
                <w:p w14:paraId="48DC37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5~6.5（无量纲）</w:t>
                  </w:r>
                </w:p>
              </w:tc>
              <w:tc>
                <w:tcPr>
                  <w:tcW w:w="476" w:type="pct"/>
                  <w:tcBorders>
                    <w:tl2br w:val="nil"/>
                    <w:tr2bl w:val="nil"/>
                  </w:tcBorders>
                  <w:shd w:val="clear" w:color="auto" w:fill="auto"/>
                  <w:vAlign w:val="center"/>
                </w:tcPr>
                <w:p w14:paraId="59110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480" w:type="pct"/>
                  <w:tcBorders>
                    <w:tl2br w:val="nil"/>
                    <w:tr2bl w:val="nil"/>
                  </w:tcBorders>
                  <w:vAlign w:val="center"/>
                </w:tcPr>
                <w:p w14:paraId="2CD61B62">
                  <w:pPr>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6.5~9</w:t>
                  </w:r>
                </w:p>
              </w:tc>
              <w:tc>
                <w:tcPr>
                  <w:tcW w:w="551" w:type="pct"/>
                  <w:vMerge w:val="restart"/>
                  <w:tcBorders>
                    <w:tl2br w:val="nil"/>
                    <w:tr2bl w:val="nil"/>
                  </w:tcBorders>
                  <w:vAlign w:val="center"/>
                </w:tcPr>
                <w:p w14:paraId="74B36B20">
                  <w:pPr>
                    <w:tabs>
                      <w:tab w:val="left" w:pos="6840"/>
                    </w:tabs>
                    <w:spacing w:line="27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回用于前处理工段</w:t>
                  </w:r>
                </w:p>
              </w:tc>
            </w:tr>
            <w:tr w14:paraId="2520D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5B894C6B">
                  <w:pPr>
                    <w:tabs>
                      <w:tab w:val="left" w:pos="6840"/>
                    </w:tabs>
                    <w:spacing w:line="270" w:lineRule="exact"/>
                    <w:jc w:val="center"/>
                    <w:rPr>
                      <w:rFonts w:hint="eastAsia" w:ascii="Times New Roman" w:hAnsi="Times New Roman" w:eastAsia="宋体" w:cs="Times New Roman"/>
                      <w:color w:val="auto"/>
                      <w:szCs w:val="21"/>
                      <w:highlight w:val="none"/>
                      <w:lang w:val="en-US" w:eastAsia="zh-CN"/>
                    </w:rPr>
                  </w:pPr>
                </w:p>
              </w:tc>
              <w:tc>
                <w:tcPr>
                  <w:tcW w:w="510" w:type="pct"/>
                  <w:tcBorders>
                    <w:tl2br w:val="nil"/>
                    <w:tr2bl w:val="nil"/>
                  </w:tcBorders>
                  <w:shd w:val="clear" w:color="auto" w:fill="auto"/>
                  <w:vAlign w:val="center"/>
                </w:tcPr>
                <w:p w14:paraId="7D0515A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COD</w:t>
                  </w:r>
                </w:p>
              </w:tc>
              <w:tc>
                <w:tcPr>
                  <w:tcW w:w="510" w:type="pct"/>
                  <w:tcBorders>
                    <w:tl2br w:val="nil"/>
                    <w:tr2bl w:val="nil"/>
                  </w:tcBorders>
                  <w:shd w:val="clear" w:color="auto" w:fill="auto"/>
                  <w:vAlign w:val="center"/>
                </w:tcPr>
                <w:p w14:paraId="7A7F3A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2821</w:t>
                  </w:r>
                </w:p>
              </w:tc>
              <w:tc>
                <w:tcPr>
                  <w:tcW w:w="514" w:type="pct"/>
                  <w:tcBorders>
                    <w:tl2br w:val="nil"/>
                    <w:tr2bl w:val="nil"/>
                  </w:tcBorders>
                  <w:shd w:val="clear" w:color="auto" w:fill="auto"/>
                  <w:vAlign w:val="center"/>
                </w:tcPr>
                <w:p w14:paraId="0E6206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2.237</w:t>
                  </w:r>
                </w:p>
              </w:tc>
              <w:tc>
                <w:tcPr>
                  <w:tcW w:w="672" w:type="pct"/>
                  <w:vMerge w:val="continue"/>
                  <w:tcBorders>
                    <w:tl2br w:val="nil"/>
                    <w:tr2bl w:val="nil"/>
                  </w:tcBorders>
                  <w:vAlign w:val="center"/>
                </w:tcPr>
                <w:p w14:paraId="27FB81C8">
                  <w:pPr>
                    <w:tabs>
                      <w:tab w:val="left" w:pos="6840"/>
                    </w:tabs>
                    <w:spacing w:line="270" w:lineRule="exact"/>
                    <w:jc w:val="center"/>
                    <w:rPr>
                      <w:rFonts w:hint="eastAsia" w:ascii="Times New Roman" w:hAnsi="Times New Roman" w:eastAsia="宋体" w:cs="Times New Roman"/>
                      <w:color w:val="auto"/>
                      <w:szCs w:val="21"/>
                      <w:highlight w:val="none"/>
                      <w:lang w:val="en-US" w:eastAsia="zh-CN"/>
                    </w:rPr>
                  </w:pPr>
                </w:p>
              </w:tc>
              <w:tc>
                <w:tcPr>
                  <w:tcW w:w="435" w:type="pct"/>
                  <w:tcBorders>
                    <w:tl2br w:val="nil"/>
                    <w:tr2bl w:val="nil"/>
                  </w:tcBorders>
                  <w:shd w:val="clear" w:color="auto" w:fill="auto"/>
                  <w:vAlign w:val="center"/>
                </w:tcPr>
                <w:p w14:paraId="243478C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COD</w:t>
                  </w:r>
                </w:p>
              </w:tc>
              <w:tc>
                <w:tcPr>
                  <w:tcW w:w="435" w:type="pct"/>
                  <w:tcBorders>
                    <w:tl2br w:val="nil"/>
                    <w:tr2bl w:val="nil"/>
                  </w:tcBorders>
                  <w:shd w:val="clear" w:color="auto" w:fill="auto"/>
                  <w:vAlign w:val="center"/>
                </w:tcPr>
                <w:p w14:paraId="50106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194</w:t>
                  </w:r>
                </w:p>
              </w:tc>
              <w:tc>
                <w:tcPr>
                  <w:tcW w:w="476" w:type="pct"/>
                  <w:tcBorders>
                    <w:tl2br w:val="nil"/>
                    <w:tr2bl w:val="nil"/>
                  </w:tcBorders>
                  <w:shd w:val="clear" w:color="auto" w:fill="auto"/>
                  <w:vAlign w:val="center"/>
                </w:tcPr>
                <w:p w14:paraId="29A18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0.154</w:t>
                  </w:r>
                </w:p>
              </w:tc>
              <w:tc>
                <w:tcPr>
                  <w:tcW w:w="480" w:type="pct"/>
                  <w:tcBorders>
                    <w:tl2br w:val="nil"/>
                    <w:tr2bl w:val="nil"/>
                  </w:tcBorders>
                  <w:vAlign w:val="center"/>
                </w:tcPr>
                <w:p w14:paraId="41A680E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w:t>
                  </w:r>
                </w:p>
              </w:tc>
              <w:tc>
                <w:tcPr>
                  <w:tcW w:w="551" w:type="pct"/>
                  <w:vMerge w:val="continue"/>
                  <w:tcBorders>
                    <w:tl2br w:val="nil"/>
                    <w:tr2bl w:val="nil"/>
                  </w:tcBorders>
                  <w:vAlign w:val="center"/>
                </w:tcPr>
                <w:p w14:paraId="7ECD25D1">
                  <w:pPr>
                    <w:tabs>
                      <w:tab w:val="left" w:pos="6840"/>
                    </w:tabs>
                    <w:spacing w:line="270" w:lineRule="exact"/>
                    <w:jc w:val="center"/>
                    <w:rPr>
                      <w:rFonts w:hint="default" w:ascii="Times New Roman" w:hAnsi="Times New Roman" w:eastAsia="宋体" w:cs="Times New Roman"/>
                      <w:color w:val="auto"/>
                      <w:szCs w:val="21"/>
                      <w:highlight w:val="none"/>
                    </w:rPr>
                  </w:pPr>
                </w:p>
              </w:tc>
            </w:tr>
            <w:tr w14:paraId="00DD7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5560D9B1">
                  <w:pPr>
                    <w:adjustRightInd w:val="0"/>
                    <w:snapToGrid w:val="0"/>
                    <w:jc w:val="center"/>
                    <w:rPr>
                      <w:color w:val="auto"/>
                      <w:highlight w:val="none"/>
                    </w:rPr>
                  </w:pPr>
                </w:p>
              </w:tc>
              <w:tc>
                <w:tcPr>
                  <w:tcW w:w="510" w:type="pct"/>
                  <w:tcBorders>
                    <w:tl2br w:val="nil"/>
                    <w:tr2bl w:val="nil"/>
                  </w:tcBorders>
                  <w:shd w:val="clear" w:color="auto" w:fill="auto"/>
                  <w:vAlign w:val="center"/>
                </w:tcPr>
                <w:p w14:paraId="0D7312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SS</w:t>
                  </w:r>
                </w:p>
              </w:tc>
              <w:tc>
                <w:tcPr>
                  <w:tcW w:w="510" w:type="pct"/>
                  <w:tcBorders>
                    <w:tl2br w:val="nil"/>
                    <w:tr2bl w:val="nil"/>
                  </w:tcBorders>
                  <w:shd w:val="clear" w:color="auto" w:fill="auto"/>
                  <w:vAlign w:val="center"/>
                </w:tcPr>
                <w:p w14:paraId="363EF7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530</w:t>
                  </w:r>
                </w:p>
              </w:tc>
              <w:tc>
                <w:tcPr>
                  <w:tcW w:w="514" w:type="pct"/>
                  <w:tcBorders>
                    <w:tl2br w:val="nil"/>
                    <w:tr2bl w:val="nil"/>
                  </w:tcBorders>
                  <w:shd w:val="clear" w:color="auto" w:fill="auto"/>
                  <w:vAlign w:val="center"/>
                </w:tcPr>
                <w:p w14:paraId="4664BD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0.42</w:t>
                  </w:r>
                </w:p>
              </w:tc>
              <w:tc>
                <w:tcPr>
                  <w:tcW w:w="672" w:type="pct"/>
                  <w:vMerge w:val="continue"/>
                  <w:tcBorders>
                    <w:tl2br w:val="nil"/>
                    <w:tr2bl w:val="nil"/>
                  </w:tcBorders>
                  <w:vAlign w:val="center"/>
                </w:tcPr>
                <w:p w14:paraId="4003151B">
                  <w:pPr>
                    <w:adjustRightInd w:val="0"/>
                    <w:snapToGrid w:val="0"/>
                    <w:jc w:val="center"/>
                    <w:rPr>
                      <w:rFonts w:hint="default" w:ascii="Times New Roman" w:hAnsi="Times New Roman" w:eastAsia="宋体" w:cs="Times New Roman"/>
                      <w:color w:val="auto"/>
                      <w:szCs w:val="21"/>
                      <w:highlight w:val="none"/>
                    </w:rPr>
                  </w:pPr>
                </w:p>
              </w:tc>
              <w:tc>
                <w:tcPr>
                  <w:tcW w:w="435" w:type="pct"/>
                  <w:tcBorders>
                    <w:tl2br w:val="nil"/>
                    <w:tr2bl w:val="nil"/>
                  </w:tcBorders>
                  <w:shd w:val="clear" w:color="auto" w:fill="auto"/>
                  <w:vAlign w:val="center"/>
                </w:tcPr>
                <w:p w14:paraId="4947E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SS</w:t>
                  </w:r>
                </w:p>
              </w:tc>
              <w:tc>
                <w:tcPr>
                  <w:tcW w:w="435" w:type="pct"/>
                  <w:tcBorders>
                    <w:tl2br w:val="nil"/>
                    <w:tr2bl w:val="nil"/>
                  </w:tcBorders>
                  <w:shd w:val="clear" w:color="auto" w:fill="auto"/>
                  <w:vAlign w:val="center"/>
                </w:tcPr>
                <w:p w14:paraId="5063D49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23.8</w:t>
                  </w:r>
                </w:p>
              </w:tc>
              <w:tc>
                <w:tcPr>
                  <w:tcW w:w="476" w:type="pct"/>
                  <w:tcBorders>
                    <w:tl2br w:val="nil"/>
                    <w:tr2bl w:val="nil"/>
                  </w:tcBorders>
                  <w:shd w:val="clear" w:color="auto" w:fill="auto"/>
                  <w:vAlign w:val="center"/>
                </w:tcPr>
                <w:p w14:paraId="548DC0F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0.019</w:t>
                  </w:r>
                </w:p>
              </w:tc>
              <w:tc>
                <w:tcPr>
                  <w:tcW w:w="480" w:type="pct"/>
                  <w:tcBorders>
                    <w:tl2br w:val="nil"/>
                    <w:tr2bl w:val="nil"/>
                  </w:tcBorders>
                  <w:vAlign w:val="center"/>
                </w:tcPr>
                <w:p w14:paraId="62D63FDE">
                  <w:pPr>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30</w:t>
                  </w:r>
                </w:p>
              </w:tc>
              <w:tc>
                <w:tcPr>
                  <w:tcW w:w="551" w:type="pct"/>
                  <w:vMerge w:val="continue"/>
                  <w:tcBorders>
                    <w:tl2br w:val="nil"/>
                    <w:tr2bl w:val="nil"/>
                  </w:tcBorders>
                  <w:vAlign w:val="center"/>
                </w:tcPr>
                <w:p w14:paraId="22899702">
                  <w:pPr>
                    <w:adjustRightInd w:val="0"/>
                    <w:snapToGrid w:val="0"/>
                    <w:jc w:val="center"/>
                    <w:rPr>
                      <w:rFonts w:hint="default" w:ascii="Times New Roman" w:hAnsi="Times New Roman" w:eastAsia="宋体" w:cs="Times New Roman"/>
                      <w:color w:val="auto"/>
                      <w:szCs w:val="21"/>
                      <w:highlight w:val="none"/>
                    </w:rPr>
                  </w:pPr>
                </w:p>
              </w:tc>
            </w:tr>
            <w:tr w14:paraId="11F12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5090B465">
                  <w:pPr>
                    <w:adjustRightInd w:val="0"/>
                    <w:snapToGrid w:val="0"/>
                    <w:jc w:val="center"/>
                    <w:rPr>
                      <w:rFonts w:hint="default" w:ascii="Times New Roman" w:hAnsi="Times New Roman" w:eastAsia="宋体" w:cs="Times New Roman"/>
                      <w:color w:val="auto"/>
                      <w:szCs w:val="21"/>
                      <w:highlight w:val="none"/>
                    </w:rPr>
                  </w:pPr>
                </w:p>
              </w:tc>
              <w:tc>
                <w:tcPr>
                  <w:tcW w:w="510" w:type="pct"/>
                  <w:tcBorders>
                    <w:tl2br w:val="nil"/>
                    <w:tr2bl w:val="nil"/>
                  </w:tcBorders>
                  <w:shd w:val="clear" w:color="auto" w:fill="auto"/>
                  <w:vAlign w:val="center"/>
                </w:tcPr>
                <w:p w14:paraId="3C5D7B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石油类</w:t>
                  </w:r>
                </w:p>
              </w:tc>
              <w:tc>
                <w:tcPr>
                  <w:tcW w:w="510" w:type="pct"/>
                  <w:tcBorders>
                    <w:tl2br w:val="nil"/>
                    <w:tr2bl w:val="nil"/>
                  </w:tcBorders>
                  <w:shd w:val="clear" w:color="auto" w:fill="auto"/>
                  <w:vAlign w:val="center"/>
                </w:tcPr>
                <w:p w14:paraId="6D079E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155</w:t>
                  </w:r>
                </w:p>
              </w:tc>
              <w:tc>
                <w:tcPr>
                  <w:tcW w:w="514" w:type="pct"/>
                  <w:tcBorders>
                    <w:tl2br w:val="nil"/>
                    <w:tr2bl w:val="nil"/>
                  </w:tcBorders>
                  <w:shd w:val="clear" w:color="auto" w:fill="auto"/>
                  <w:vAlign w:val="center"/>
                </w:tcPr>
                <w:p w14:paraId="22E490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0.123</w:t>
                  </w:r>
                </w:p>
              </w:tc>
              <w:tc>
                <w:tcPr>
                  <w:tcW w:w="672" w:type="pct"/>
                  <w:vMerge w:val="continue"/>
                  <w:tcBorders>
                    <w:tl2br w:val="nil"/>
                    <w:tr2bl w:val="nil"/>
                  </w:tcBorders>
                  <w:vAlign w:val="center"/>
                </w:tcPr>
                <w:p w14:paraId="7F81B19D">
                  <w:pPr>
                    <w:adjustRightInd w:val="0"/>
                    <w:snapToGrid w:val="0"/>
                    <w:jc w:val="center"/>
                    <w:rPr>
                      <w:rFonts w:hint="default" w:ascii="Times New Roman" w:hAnsi="Times New Roman" w:eastAsia="宋体" w:cs="Times New Roman"/>
                      <w:color w:val="auto"/>
                      <w:szCs w:val="21"/>
                      <w:highlight w:val="none"/>
                    </w:rPr>
                  </w:pPr>
                </w:p>
              </w:tc>
              <w:tc>
                <w:tcPr>
                  <w:tcW w:w="435" w:type="pct"/>
                  <w:tcBorders>
                    <w:tl2br w:val="nil"/>
                    <w:tr2bl w:val="nil"/>
                  </w:tcBorders>
                  <w:shd w:val="clear" w:color="auto" w:fill="auto"/>
                  <w:vAlign w:val="center"/>
                </w:tcPr>
                <w:p w14:paraId="2A4B96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石油类</w:t>
                  </w:r>
                </w:p>
              </w:tc>
              <w:tc>
                <w:tcPr>
                  <w:tcW w:w="435" w:type="pct"/>
                  <w:tcBorders>
                    <w:tl2br w:val="nil"/>
                    <w:tr2bl w:val="nil"/>
                  </w:tcBorders>
                  <w:shd w:val="clear" w:color="auto" w:fill="auto"/>
                  <w:vAlign w:val="center"/>
                </w:tcPr>
                <w:p w14:paraId="327074E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476" w:type="pct"/>
                  <w:tcBorders>
                    <w:tl2br w:val="nil"/>
                    <w:tr2bl w:val="nil"/>
                  </w:tcBorders>
                  <w:shd w:val="clear" w:color="auto" w:fill="auto"/>
                  <w:vAlign w:val="center"/>
                </w:tcPr>
                <w:p w14:paraId="44DE6DC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w:t>
                  </w:r>
                </w:p>
              </w:tc>
              <w:tc>
                <w:tcPr>
                  <w:tcW w:w="480" w:type="pct"/>
                  <w:tcBorders>
                    <w:tl2br w:val="nil"/>
                    <w:tr2bl w:val="nil"/>
                  </w:tcBorders>
                  <w:vAlign w:val="center"/>
                </w:tcPr>
                <w:p w14:paraId="59A00526">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551" w:type="pct"/>
                  <w:vMerge w:val="continue"/>
                  <w:tcBorders>
                    <w:tl2br w:val="nil"/>
                    <w:tr2bl w:val="nil"/>
                  </w:tcBorders>
                  <w:vAlign w:val="center"/>
                </w:tcPr>
                <w:p w14:paraId="6728B897">
                  <w:pPr>
                    <w:adjustRightInd w:val="0"/>
                    <w:snapToGrid w:val="0"/>
                    <w:jc w:val="center"/>
                    <w:rPr>
                      <w:rFonts w:hint="default" w:ascii="Times New Roman" w:hAnsi="Times New Roman" w:eastAsia="宋体" w:cs="Times New Roman"/>
                      <w:color w:val="auto"/>
                      <w:szCs w:val="21"/>
                      <w:highlight w:val="none"/>
                    </w:rPr>
                  </w:pPr>
                </w:p>
              </w:tc>
            </w:tr>
            <w:tr w14:paraId="1C74A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3059092A">
                  <w:pPr>
                    <w:adjustRightInd w:val="0"/>
                    <w:snapToGrid w:val="0"/>
                    <w:jc w:val="center"/>
                    <w:rPr>
                      <w:rFonts w:hint="default" w:ascii="Times New Roman" w:hAnsi="Times New Roman" w:eastAsia="宋体" w:cs="Times New Roman"/>
                      <w:color w:val="auto"/>
                      <w:szCs w:val="21"/>
                      <w:highlight w:val="none"/>
                    </w:rPr>
                  </w:pPr>
                </w:p>
              </w:tc>
              <w:tc>
                <w:tcPr>
                  <w:tcW w:w="510" w:type="pct"/>
                  <w:tcBorders>
                    <w:tl2br w:val="nil"/>
                    <w:tr2bl w:val="nil"/>
                  </w:tcBorders>
                  <w:shd w:val="clear" w:color="auto" w:fill="auto"/>
                  <w:vAlign w:val="center"/>
                </w:tcPr>
                <w:p w14:paraId="3ECC00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氟化物</w:t>
                  </w:r>
                </w:p>
              </w:tc>
              <w:tc>
                <w:tcPr>
                  <w:tcW w:w="510" w:type="pct"/>
                  <w:tcBorders>
                    <w:tl2br w:val="nil"/>
                    <w:tr2bl w:val="nil"/>
                  </w:tcBorders>
                  <w:shd w:val="clear" w:color="auto" w:fill="auto"/>
                  <w:vAlign w:val="center"/>
                </w:tcPr>
                <w:p w14:paraId="7D11B2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870</w:t>
                  </w:r>
                </w:p>
              </w:tc>
              <w:tc>
                <w:tcPr>
                  <w:tcW w:w="514" w:type="pct"/>
                  <w:tcBorders>
                    <w:tl2br w:val="nil"/>
                    <w:tr2bl w:val="nil"/>
                  </w:tcBorders>
                  <w:shd w:val="clear" w:color="auto" w:fill="auto"/>
                  <w:vAlign w:val="center"/>
                </w:tcPr>
                <w:p w14:paraId="396F52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0.69</w:t>
                  </w:r>
                </w:p>
              </w:tc>
              <w:tc>
                <w:tcPr>
                  <w:tcW w:w="672" w:type="pct"/>
                  <w:vMerge w:val="continue"/>
                  <w:tcBorders>
                    <w:tl2br w:val="nil"/>
                    <w:tr2bl w:val="nil"/>
                  </w:tcBorders>
                  <w:vAlign w:val="center"/>
                </w:tcPr>
                <w:p w14:paraId="312C2582">
                  <w:pPr>
                    <w:adjustRightInd w:val="0"/>
                    <w:snapToGrid w:val="0"/>
                    <w:jc w:val="center"/>
                    <w:rPr>
                      <w:rFonts w:hint="default" w:ascii="Times New Roman" w:hAnsi="Times New Roman" w:eastAsia="宋体" w:cs="Times New Roman"/>
                      <w:color w:val="auto"/>
                      <w:szCs w:val="21"/>
                      <w:highlight w:val="none"/>
                    </w:rPr>
                  </w:pPr>
                </w:p>
              </w:tc>
              <w:tc>
                <w:tcPr>
                  <w:tcW w:w="435" w:type="pct"/>
                  <w:tcBorders>
                    <w:tl2br w:val="nil"/>
                    <w:tr2bl w:val="nil"/>
                  </w:tcBorders>
                  <w:shd w:val="clear" w:color="auto" w:fill="auto"/>
                  <w:vAlign w:val="center"/>
                </w:tcPr>
                <w:p w14:paraId="4F8529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氟化物</w:t>
                  </w:r>
                </w:p>
              </w:tc>
              <w:tc>
                <w:tcPr>
                  <w:tcW w:w="435" w:type="pct"/>
                  <w:tcBorders>
                    <w:tl2br w:val="nil"/>
                    <w:tr2bl w:val="nil"/>
                  </w:tcBorders>
                  <w:shd w:val="clear" w:color="auto" w:fill="auto"/>
                  <w:vAlign w:val="center"/>
                </w:tcPr>
                <w:p w14:paraId="0B19BDD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476" w:type="pct"/>
                  <w:tcBorders>
                    <w:tl2br w:val="nil"/>
                    <w:tr2bl w:val="nil"/>
                  </w:tcBorders>
                  <w:shd w:val="clear" w:color="auto" w:fill="auto"/>
                  <w:vAlign w:val="center"/>
                </w:tcPr>
                <w:p w14:paraId="1469BB9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480" w:type="pct"/>
                  <w:tcBorders>
                    <w:tl2br w:val="nil"/>
                    <w:tr2bl w:val="nil"/>
                  </w:tcBorders>
                  <w:vAlign w:val="center"/>
                </w:tcPr>
                <w:p w14:paraId="19DDE256">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551" w:type="pct"/>
                  <w:vMerge w:val="continue"/>
                  <w:tcBorders>
                    <w:tl2br w:val="nil"/>
                    <w:tr2bl w:val="nil"/>
                  </w:tcBorders>
                  <w:vAlign w:val="center"/>
                </w:tcPr>
                <w:p w14:paraId="6BBAE24D">
                  <w:pPr>
                    <w:adjustRightInd w:val="0"/>
                    <w:snapToGrid w:val="0"/>
                    <w:jc w:val="center"/>
                    <w:rPr>
                      <w:rFonts w:hint="default" w:ascii="Times New Roman" w:hAnsi="Times New Roman" w:eastAsia="宋体" w:cs="Times New Roman"/>
                      <w:color w:val="auto"/>
                      <w:szCs w:val="21"/>
                      <w:highlight w:val="none"/>
                    </w:rPr>
                  </w:pPr>
                </w:p>
              </w:tc>
            </w:tr>
          </w:tbl>
          <w:p w14:paraId="3FADA431">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6AC535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kern w:val="2"/>
                <w:sz w:val="24"/>
                <w:szCs w:val="24"/>
                <w:highlight w:val="none"/>
                <w:lang w:val="en-US" w:eastAsia="zh-CN" w:bidi="ar-SA"/>
              </w:rPr>
              <w:t>项目生活污水</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金坛第二污水处理厂，排放口信息如下。</w:t>
            </w:r>
          </w:p>
          <w:p w14:paraId="1BCE7973">
            <w:pPr>
              <w:pStyle w:val="74"/>
              <w:spacing w:line="50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eastAsia="宋体" w:cs="Times New Roman"/>
                <w:b/>
                <w:bCs/>
                <w:color w:val="auto"/>
                <w:kern w:val="0"/>
                <w:sz w:val="24"/>
                <w:szCs w:val="24"/>
                <w:highlight w:val="none"/>
                <w:lang w:val="en-US" w:eastAsia="zh-CN" w:bidi="ar-SA"/>
              </w:rPr>
              <w:t>17</w:t>
            </w:r>
            <w:r>
              <w:rPr>
                <w:rFonts w:hint="default" w:ascii="Times New Roman" w:hAnsi="Times New Roman" w:eastAsia="宋体" w:cs="Times New Roman"/>
                <w:b/>
                <w:bCs/>
                <w:color w:val="auto"/>
                <w:kern w:val="0"/>
                <w:sz w:val="24"/>
                <w:szCs w:val="24"/>
                <w:highlight w:val="none"/>
                <w:lang w:val="en-US" w:eastAsia="zh-CN" w:bidi="ar-SA"/>
              </w:rPr>
              <w:t xml:space="preserve">  本项目废水间接排放口基本情况表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2"/>
              <w:gridCol w:w="762"/>
              <w:gridCol w:w="692"/>
              <w:gridCol w:w="693"/>
              <w:gridCol w:w="793"/>
              <w:gridCol w:w="630"/>
              <w:gridCol w:w="1130"/>
              <w:gridCol w:w="603"/>
              <w:gridCol w:w="715"/>
              <w:gridCol w:w="644"/>
              <w:gridCol w:w="1279"/>
            </w:tblGrid>
            <w:tr w14:paraId="19187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restart"/>
                  <w:tcBorders>
                    <w:tl2br w:val="nil"/>
                    <w:tr2bl w:val="nil"/>
                  </w:tcBorders>
                  <w:noWrap w:val="0"/>
                  <w:vAlign w:val="center"/>
                </w:tcPr>
                <w:p w14:paraId="128A2031">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序号</w:t>
                  </w:r>
                </w:p>
              </w:tc>
              <w:tc>
                <w:tcPr>
                  <w:tcW w:w="765" w:type="dxa"/>
                  <w:vMerge w:val="restart"/>
                  <w:tcBorders>
                    <w:tl2br w:val="nil"/>
                    <w:tr2bl w:val="nil"/>
                  </w:tcBorders>
                  <w:noWrap w:val="0"/>
                  <w:vAlign w:val="center"/>
                </w:tcPr>
                <w:p w14:paraId="5BFAE130">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排放口编号</w:t>
                  </w:r>
                </w:p>
              </w:tc>
              <w:tc>
                <w:tcPr>
                  <w:tcW w:w="1391" w:type="dxa"/>
                  <w:gridSpan w:val="2"/>
                  <w:tcBorders>
                    <w:tl2br w:val="nil"/>
                    <w:tr2bl w:val="nil"/>
                  </w:tcBorders>
                  <w:noWrap w:val="0"/>
                  <w:vAlign w:val="center"/>
                </w:tcPr>
                <w:p w14:paraId="67A9A50F">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地理坐标</w:t>
                  </w:r>
                </w:p>
              </w:tc>
              <w:tc>
                <w:tcPr>
                  <w:tcW w:w="796" w:type="dxa"/>
                  <w:vMerge w:val="restart"/>
                  <w:tcBorders>
                    <w:tl2br w:val="nil"/>
                    <w:tr2bl w:val="nil"/>
                  </w:tcBorders>
                  <w:noWrap w:val="0"/>
                  <w:vAlign w:val="center"/>
                </w:tcPr>
                <w:p w14:paraId="7484396F">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废水排放量（万m</w:t>
                  </w:r>
                  <w:r>
                    <w:rPr>
                      <w:rFonts w:hint="default" w:ascii="Times New Roman" w:hAnsi="Times New Roman" w:eastAsia="宋体" w:cs="Times New Roman"/>
                      <w:b/>
                      <w:color w:val="auto"/>
                      <w:highlight w:val="none"/>
                      <w:vertAlign w:val="superscript"/>
                    </w:rPr>
                    <w:t>3</w:t>
                  </w:r>
                  <w:r>
                    <w:rPr>
                      <w:rFonts w:hint="default" w:ascii="Times New Roman" w:hAnsi="Times New Roman" w:eastAsia="宋体" w:cs="Times New Roman"/>
                      <w:b/>
                      <w:color w:val="auto"/>
                      <w:highlight w:val="none"/>
                    </w:rPr>
                    <w:t>/a）</w:t>
                  </w:r>
                </w:p>
              </w:tc>
              <w:tc>
                <w:tcPr>
                  <w:tcW w:w="633" w:type="dxa"/>
                  <w:vMerge w:val="restart"/>
                  <w:tcBorders>
                    <w:tl2br w:val="nil"/>
                    <w:tr2bl w:val="nil"/>
                  </w:tcBorders>
                  <w:noWrap w:val="0"/>
                  <w:vAlign w:val="center"/>
                </w:tcPr>
                <w:p w14:paraId="6AC1D684">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排放去向</w:t>
                  </w:r>
                </w:p>
              </w:tc>
              <w:tc>
                <w:tcPr>
                  <w:tcW w:w="1135" w:type="dxa"/>
                  <w:vMerge w:val="restart"/>
                  <w:tcBorders>
                    <w:tl2br w:val="nil"/>
                    <w:tr2bl w:val="nil"/>
                  </w:tcBorders>
                  <w:noWrap w:val="0"/>
                  <w:vAlign w:val="center"/>
                </w:tcPr>
                <w:p w14:paraId="41C1E85A">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排放规律</w:t>
                  </w:r>
                </w:p>
              </w:tc>
              <w:tc>
                <w:tcPr>
                  <w:tcW w:w="606" w:type="dxa"/>
                  <w:vMerge w:val="restart"/>
                  <w:tcBorders>
                    <w:tl2br w:val="nil"/>
                    <w:tr2bl w:val="nil"/>
                  </w:tcBorders>
                  <w:noWrap w:val="0"/>
                  <w:vAlign w:val="center"/>
                </w:tcPr>
                <w:p w14:paraId="04B94818">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间歇排放时段</w:t>
                  </w:r>
                </w:p>
              </w:tc>
              <w:tc>
                <w:tcPr>
                  <w:tcW w:w="2650" w:type="dxa"/>
                  <w:gridSpan w:val="3"/>
                  <w:tcBorders>
                    <w:tl2br w:val="nil"/>
                    <w:tr2bl w:val="nil"/>
                  </w:tcBorders>
                  <w:noWrap w:val="0"/>
                  <w:vAlign w:val="center"/>
                </w:tcPr>
                <w:p w14:paraId="143C56B3">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受纳污水处理厂信息</w:t>
                  </w:r>
                </w:p>
              </w:tc>
            </w:tr>
            <w:tr w14:paraId="56695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52B9BB13">
                  <w:pPr>
                    <w:pStyle w:val="75"/>
                    <w:rPr>
                      <w:rFonts w:hint="default" w:ascii="Times New Roman" w:hAnsi="Times New Roman" w:eastAsia="宋体" w:cs="Times New Roman"/>
                      <w:b/>
                      <w:color w:val="auto"/>
                      <w:highlight w:val="none"/>
                    </w:rPr>
                  </w:pPr>
                </w:p>
              </w:tc>
              <w:tc>
                <w:tcPr>
                  <w:tcW w:w="765" w:type="dxa"/>
                  <w:vMerge w:val="continue"/>
                  <w:tcBorders>
                    <w:tl2br w:val="nil"/>
                    <w:tr2bl w:val="nil"/>
                  </w:tcBorders>
                  <w:noWrap w:val="0"/>
                  <w:vAlign w:val="center"/>
                </w:tcPr>
                <w:p w14:paraId="78B6DF3E">
                  <w:pPr>
                    <w:pStyle w:val="75"/>
                    <w:rPr>
                      <w:rFonts w:hint="default" w:ascii="Times New Roman" w:hAnsi="Times New Roman" w:eastAsia="宋体" w:cs="Times New Roman"/>
                      <w:b/>
                      <w:color w:val="auto"/>
                      <w:highlight w:val="none"/>
                    </w:rPr>
                  </w:pPr>
                </w:p>
              </w:tc>
              <w:tc>
                <w:tcPr>
                  <w:tcW w:w="695" w:type="dxa"/>
                  <w:tcBorders>
                    <w:tl2br w:val="nil"/>
                    <w:tr2bl w:val="nil"/>
                  </w:tcBorders>
                  <w:noWrap w:val="0"/>
                  <w:vAlign w:val="center"/>
                </w:tcPr>
                <w:p w14:paraId="04CE5E91">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经度</w:t>
                  </w:r>
                </w:p>
              </w:tc>
              <w:tc>
                <w:tcPr>
                  <w:tcW w:w="696" w:type="dxa"/>
                  <w:tcBorders>
                    <w:tl2br w:val="nil"/>
                    <w:tr2bl w:val="nil"/>
                  </w:tcBorders>
                  <w:noWrap w:val="0"/>
                  <w:vAlign w:val="center"/>
                </w:tcPr>
                <w:p w14:paraId="393F6FEE">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纬度</w:t>
                  </w:r>
                </w:p>
              </w:tc>
              <w:tc>
                <w:tcPr>
                  <w:tcW w:w="796" w:type="dxa"/>
                  <w:vMerge w:val="continue"/>
                  <w:tcBorders>
                    <w:tl2br w:val="nil"/>
                    <w:tr2bl w:val="nil"/>
                  </w:tcBorders>
                  <w:noWrap w:val="0"/>
                  <w:vAlign w:val="center"/>
                </w:tcPr>
                <w:p w14:paraId="4A76BF73">
                  <w:pPr>
                    <w:pStyle w:val="75"/>
                    <w:rPr>
                      <w:rFonts w:hint="default" w:ascii="Times New Roman" w:hAnsi="Times New Roman" w:eastAsia="宋体" w:cs="Times New Roman"/>
                      <w:b/>
                      <w:color w:val="auto"/>
                      <w:highlight w:val="none"/>
                    </w:rPr>
                  </w:pPr>
                </w:p>
              </w:tc>
              <w:tc>
                <w:tcPr>
                  <w:tcW w:w="633" w:type="dxa"/>
                  <w:vMerge w:val="continue"/>
                  <w:tcBorders>
                    <w:tl2br w:val="nil"/>
                    <w:tr2bl w:val="nil"/>
                  </w:tcBorders>
                  <w:noWrap w:val="0"/>
                  <w:vAlign w:val="center"/>
                </w:tcPr>
                <w:p w14:paraId="0C42E49C">
                  <w:pPr>
                    <w:pStyle w:val="75"/>
                    <w:rPr>
                      <w:rFonts w:hint="default" w:ascii="Times New Roman" w:hAnsi="Times New Roman" w:eastAsia="宋体" w:cs="Times New Roman"/>
                      <w:b/>
                      <w:color w:val="auto"/>
                      <w:highlight w:val="none"/>
                    </w:rPr>
                  </w:pPr>
                </w:p>
              </w:tc>
              <w:tc>
                <w:tcPr>
                  <w:tcW w:w="1135" w:type="dxa"/>
                  <w:vMerge w:val="continue"/>
                  <w:tcBorders>
                    <w:tl2br w:val="nil"/>
                    <w:tr2bl w:val="nil"/>
                  </w:tcBorders>
                  <w:noWrap w:val="0"/>
                  <w:vAlign w:val="center"/>
                </w:tcPr>
                <w:p w14:paraId="670EB93D">
                  <w:pPr>
                    <w:pStyle w:val="75"/>
                    <w:rPr>
                      <w:rFonts w:hint="default" w:ascii="Times New Roman" w:hAnsi="Times New Roman" w:eastAsia="宋体" w:cs="Times New Roman"/>
                      <w:b/>
                      <w:color w:val="auto"/>
                      <w:highlight w:val="none"/>
                    </w:rPr>
                  </w:pPr>
                </w:p>
              </w:tc>
              <w:tc>
                <w:tcPr>
                  <w:tcW w:w="606" w:type="dxa"/>
                  <w:vMerge w:val="continue"/>
                  <w:tcBorders>
                    <w:tl2br w:val="nil"/>
                    <w:tr2bl w:val="nil"/>
                  </w:tcBorders>
                  <w:noWrap w:val="0"/>
                  <w:vAlign w:val="center"/>
                </w:tcPr>
                <w:p w14:paraId="34C8D3C9">
                  <w:pPr>
                    <w:pStyle w:val="75"/>
                    <w:rPr>
                      <w:rFonts w:hint="default" w:ascii="Times New Roman" w:hAnsi="Times New Roman" w:eastAsia="宋体" w:cs="Times New Roman"/>
                      <w:b/>
                      <w:color w:val="auto"/>
                      <w:highlight w:val="none"/>
                    </w:rPr>
                  </w:pPr>
                </w:p>
              </w:tc>
              <w:tc>
                <w:tcPr>
                  <w:tcW w:w="718" w:type="dxa"/>
                  <w:tcBorders>
                    <w:tl2br w:val="nil"/>
                    <w:tr2bl w:val="nil"/>
                  </w:tcBorders>
                  <w:noWrap w:val="0"/>
                  <w:vAlign w:val="center"/>
                </w:tcPr>
                <w:p w14:paraId="001E1525">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名称</w:t>
                  </w:r>
                </w:p>
              </w:tc>
              <w:tc>
                <w:tcPr>
                  <w:tcW w:w="647" w:type="dxa"/>
                  <w:tcBorders>
                    <w:tl2br w:val="nil"/>
                    <w:tr2bl w:val="nil"/>
                  </w:tcBorders>
                  <w:noWrap w:val="0"/>
                  <w:vAlign w:val="center"/>
                </w:tcPr>
                <w:p w14:paraId="7372A319">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污染物种类</w:t>
                  </w:r>
                </w:p>
              </w:tc>
              <w:tc>
                <w:tcPr>
                  <w:tcW w:w="1285" w:type="dxa"/>
                  <w:tcBorders>
                    <w:tl2br w:val="nil"/>
                    <w:tr2bl w:val="nil"/>
                  </w:tcBorders>
                  <w:noWrap w:val="0"/>
                  <w:vAlign w:val="center"/>
                </w:tcPr>
                <w:p w14:paraId="53537B37">
                  <w:pPr>
                    <w:pStyle w:val="75"/>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国家或地方污染物排放标准浓度限值(mg/L)</w:t>
                  </w:r>
                </w:p>
              </w:tc>
            </w:tr>
            <w:tr w14:paraId="020DF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restart"/>
                  <w:tcBorders>
                    <w:tl2br w:val="nil"/>
                    <w:tr2bl w:val="nil"/>
                  </w:tcBorders>
                  <w:noWrap w:val="0"/>
                  <w:vAlign w:val="center"/>
                </w:tcPr>
                <w:p w14:paraId="3CB362DA">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765" w:type="dxa"/>
                  <w:vMerge w:val="restart"/>
                  <w:tcBorders>
                    <w:tl2br w:val="nil"/>
                    <w:tr2bl w:val="nil"/>
                  </w:tcBorders>
                  <w:noWrap w:val="0"/>
                  <w:vAlign w:val="center"/>
                </w:tcPr>
                <w:p w14:paraId="5D305928">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DW001</w:t>
                  </w:r>
                </w:p>
              </w:tc>
              <w:tc>
                <w:tcPr>
                  <w:tcW w:w="695" w:type="dxa"/>
                  <w:vMerge w:val="restart"/>
                  <w:tcBorders>
                    <w:tl2br w:val="nil"/>
                    <w:tr2bl w:val="nil"/>
                  </w:tcBorders>
                  <w:noWrap w:val="0"/>
                  <w:vAlign w:val="center"/>
                </w:tcPr>
                <w:p w14:paraId="0827290B">
                  <w:pPr>
                    <w:pStyle w:val="7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119.</w:t>
                  </w:r>
                  <w:r>
                    <w:rPr>
                      <w:rFonts w:hint="eastAsia" w:ascii="Times New Roman" w:hAnsi="Times New Roman" w:eastAsia="宋体" w:cs="Times New Roman"/>
                      <w:color w:val="auto"/>
                      <w:highlight w:val="none"/>
                      <w:lang w:val="en-US" w:eastAsia="zh-CN"/>
                    </w:rPr>
                    <w:t>6635</w:t>
                  </w:r>
                </w:p>
              </w:tc>
              <w:tc>
                <w:tcPr>
                  <w:tcW w:w="696" w:type="dxa"/>
                  <w:vMerge w:val="restart"/>
                  <w:tcBorders>
                    <w:tl2br w:val="nil"/>
                    <w:tr2bl w:val="nil"/>
                  </w:tcBorders>
                  <w:noWrap w:val="0"/>
                  <w:vAlign w:val="center"/>
                </w:tcPr>
                <w:p w14:paraId="4EE4D139">
                  <w:pPr>
                    <w:pStyle w:val="7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31.7</w:t>
                  </w:r>
                  <w:r>
                    <w:rPr>
                      <w:rFonts w:hint="eastAsia" w:ascii="Times New Roman" w:hAnsi="Times New Roman" w:eastAsia="宋体" w:cs="Times New Roman"/>
                      <w:color w:val="auto"/>
                      <w:highlight w:val="none"/>
                      <w:lang w:val="en-US" w:eastAsia="zh-CN"/>
                    </w:rPr>
                    <w:t>30</w:t>
                  </w:r>
                </w:p>
              </w:tc>
              <w:tc>
                <w:tcPr>
                  <w:tcW w:w="796" w:type="dxa"/>
                  <w:vMerge w:val="restart"/>
                  <w:tcBorders>
                    <w:tl2br w:val="nil"/>
                    <w:tr2bl w:val="nil"/>
                  </w:tcBorders>
                  <w:noWrap w:val="0"/>
                  <w:vAlign w:val="center"/>
                </w:tcPr>
                <w:p w14:paraId="4EF524CE">
                  <w:pPr>
                    <w:pStyle w:val="7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108</w:t>
                  </w:r>
                </w:p>
              </w:tc>
              <w:tc>
                <w:tcPr>
                  <w:tcW w:w="633" w:type="dxa"/>
                  <w:vMerge w:val="restart"/>
                  <w:tcBorders>
                    <w:tl2br w:val="nil"/>
                    <w:tr2bl w:val="nil"/>
                  </w:tcBorders>
                  <w:noWrap w:val="0"/>
                  <w:vAlign w:val="center"/>
                </w:tcPr>
                <w:p w14:paraId="7AAB034A">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w:t>
                  </w:r>
                </w:p>
              </w:tc>
              <w:tc>
                <w:tcPr>
                  <w:tcW w:w="1135" w:type="dxa"/>
                  <w:vMerge w:val="restart"/>
                  <w:tcBorders>
                    <w:tl2br w:val="nil"/>
                    <w:tr2bl w:val="nil"/>
                  </w:tcBorders>
                  <w:noWrap w:val="0"/>
                  <w:vAlign w:val="center"/>
                </w:tcPr>
                <w:p w14:paraId="3A5A3C1D">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间断排放，排放期间流量不稳定且无规律，但不属于冲击型排放</w:t>
                  </w:r>
                </w:p>
              </w:tc>
              <w:tc>
                <w:tcPr>
                  <w:tcW w:w="606" w:type="dxa"/>
                  <w:vMerge w:val="restart"/>
                  <w:tcBorders>
                    <w:tl2br w:val="nil"/>
                    <w:tr2bl w:val="nil"/>
                  </w:tcBorders>
                  <w:noWrap w:val="0"/>
                  <w:vAlign w:val="center"/>
                </w:tcPr>
                <w:p w14:paraId="005B6CBA">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18" w:type="dxa"/>
                  <w:vMerge w:val="restart"/>
                  <w:tcBorders>
                    <w:tl2br w:val="nil"/>
                    <w:tr2bl w:val="nil"/>
                  </w:tcBorders>
                  <w:noWrap w:val="0"/>
                  <w:vAlign w:val="center"/>
                </w:tcPr>
                <w:p w14:paraId="1C81B222">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w:t>
                  </w:r>
                </w:p>
              </w:tc>
              <w:tc>
                <w:tcPr>
                  <w:tcW w:w="647" w:type="dxa"/>
                  <w:tcBorders>
                    <w:tl2br w:val="nil"/>
                    <w:tr2bl w:val="nil"/>
                  </w:tcBorders>
                  <w:noWrap w:val="0"/>
                  <w:vAlign w:val="center"/>
                </w:tcPr>
                <w:p w14:paraId="4617EC20">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pH值</w:t>
                  </w:r>
                </w:p>
              </w:tc>
              <w:tc>
                <w:tcPr>
                  <w:tcW w:w="1285" w:type="dxa"/>
                  <w:tcBorders>
                    <w:tl2br w:val="nil"/>
                    <w:tr2bl w:val="nil"/>
                  </w:tcBorders>
                  <w:noWrap w:val="0"/>
                  <w:vAlign w:val="center"/>
                </w:tcPr>
                <w:p w14:paraId="183BF3D8">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14:paraId="1CD10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37D64345">
                  <w:pPr>
                    <w:pStyle w:val="75"/>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6CBC4F87">
                  <w:pPr>
                    <w:pStyle w:val="75"/>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48CCE979">
                  <w:pPr>
                    <w:pStyle w:val="75"/>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67CD0ED0">
                  <w:pPr>
                    <w:pStyle w:val="75"/>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75D47AEC">
                  <w:pPr>
                    <w:pStyle w:val="75"/>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761AFD42">
                  <w:pPr>
                    <w:pStyle w:val="75"/>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71CD3DFB">
                  <w:pPr>
                    <w:pStyle w:val="75"/>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417ABB49">
                  <w:pPr>
                    <w:pStyle w:val="75"/>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658F4966">
                  <w:pPr>
                    <w:pStyle w:val="75"/>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430F19BA">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1285" w:type="dxa"/>
                  <w:tcBorders>
                    <w:tl2br w:val="nil"/>
                    <w:tr2bl w:val="nil"/>
                  </w:tcBorders>
                  <w:noWrap w:val="0"/>
                  <w:vAlign w:val="center"/>
                </w:tcPr>
                <w:p w14:paraId="7FAE41AB">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w:t>
                  </w:r>
                </w:p>
              </w:tc>
            </w:tr>
            <w:tr w14:paraId="1D8E6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623DED07">
                  <w:pPr>
                    <w:pStyle w:val="75"/>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3F52F2BE">
                  <w:pPr>
                    <w:pStyle w:val="75"/>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017A9BF6">
                  <w:pPr>
                    <w:pStyle w:val="75"/>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221198BA">
                  <w:pPr>
                    <w:pStyle w:val="75"/>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742D25DA">
                  <w:pPr>
                    <w:pStyle w:val="75"/>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1C013F5D">
                  <w:pPr>
                    <w:pStyle w:val="75"/>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40408BFC">
                  <w:pPr>
                    <w:pStyle w:val="75"/>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654C5DE3">
                  <w:pPr>
                    <w:pStyle w:val="75"/>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6A9AA638">
                  <w:pPr>
                    <w:pStyle w:val="75"/>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33CA11C0">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1285" w:type="dxa"/>
                  <w:tcBorders>
                    <w:tl2br w:val="nil"/>
                    <w:tr2bl w:val="nil"/>
                  </w:tcBorders>
                  <w:noWrap w:val="0"/>
                  <w:vAlign w:val="center"/>
                </w:tcPr>
                <w:p w14:paraId="7C40FE64">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r w14:paraId="151C4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27824FCE">
                  <w:pPr>
                    <w:pStyle w:val="75"/>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088C9755">
                  <w:pPr>
                    <w:pStyle w:val="75"/>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0499B2A3">
                  <w:pPr>
                    <w:pStyle w:val="75"/>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7449E91A">
                  <w:pPr>
                    <w:pStyle w:val="75"/>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7C807314">
                  <w:pPr>
                    <w:pStyle w:val="75"/>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59C66457">
                  <w:pPr>
                    <w:pStyle w:val="75"/>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00823382">
                  <w:pPr>
                    <w:pStyle w:val="75"/>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73C8BF6B">
                  <w:pPr>
                    <w:pStyle w:val="75"/>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4F42CD89">
                  <w:pPr>
                    <w:pStyle w:val="75"/>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1DFFD6BB">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285" w:type="dxa"/>
                  <w:tcBorders>
                    <w:tl2br w:val="nil"/>
                    <w:tr2bl w:val="nil"/>
                  </w:tcBorders>
                  <w:noWrap w:val="0"/>
                  <w:vAlign w:val="center"/>
                </w:tcPr>
                <w:p w14:paraId="166B2001">
                  <w:pPr>
                    <w:pStyle w:val="75"/>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4（6）</w:t>
                  </w:r>
                </w:p>
              </w:tc>
            </w:tr>
            <w:tr w14:paraId="09218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7F1EB595">
                  <w:pPr>
                    <w:pStyle w:val="75"/>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08486029">
                  <w:pPr>
                    <w:pStyle w:val="75"/>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4C09DCF3">
                  <w:pPr>
                    <w:pStyle w:val="75"/>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01FA375F">
                  <w:pPr>
                    <w:pStyle w:val="75"/>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76431975">
                  <w:pPr>
                    <w:pStyle w:val="75"/>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27A9919E">
                  <w:pPr>
                    <w:pStyle w:val="75"/>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555BA22B">
                  <w:pPr>
                    <w:pStyle w:val="75"/>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7AECEA95">
                  <w:pPr>
                    <w:pStyle w:val="75"/>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65771A8C">
                  <w:pPr>
                    <w:pStyle w:val="75"/>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2AB14CAA">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1285" w:type="dxa"/>
                  <w:tcBorders>
                    <w:tl2br w:val="nil"/>
                    <w:tr2bl w:val="nil"/>
                  </w:tcBorders>
                  <w:noWrap w:val="0"/>
                  <w:vAlign w:val="center"/>
                </w:tcPr>
                <w:p w14:paraId="7C55EE10">
                  <w:pPr>
                    <w:pStyle w:val="75"/>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5</w:t>
                  </w:r>
                </w:p>
              </w:tc>
            </w:tr>
            <w:tr w14:paraId="69E2C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5EE6650D">
                  <w:pPr>
                    <w:pStyle w:val="75"/>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30262325">
                  <w:pPr>
                    <w:pStyle w:val="75"/>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561AD774">
                  <w:pPr>
                    <w:pStyle w:val="75"/>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4422F346">
                  <w:pPr>
                    <w:pStyle w:val="75"/>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599125E3">
                  <w:pPr>
                    <w:pStyle w:val="75"/>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41DB0203">
                  <w:pPr>
                    <w:pStyle w:val="75"/>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4F5D6A1A">
                  <w:pPr>
                    <w:pStyle w:val="75"/>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576858ED">
                  <w:pPr>
                    <w:pStyle w:val="75"/>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7A503EFA">
                  <w:pPr>
                    <w:pStyle w:val="75"/>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2D3C183D">
                  <w:pPr>
                    <w:pStyle w:val="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1285" w:type="dxa"/>
                  <w:tcBorders>
                    <w:tl2br w:val="nil"/>
                    <w:tr2bl w:val="nil"/>
                  </w:tcBorders>
                  <w:noWrap w:val="0"/>
                  <w:vAlign w:val="center"/>
                </w:tcPr>
                <w:p w14:paraId="69BA3A14">
                  <w:pPr>
                    <w:pStyle w:val="7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2（15）</w:t>
                  </w:r>
                </w:p>
              </w:tc>
            </w:tr>
          </w:tbl>
          <w:p w14:paraId="7CA60BCE">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val="0"/>
                <w:bCs/>
                <w:color w:val="auto"/>
                <w:sz w:val="18"/>
                <w:szCs w:val="18"/>
                <w:highlight w:val="none"/>
              </w:rPr>
              <w:t>注:括号外数值为水温&gt;12°时的控制指标，括号内数值为水温≤12℃时的控制指标;pH为无量纲。</w:t>
            </w:r>
          </w:p>
          <w:p w14:paraId="4CA4F2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表4-</w:t>
            </w:r>
            <w:r>
              <w:rPr>
                <w:rFonts w:hint="eastAsia" w:ascii="Times New Roman" w:hAnsi="Times New Roman" w:eastAsia="宋体" w:cs="Times New Roman"/>
                <w:b/>
                <w:bCs/>
                <w:color w:val="auto"/>
                <w:kern w:val="0"/>
                <w:sz w:val="24"/>
                <w:szCs w:val="24"/>
                <w:highlight w:val="none"/>
                <w:lang w:val="en-US" w:eastAsia="zh-CN"/>
              </w:rPr>
              <w:t>18</w:t>
            </w:r>
            <w:r>
              <w:rPr>
                <w:rFonts w:hint="default" w:ascii="Times New Roman" w:hAnsi="Times New Roman" w:eastAsia="宋体" w:cs="Times New Roman"/>
                <w:b/>
                <w:bCs/>
                <w:color w:val="auto"/>
                <w:kern w:val="0"/>
                <w:sz w:val="24"/>
                <w:szCs w:val="24"/>
                <w:highlight w:val="none"/>
                <w:lang w:val="en-US" w:eastAsia="zh-CN"/>
              </w:rPr>
              <w:t xml:space="preserve">  </w:t>
            </w:r>
            <w:r>
              <w:rPr>
                <w:rFonts w:hint="default" w:ascii="Times New Roman" w:hAnsi="Times New Roman" w:eastAsia="宋体" w:cs="Times New Roman"/>
                <w:b/>
                <w:bCs/>
                <w:color w:val="auto"/>
                <w:kern w:val="0"/>
                <w:sz w:val="24"/>
                <w:szCs w:val="24"/>
                <w:highlight w:val="none"/>
              </w:rPr>
              <w:t>废水污染物排放执行标准表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50"/>
              <w:gridCol w:w="1663"/>
              <w:gridCol w:w="3006"/>
              <w:gridCol w:w="1395"/>
              <w:gridCol w:w="698"/>
            </w:tblGrid>
            <w:tr w14:paraId="28C9EE9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565CF97A">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序号</w:t>
                  </w:r>
                </w:p>
              </w:tc>
              <w:tc>
                <w:tcPr>
                  <w:tcW w:w="513" w:type="pct"/>
                  <w:vMerge w:val="restart"/>
                  <w:tcBorders>
                    <w:tl2br w:val="nil"/>
                    <w:tr2bl w:val="nil"/>
                  </w:tcBorders>
                  <w:vAlign w:val="center"/>
                </w:tcPr>
                <w:p w14:paraId="7886292B">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排放口编号</w:t>
                  </w:r>
                </w:p>
              </w:tc>
              <w:tc>
                <w:tcPr>
                  <w:tcW w:w="1003" w:type="pct"/>
                  <w:vMerge w:val="restart"/>
                  <w:tcBorders>
                    <w:tl2br w:val="nil"/>
                    <w:tr2bl w:val="nil"/>
                  </w:tcBorders>
                  <w:vAlign w:val="center"/>
                </w:tcPr>
                <w:p w14:paraId="0A4E7731">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污染物种类</w:t>
                  </w:r>
                </w:p>
              </w:tc>
              <w:tc>
                <w:tcPr>
                  <w:tcW w:w="3077" w:type="pct"/>
                  <w:gridSpan w:val="3"/>
                  <w:tcBorders>
                    <w:tl2br w:val="nil"/>
                    <w:tr2bl w:val="nil"/>
                  </w:tcBorders>
                  <w:vAlign w:val="center"/>
                </w:tcPr>
                <w:p w14:paraId="7D4E9156">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国家或地方排放标准及其他按规定商议的排放协议</w:t>
                  </w:r>
                </w:p>
              </w:tc>
            </w:tr>
            <w:tr w14:paraId="73913AF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04556BAD">
                  <w:pPr>
                    <w:jc w:val="center"/>
                    <w:rPr>
                      <w:rFonts w:hint="default" w:ascii="Times New Roman" w:hAnsi="Times New Roman" w:eastAsia="宋体" w:cs="Times New Roman"/>
                      <w:b/>
                      <w:bCs/>
                      <w:color w:val="auto"/>
                      <w:kern w:val="0"/>
                      <w:szCs w:val="21"/>
                      <w:highlight w:val="none"/>
                    </w:rPr>
                  </w:pPr>
                </w:p>
              </w:tc>
              <w:tc>
                <w:tcPr>
                  <w:tcW w:w="513" w:type="pct"/>
                  <w:vMerge w:val="continue"/>
                  <w:tcBorders>
                    <w:tl2br w:val="nil"/>
                    <w:tr2bl w:val="nil"/>
                  </w:tcBorders>
                  <w:vAlign w:val="center"/>
                </w:tcPr>
                <w:p w14:paraId="28447C7D">
                  <w:pPr>
                    <w:jc w:val="center"/>
                    <w:rPr>
                      <w:rFonts w:hint="default" w:ascii="Times New Roman" w:hAnsi="Times New Roman" w:eastAsia="宋体" w:cs="Times New Roman"/>
                      <w:b/>
                      <w:bCs/>
                      <w:color w:val="auto"/>
                      <w:kern w:val="0"/>
                      <w:szCs w:val="21"/>
                      <w:highlight w:val="none"/>
                    </w:rPr>
                  </w:pPr>
                </w:p>
              </w:tc>
              <w:tc>
                <w:tcPr>
                  <w:tcW w:w="1003" w:type="pct"/>
                  <w:vMerge w:val="continue"/>
                  <w:tcBorders>
                    <w:tl2br w:val="nil"/>
                    <w:tr2bl w:val="nil"/>
                  </w:tcBorders>
                  <w:vAlign w:val="center"/>
                </w:tcPr>
                <w:p w14:paraId="639FD56C">
                  <w:pPr>
                    <w:jc w:val="center"/>
                    <w:rPr>
                      <w:rFonts w:hint="default" w:ascii="Times New Roman" w:hAnsi="Times New Roman" w:eastAsia="宋体" w:cs="Times New Roman"/>
                      <w:b/>
                      <w:bCs/>
                      <w:color w:val="auto"/>
                      <w:kern w:val="0"/>
                      <w:szCs w:val="21"/>
                      <w:highlight w:val="none"/>
                    </w:rPr>
                  </w:pPr>
                </w:p>
              </w:tc>
              <w:tc>
                <w:tcPr>
                  <w:tcW w:w="1814" w:type="pct"/>
                  <w:tcBorders>
                    <w:tl2br w:val="nil"/>
                    <w:tr2bl w:val="nil"/>
                  </w:tcBorders>
                  <w:vAlign w:val="center"/>
                </w:tcPr>
                <w:p w14:paraId="588E4766">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名称</w:t>
                  </w:r>
                </w:p>
              </w:tc>
              <w:tc>
                <w:tcPr>
                  <w:tcW w:w="1263" w:type="pct"/>
                  <w:gridSpan w:val="2"/>
                  <w:tcBorders>
                    <w:tl2br w:val="nil"/>
                    <w:tr2bl w:val="nil"/>
                  </w:tcBorders>
                  <w:vAlign w:val="center"/>
                </w:tcPr>
                <w:p w14:paraId="235E2A53">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浓度限值（mg/L）</w:t>
                  </w:r>
                </w:p>
              </w:tc>
            </w:tr>
            <w:tr w14:paraId="48D4C9B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5CC43387">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13" w:type="pct"/>
                  <w:vMerge w:val="restart"/>
                  <w:tcBorders>
                    <w:tl2br w:val="nil"/>
                    <w:tr2bl w:val="nil"/>
                  </w:tcBorders>
                  <w:vAlign w:val="center"/>
                </w:tcPr>
                <w:p w14:paraId="3949FB38">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DW001</w:t>
                  </w:r>
                </w:p>
              </w:tc>
              <w:tc>
                <w:tcPr>
                  <w:tcW w:w="1003" w:type="pct"/>
                  <w:vMerge w:val="restart"/>
                  <w:tcBorders>
                    <w:tl2br w:val="nil"/>
                    <w:tr2bl w:val="nil"/>
                  </w:tcBorders>
                  <w:vAlign w:val="center"/>
                </w:tcPr>
                <w:p w14:paraId="7ABDF9C8">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pH、COD、SS、NH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-N、TP、TN</w:t>
                  </w:r>
                </w:p>
              </w:tc>
              <w:tc>
                <w:tcPr>
                  <w:tcW w:w="1814" w:type="pct"/>
                  <w:vMerge w:val="restart"/>
                  <w:tcBorders>
                    <w:tl2br w:val="nil"/>
                    <w:tr2bl w:val="nil"/>
                  </w:tcBorders>
                  <w:vAlign w:val="center"/>
                </w:tcPr>
                <w:p w14:paraId="25F0A64D">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金坛</w:t>
                  </w:r>
                  <w:r>
                    <w:rPr>
                      <w:rFonts w:hint="default" w:ascii="Times New Roman" w:hAnsi="Times New Roman" w:eastAsia="宋体" w:cs="Times New Roman"/>
                      <w:color w:val="auto"/>
                      <w:kern w:val="0"/>
                      <w:szCs w:val="21"/>
                      <w:highlight w:val="none"/>
                      <w:lang w:eastAsia="zh-CN"/>
                    </w:rPr>
                    <w:t>第二污水处理有限公司</w:t>
                  </w:r>
                  <w:r>
                    <w:rPr>
                      <w:rFonts w:hint="default" w:ascii="Times New Roman" w:hAnsi="Times New Roman" w:eastAsia="宋体" w:cs="Times New Roman"/>
                      <w:color w:val="auto"/>
                      <w:kern w:val="0"/>
                      <w:szCs w:val="21"/>
                      <w:highlight w:val="none"/>
                    </w:rPr>
                    <w:t>接管标准</w:t>
                  </w:r>
                </w:p>
              </w:tc>
              <w:tc>
                <w:tcPr>
                  <w:tcW w:w="841" w:type="pct"/>
                  <w:tcBorders>
                    <w:tl2br w:val="nil"/>
                    <w:tr2bl w:val="nil"/>
                  </w:tcBorders>
                  <w:vAlign w:val="center"/>
                </w:tcPr>
                <w:p w14:paraId="36377189">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w:t>
                  </w:r>
                </w:p>
              </w:tc>
              <w:tc>
                <w:tcPr>
                  <w:tcW w:w="421" w:type="pct"/>
                  <w:tcBorders>
                    <w:tl2br w:val="nil"/>
                    <w:tr2bl w:val="nil"/>
                  </w:tcBorders>
                  <w:vAlign w:val="center"/>
                </w:tcPr>
                <w:p w14:paraId="0D440B2D">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6~9</w:t>
                  </w:r>
                </w:p>
              </w:tc>
            </w:tr>
            <w:tr w14:paraId="2ECD932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7235A8BF">
                  <w:pPr>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7AE67F1E">
                  <w:pPr>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5B161360">
                  <w:pPr>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5ABEC501">
                  <w:pPr>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28870698">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p>
              </w:tc>
              <w:tc>
                <w:tcPr>
                  <w:tcW w:w="421" w:type="pct"/>
                  <w:tcBorders>
                    <w:tl2br w:val="nil"/>
                    <w:tr2bl w:val="nil"/>
                  </w:tcBorders>
                  <w:vAlign w:val="center"/>
                </w:tcPr>
                <w:p w14:paraId="31AC611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500</w:t>
                  </w:r>
                </w:p>
              </w:tc>
            </w:tr>
            <w:tr w14:paraId="470E0A6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46FA1906">
                  <w:pPr>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527958A7">
                  <w:pPr>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11E2DA74">
                  <w:pPr>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57359BCF">
                  <w:pPr>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005D5C93">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421" w:type="pct"/>
                  <w:tcBorders>
                    <w:tl2br w:val="nil"/>
                    <w:tr2bl w:val="nil"/>
                  </w:tcBorders>
                  <w:vAlign w:val="center"/>
                </w:tcPr>
                <w:p w14:paraId="03C727BC">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250</w:t>
                  </w:r>
                </w:p>
              </w:tc>
            </w:tr>
            <w:tr w14:paraId="12A6054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79643D22">
                  <w:pPr>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41D4342C">
                  <w:pPr>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5C70F0C2">
                  <w:pPr>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6B7D6808">
                  <w:pPr>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200B25C8">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p>
              </w:tc>
              <w:tc>
                <w:tcPr>
                  <w:tcW w:w="421" w:type="pct"/>
                  <w:tcBorders>
                    <w:tl2br w:val="nil"/>
                    <w:tr2bl w:val="nil"/>
                  </w:tcBorders>
                  <w:vAlign w:val="center"/>
                </w:tcPr>
                <w:p w14:paraId="5E4AB07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35</w:t>
                  </w:r>
                </w:p>
              </w:tc>
            </w:tr>
            <w:tr w14:paraId="33413FD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5" w:type="pct"/>
                  <w:vMerge w:val="continue"/>
                  <w:tcBorders>
                    <w:tl2br w:val="nil"/>
                    <w:tr2bl w:val="nil"/>
                  </w:tcBorders>
                  <w:vAlign w:val="center"/>
                </w:tcPr>
                <w:p w14:paraId="2787C8FF">
                  <w:pPr>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36715087">
                  <w:pPr>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747DFAC9">
                  <w:pPr>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43D49FAA">
                  <w:pPr>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4B5101E7">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TN</w:t>
                  </w:r>
                </w:p>
              </w:tc>
              <w:tc>
                <w:tcPr>
                  <w:tcW w:w="421" w:type="pct"/>
                  <w:tcBorders>
                    <w:tl2br w:val="nil"/>
                    <w:tr2bl w:val="nil"/>
                  </w:tcBorders>
                  <w:vAlign w:val="center"/>
                </w:tcPr>
                <w:p w14:paraId="1812994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50</w:t>
                  </w:r>
                </w:p>
              </w:tc>
            </w:tr>
            <w:tr w14:paraId="3D901D4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3B485BE3">
                  <w:pPr>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4184C27C">
                  <w:pPr>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0A2D753A">
                  <w:pPr>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68692F4F">
                  <w:pPr>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18649330">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TP</w:t>
                  </w:r>
                </w:p>
              </w:tc>
              <w:tc>
                <w:tcPr>
                  <w:tcW w:w="421" w:type="pct"/>
                  <w:tcBorders>
                    <w:tl2br w:val="nil"/>
                    <w:tr2bl w:val="nil"/>
                  </w:tcBorders>
                  <w:vAlign w:val="center"/>
                </w:tcPr>
                <w:p w14:paraId="4BE7A000">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3</w:t>
                  </w:r>
                </w:p>
              </w:tc>
            </w:tr>
          </w:tbl>
          <w:p w14:paraId="0AA64A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5.监测</w:t>
            </w:r>
            <w:r>
              <w:rPr>
                <w:rFonts w:hint="eastAsia" w:ascii="Times New Roman" w:hAnsi="Times New Roman" w:eastAsia="宋体" w:cs="Times New Roman"/>
                <w:b/>
                <w:bCs w:val="0"/>
                <w:color w:val="auto"/>
                <w:sz w:val="24"/>
                <w:highlight w:val="none"/>
                <w:lang w:val="en-US" w:eastAsia="zh-CN"/>
              </w:rPr>
              <w:t>计划</w:t>
            </w:r>
          </w:p>
          <w:p w14:paraId="6313F4DA">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highlight w:val="none"/>
              </w:rPr>
            </w:pPr>
            <w:r>
              <w:rPr>
                <w:rFonts w:hint="default" w:ascii="Times New Roman" w:hAnsi="Times New Roman" w:eastAsia="宋体" w:cs="Times New Roman"/>
                <w:bCs/>
                <w:color w:val="auto"/>
                <w:kern w:val="2"/>
                <w:sz w:val="24"/>
                <w:szCs w:val="24"/>
                <w:highlight w:val="none"/>
                <w:lang w:val="en-US" w:eastAsia="zh-CN" w:bidi="ar-SA"/>
              </w:rPr>
              <w:t>根据</w:t>
            </w:r>
            <w:r>
              <w:rPr>
                <w:rFonts w:hint="eastAsia" w:ascii="Times New Roman" w:hAnsi="Times New Roman" w:eastAsia="宋体" w:cs="Times New Roman"/>
                <w:bCs/>
                <w:color w:val="auto"/>
                <w:kern w:val="2"/>
                <w:sz w:val="24"/>
                <w:szCs w:val="24"/>
                <w:highlight w:val="none"/>
                <w:lang w:val="en-US" w:eastAsia="zh-CN" w:bidi="ar-SA"/>
              </w:rPr>
              <w:t>《排污许可证申请与核发技术规范 总则》（HJ 942-2018）</w:t>
            </w:r>
            <w:r>
              <w:rPr>
                <w:rFonts w:hint="default" w:ascii="Times New Roman" w:hAnsi="Times New Roman" w:eastAsia="宋体" w:cs="Times New Roman"/>
                <w:bCs/>
                <w:color w:val="auto"/>
                <w:kern w:val="2"/>
                <w:sz w:val="24"/>
                <w:szCs w:val="24"/>
                <w:highlight w:val="none"/>
                <w:lang w:val="en-US" w:eastAsia="zh-CN" w:bidi="ar-SA"/>
              </w:rPr>
              <w:t>要求，本项目废水监测计划如下：</w:t>
            </w:r>
          </w:p>
          <w:p w14:paraId="4AAC98E0">
            <w:pPr>
              <w:pStyle w:val="74"/>
              <w:spacing w:beforeLines="0" w:afterLines="0" w:line="500" w:lineRule="exact"/>
              <w:ind w:firstLine="0" w:firstLineChars="0"/>
              <w:rPr>
                <w:rFonts w:hint="eastAsia"/>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eastAsia="宋体" w:cs="Times New Roman"/>
                <w:b/>
                <w:bCs/>
                <w:color w:val="auto"/>
                <w:kern w:val="0"/>
                <w:sz w:val="24"/>
                <w:szCs w:val="24"/>
                <w:highlight w:val="none"/>
                <w:lang w:val="en-US" w:eastAsia="zh-CN" w:bidi="ar-SA"/>
              </w:rPr>
              <w:t>19</w:t>
            </w:r>
            <w:r>
              <w:rPr>
                <w:rFonts w:hint="default" w:ascii="Times New Roman" w:hAnsi="Times New Roman" w:eastAsia="宋体" w:cs="Times New Roman"/>
                <w:b/>
                <w:bCs/>
                <w:color w:val="auto"/>
                <w:kern w:val="0"/>
                <w:sz w:val="24"/>
                <w:szCs w:val="24"/>
                <w:highlight w:val="none"/>
                <w:lang w:val="en-US" w:eastAsia="zh-CN" w:bidi="ar-SA"/>
              </w:rPr>
              <w:t xml:space="preserve">  废水监测计划一览表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904"/>
              <w:gridCol w:w="1272"/>
              <w:gridCol w:w="3102"/>
            </w:tblGrid>
            <w:tr w14:paraId="0AD4D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dxa"/>
                  <w:tcBorders>
                    <w:top w:val="single" w:color="auto" w:sz="12" w:space="0"/>
                    <w:left w:val="nil"/>
                    <w:bottom w:val="single" w:color="auto" w:sz="12" w:space="0"/>
                    <w:right w:val="single" w:color="auto" w:sz="4" w:space="0"/>
                    <w:tl2br w:val="nil"/>
                    <w:tr2bl w:val="nil"/>
                  </w:tcBorders>
                  <w:noWrap w:val="0"/>
                  <w:vAlign w:val="center"/>
                </w:tcPr>
                <w:p w14:paraId="2B49F353">
                  <w:pPr>
                    <w:pStyle w:val="75"/>
                    <w:spacing w:beforeLines="0" w:afterLines="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编号</w:t>
                  </w:r>
                </w:p>
              </w:tc>
              <w:tc>
                <w:tcPr>
                  <w:tcW w:w="2912"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00593B08">
                  <w:pPr>
                    <w:pStyle w:val="75"/>
                    <w:spacing w:beforeLines="0" w:afterLines="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监测内容</w:t>
                  </w:r>
                </w:p>
              </w:tc>
              <w:tc>
                <w:tcPr>
                  <w:tcW w:w="1275"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76169926">
                  <w:pPr>
                    <w:pStyle w:val="75"/>
                    <w:spacing w:beforeLines="0" w:afterLines="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监测频次</w:t>
                  </w:r>
                </w:p>
              </w:tc>
              <w:tc>
                <w:tcPr>
                  <w:tcW w:w="3111" w:type="dxa"/>
                  <w:tcBorders>
                    <w:top w:val="single" w:color="auto" w:sz="12" w:space="0"/>
                    <w:left w:val="single" w:color="auto" w:sz="4" w:space="0"/>
                    <w:bottom w:val="single" w:color="auto" w:sz="12" w:space="0"/>
                    <w:right w:val="nil"/>
                    <w:tl2br w:val="nil"/>
                    <w:tr2bl w:val="nil"/>
                  </w:tcBorders>
                  <w:noWrap w:val="0"/>
                  <w:vAlign w:val="center"/>
                </w:tcPr>
                <w:p w14:paraId="2C38D41C">
                  <w:pPr>
                    <w:pStyle w:val="75"/>
                    <w:spacing w:beforeLines="0" w:afterLines="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执行标准</w:t>
                  </w:r>
                </w:p>
              </w:tc>
            </w:tr>
            <w:tr w14:paraId="0B77E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dxa"/>
                  <w:tcBorders>
                    <w:top w:val="single" w:color="auto" w:sz="12" w:space="0"/>
                    <w:left w:val="nil"/>
                    <w:bottom w:val="single" w:color="auto" w:sz="12" w:space="0"/>
                    <w:right w:val="single" w:color="auto" w:sz="4" w:space="0"/>
                    <w:tl2br w:val="nil"/>
                    <w:tr2bl w:val="nil"/>
                  </w:tcBorders>
                  <w:noWrap w:val="0"/>
                  <w:vAlign w:val="center"/>
                </w:tcPr>
                <w:p w14:paraId="7A35CEE8">
                  <w:pPr>
                    <w:pStyle w:val="75"/>
                    <w:spacing w:beforeLines="0" w:afterLines="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DW001</w:t>
                  </w:r>
                </w:p>
              </w:tc>
              <w:tc>
                <w:tcPr>
                  <w:tcW w:w="2912"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33BAEA31">
                  <w:pPr>
                    <w:pStyle w:val="75"/>
                    <w:spacing w:beforeLines="0" w:afterLines="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COD、SS、NH</w:t>
                  </w:r>
                  <w:r>
                    <w:rPr>
                      <w:rFonts w:hint="default" w:ascii="Times New Roman" w:hAnsi="Times New Roman" w:eastAsia="宋体" w:cs="Times New Roman"/>
                      <w:color w:val="auto"/>
                      <w:sz w:val="21"/>
                      <w:szCs w:val="20"/>
                      <w:highlight w:val="none"/>
                      <w:vertAlign w:val="subscript"/>
                    </w:rPr>
                    <w:t>3</w:t>
                  </w:r>
                  <w:r>
                    <w:rPr>
                      <w:rFonts w:hint="default" w:ascii="Times New Roman" w:hAnsi="Times New Roman" w:eastAsia="宋体" w:cs="Times New Roman"/>
                      <w:color w:val="auto"/>
                      <w:sz w:val="21"/>
                      <w:szCs w:val="20"/>
                      <w:highlight w:val="none"/>
                    </w:rPr>
                    <w:t>-N、TP、TN</w:t>
                  </w:r>
                </w:p>
              </w:tc>
              <w:tc>
                <w:tcPr>
                  <w:tcW w:w="1275"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40BD7E2F">
                  <w:pPr>
                    <w:pStyle w:val="75"/>
                    <w:spacing w:beforeLines="0" w:afterLines="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一年一次</w:t>
                  </w:r>
                </w:p>
              </w:tc>
              <w:tc>
                <w:tcPr>
                  <w:tcW w:w="3111" w:type="dxa"/>
                  <w:tcBorders>
                    <w:top w:val="single" w:color="auto" w:sz="12" w:space="0"/>
                    <w:left w:val="single" w:color="auto" w:sz="4" w:space="0"/>
                    <w:bottom w:val="single" w:color="auto" w:sz="12" w:space="0"/>
                    <w:right w:val="nil"/>
                    <w:tl2br w:val="nil"/>
                    <w:tr2bl w:val="nil"/>
                  </w:tcBorders>
                  <w:noWrap w:val="0"/>
                  <w:vAlign w:val="center"/>
                </w:tcPr>
                <w:p w14:paraId="6FFAA872">
                  <w:pPr>
                    <w:pStyle w:val="75"/>
                    <w:spacing w:beforeLines="0" w:afterLines="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金坛第二污水处理厂接管标准</w:t>
                  </w:r>
                </w:p>
              </w:tc>
            </w:tr>
          </w:tbl>
          <w:p w14:paraId="2298E1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6.排污口规范化设置</w:t>
            </w:r>
          </w:p>
          <w:p w14:paraId="534676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本项目依托</w:t>
            </w:r>
            <w:r>
              <w:rPr>
                <w:rFonts w:hint="eastAsia" w:ascii="Times New Roman" w:hAnsi="Times New Roman" w:eastAsia="宋体" w:cs="Times New Roman"/>
                <w:bCs/>
                <w:color w:val="auto"/>
                <w:sz w:val="24"/>
                <w:highlight w:val="none"/>
                <w:lang w:val="en-US" w:eastAsia="zh-CN"/>
              </w:rPr>
              <w:t>园区</w:t>
            </w:r>
            <w:r>
              <w:rPr>
                <w:rFonts w:hint="default" w:ascii="Times New Roman" w:hAnsi="Times New Roman" w:eastAsia="宋体" w:cs="Times New Roman"/>
                <w:bCs/>
                <w:color w:val="auto"/>
                <w:sz w:val="24"/>
                <w:highlight w:val="none"/>
                <w:lang w:val="en-US" w:eastAsia="zh-CN"/>
              </w:rPr>
              <w:t>现有雨水和污水排放口，不改变现有排水系统。目前项目所在地地块内已实施“雨污分流”，并设置规范化雨水排放口。</w:t>
            </w:r>
          </w:p>
          <w:p w14:paraId="5574A76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7.环境影响分析小结</w:t>
            </w:r>
          </w:p>
          <w:p w14:paraId="5DB2B8F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本项目生活污水经市政污水管网接至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w:t>
            </w:r>
            <w:r>
              <w:rPr>
                <w:rFonts w:hint="default" w:ascii="Times New Roman" w:hAnsi="Times New Roman" w:eastAsia="宋体" w:cs="Times New Roman"/>
                <w:bCs/>
                <w:color w:val="auto"/>
                <w:sz w:val="24"/>
                <w:highlight w:val="none"/>
                <w:lang w:val="en-US" w:eastAsia="zh-CN"/>
              </w:rPr>
              <w:t>集中处理，尾水排入尧塘河。故本项目废水排放对地表水环境影响很小，是可以接受的。</w:t>
            </w:r>
          </w:p>
          <w:p w14:paraId="086779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三、噪声</w:t>
            </w:r>
          </w:p>
          <w:p w14:paraId="656CBA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1、噪声源强分析</w:t>
            </w:r>
          </w:p>
          <w:p w14:paraId="72DD6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w:t>
            </w:r>
            <w:r>
              <w:rPr>
                <w:rFonts w:hint="eastAsia" w:ascii="Times New Roman" w:hAnsi="Times New Roman" w:eastAsia="宋体" w:cs="Times New Roman"/>
                <w:bCs/>
                <w:color w:val="auto"/>
                <w:sz w:val="24"/>
                <w:highlight w:val="none"/>
                <w:lang w:val="en-US" w:eastAsia="zh-CN"/>
              </w:rPr>
              <w:t>数控激光切割机、剪板机、数控冲床、打孔机、焊接机、磨光机、喷砂机、全自动前处理线、污水处理站、风机</w:t>
            </w:r>
            <w:r>
              <w:rPr>
                <w:rFonts w:hint="default" w:ascii="Times New Roman" w:hAnsi="Times New Roman" w:eastAsia="宋体" w:cs="Times New Roman"/>
                <w:bCs/>
                <w:color w:val="auto"/>
                <w:sz w:val="24"/>
                <w:highlight w:val="none"/>
                <w:lang w:val="en-US" w:eastAsia="zh-CN"/>
              </w:rPr>
              <w:t>及</w:t>
            </w:r>
            <w:r>
              <w:rPr>
                <w:rFonts w:hint="eastAsia" w:ascii="Times New Roman" w:hAnsi="Times New Roman" w:eastAsia="宋体" w:cs="Times New Roman"/>
                <w:bCs/>
                <w:color w:val="auto"/>
                <w:sz w:val="24"/>
                <w:highlight w:val="none"/>
                <w:lang w:val="en-US" w:eastAsia="zh-CN"/>
              </w:rPr>
              <w:t>空压机</w:t>
            </w:r>
            <w:r>
              <w:rPr>
                <w:rFonts w:hint="default" w:ascii="Times New Roman" w:hAnsi="Times New Roman" w:eastAsia="宋体" w:cs="Times New Roman"/>
                <w:bCs/>
                <w:color w:val="auto"/>
                <w:sz w:val="24"/>
                <w:highlight w:val="none"/>
                <w:lang w:val="en-US" w:eastAsia="zh-CN"/>
              </w:rPr>
              <w:t>等设备，项目噪声源距离1米处声压级在70~85dB（A）之间。</w:t>
            </w:r>
          </w:p>
          <w:p w14:paraId="3198F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2826AD8A">
            <w:pPr>
              <w:spacing w:line="360" w:lineRule="auto"/>
              <w:ind w:firstLine="480" w:firstLineChars="200"/>
              <w:rPr>
                <w:rFonts w:hint="default" w:ascii="Times New Roman" w:hAnsi="Times New Roman" w:eastAsia="宋体" w:cs="Times New Roman"/>
                <w:color w:val="auto"/>
                <w:sz w:val="24"/>
                <w:highlight w:val="none"/>
              </w:rPr>
            </w:pPr>
          </w:p>
          <w:p w14:paraId="66BAC54E">
            <w:pPr>
              <w:spacing w:line="360" w:lineRule="auto"/>
              <w:rPr>
                <w:rFonts w:hint="default" w:ascii="Times New Roman" w:hAnsi="Times New Roman" w:eastAsia="宋体" w:cs="Times New Roman"/>
                <w:color w:val="auto"/>
                <w:sz w:val="24"/>
                <w:highlight w:val="none"/>
              </w:rPr>
            </w:pPr>
          </w:p>
        </w:tc>
      </w:tr>
    </w:tbl>
    <w:p w14:paraId="2AC977A1">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6BAE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3D2AA270">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742" w:type="pct"/>
            <w:vAlign w:val="center"/>
          </w:tcPr>
          <w:p w14:paraId="5FE3BD8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20 </w:t>
            </w:r>
            <w:r>
              <w:rPr>
                <w:rFonts w:hint="default" w:ascii="Times New Roman" w:hAnsi="Times New Roman" w:eastAsia="宋体" w:cs="Times New Roman"/>
                <w:b/>
                <w:bCs/>
                <w:color w:val="auto"/>
                <w:sz w:val="21"/>
                <w:szCs w:val="21"/>
                <w:highlight w:val="none"/>
              </w:rPr>
              <w:t>本项目主要噪声污染源一览表</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室内声源</w:t>
            </w:r>
            <w:r>
              <w:rPr>
                <w:rFonts w:hint="default" w:ascii="Times New Roman" w:hAnsi="Times New Roman" w:eastAsia="宋体" w:cs="Times New Roman"/>
                <w:b/>
                <w:bCs/>
                <w:color w:val="auto"/>
                <w:sz w:val="21"/>
                <w:szCs w:val="21"/>
                <w:highlight w:val="none"/>
                <w:lang w:eastAsia="zh-CN"/>
              </w:rPr>
              <w:t>）</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558"/>
              <w:gridCol w:w="1545"/>
              <w:gridCol w:w="916"/>
              <w:gridCol w:w="609"/>
              <w:gridCol w:w="1461"/>
              <w:gridCol w:w="1064"/>
              <w:gridCol w:w="556"/>
              <w:gridCol w:w="556"/>
              <w:gridCol w:w="614"/>
              <w:gridCol w:w="693"/>
              <w:gridCol w:w="688"/>
              <w:gridCol w:w="535"/>
              <w:gridCol w:w="958"/>
              <w:gridCol w:w="958"/>
              <w:gridCol w:w="1027"/>
            </w:tblGrid>
            <w:tr w14:paraId="7227C6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restart"/>
                  <w:noWrap w:val="0"/>
                  <w:vAlign w:val="center"/>
                </w:tcPr>
                <w:p w14:paraId="76EF6CD7">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序号</w:t>
                  </w:r>
                </w:p>
              </w:tc>
              <w:tc>
                <w:tcPr>
                  <w:tcW w:w="211" w:type="pct"/>
                  <w:vMerge w:val="restart"/>
                  <w:noWrap w:val="0"/>
                  <w:vAlign w:val="center"/>
                </w:tcPr>
                <w:p w14:paraId="46A5F8F6">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建筑物名称</w:t>
                  </w:r>
                </w:p>
              </w:tc>
              <w:tc>
                <w:tcPr>
                  <w:tcW w:w="584" w:type="pct"/>
                  <w:vMerge w:val="restart"/>
                  <w:noWrap w:val="0"/>
                  <w:vAlign w:val="center"/>
                </w:tcPr>
                <w:p w14:paraId="66DF5869">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声源名称</w:t>
                  </w:r>
                </w:p>
              </w:tc>
              <w:tc>
                <w:tcPr>
                  <w:tcW w:w="346" w:type="pct"/>
                  <w:vMerge w:val="restart"/>
                  <w:noWrap w:val="0"/>
                  <w:vAlign w:val="center"/>
                </w:tcPr>
                <w:p w14:paraId="688F700A">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型号</w:t>
                  </w:r>
                </w:p>
              </w:tc>
              <w:tc>
                <w:tcPr>
                  <w:tcW w:w="230" w:type="pct"/>
                  <w:vMerge w:val="restart"/>
                  <w:noWrap w:val="0"/>
                  <w:vAlign w:val="center"/>
                </w:tcPr>
                <w:p w14:paraId="6962F00D">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bCs/>
                      <w:color w:val="auto"/>
                      <w:highlight w:val="none"/>
                      <w:lang w:val="en-US" w:eastAsia="zh-CN"/>
                    </w:rPr>
                    <w:t>数量</w:t>
                  </w:r>
                </w:p>
              </w:tc>
              <w:tc>
                <w:tcPr>
                  <w:tcW w:w="552" w:type="pct"/>
                  <w:noWrap w:val="0"/>
                  <w:vAlign w:val="center"/>
                </w:tcPr>
                <w:p w14:paraId="083593F0">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声源源强</w:t>
                  </w:r>
                </w:p>
              </w:tc>
              <w:tc>
                <w:tcPr>
                  <w:tcW w:w="402" w:type="pct"/>
                  <w:vMerge w:val="restart"/>
                  <w:noWrap w:val="0"/>
                  <w:vAlign w:val="center"/>
                </w:tcPr>
                <w:p w14:paraId="72B84DBA">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声源控制措施</w:t>
                  </w:r>
                </w:p>
              </w:tc>
              <w:tc>
                <w:tcPr>
                  <w:tcW w:w="652" w:type="pct"/>
                  <w:gridSpan w:val="3"/>
                  <w:noWrap w:val="0"/>
                  <w:vAlign w:val="center"/>
                </w:tcPr>
                <w:p w14:paraId="73919114">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空间相对位置/m</w:t>
                  </w:r>
                </w:p>
              </w:tc>
              <w:tc>
                <w:tcPr>
                  <w:tcW w:w="262" w:type="pct"/>
                  <w:vMerge w:val="restart"/>
                  <w:noWrap w:val="0"/>
                  <w:vAlign w:val="center"/>
                </w:tcPr>
                <w:p w14:paraId="297D8304">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距室内边界</w:t>
                  </w:r>
                  <w:r>
                    <w:rPr>
                      <w:rFonts w:hint="default" w:ascii="Times New Roman" w:hAnsi="Times New Roman" w:eastAsia="宋体" w:cs="Times New Roman"/>
                      <w:b/>
                      <w:color w:val="auto"/>
                      <w:highlight w:val="none"/>
                      <w:lang w:eastAsia="zh-CN"/>
                    </w:rPr>
                    <w:t>最近</w:t>
                  </w:r>
                  <w:r>
                    <w:rPr>
                      <w:rFonts w:hint="default" w:ascii="Times New Roman" w:hAnsi="Times New Roman" w:eastAsia="宋体" w:cs="Times New Roman"/>
                      <w:b/>
                      <w:color w:val="auto"/>
                      <w:highlight w:val="none"/>
                    </w:rPr>
                    <w:t>距离/m</w:t>
                  </w:r>
                </w:p>
              </w:tc>
              <w:tc>
                <w:tcPr>
                  <w:tcW w:w="260" w:type="pct"/>
                  <w:vMerge w:val="restart"/>
                  <w:noWrap w:val="0"/>
                  <w:vAlign w:val="center"/>
                </w:tcPr>
                <w:p w14:paraId="6A08E0E9">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室内边界声级</w:t>
                  </w:r>
                </w:p>
              </w:tc>
              <w:tc>
                <w:tcPr>
                  <w:tcW w:w="202" w:type="pct"/>
                  <w:vMerge w:val="restart"/>
                  <w:noWrap w:val="0"/>
                  <w:vAlign w:val="center"/>
                </w:tcPr>
                <w:p w14:paraId="45C07BFA">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运行时段</w:t>
                  </w:r>
                </w:p>
              </w:tc>
              <w:tc>
                <w:tcPr>
                  <w:tcW w:w="362" w:type="pct"/>
                  <w:vMerge w:val="restart"/>
                  <w:noWrap w:val="0"/>
                  <w:vAlign w:val="center"/>
                </w:tcPr>
                <w:p w14:paraId="21EDFCBD">
                  <w:pPr>
                    <w:adjustRightInd w:val="0"/>
                    <w:snapToGrid w:val="0"/>
                    <w:ind w:left="-105" w:leftChars="-50" w:right="-105" w:rightChars="-50"/>
                    <w:jc w:val="center"/>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建筑物插入损失/dB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c>
              <w:tc>
                <w:tcPr>
                  <w:tcW w:w="750" w:type="pct"/>
                  <w:gridSpan w:val="2"/>
                  <w:noWrap w:val="0"/>
                  <w:vAlign w:val="center"/>
                </w:tcPr>
                <w:p w14:paraId="2C257CB3">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建筑物外噪声</w:t>
                  </w:r>
                </w:p>
              </w:tc>
            </w:tr>
            <w:tr w14:paraId="76830E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EFBBAF5">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211" w:type="pct"/>
                  <w:vMerge w:val="continue"/>
                  <w:noWrap w:val="0"/>
                  <w:vAlign w:val="center"/>
                </w:tcPr>
                <w:p w14:paraId="023ABE26">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584" w:type="pct"/>
                  <w:vMerge w:val="continue"/>
                  <w:noWrap w:val="0"/>
                  <w:vAlign w:val="center"/>
                </w:tcPr>
                <w:p w14:paraId="5466F3ED">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346" w:type="pct"/>
                  <w:vMerge w:val="continue"/>
                  <w:noWrap w:val="0"/>
                  <w:vAlign w:val="center"/>
                </w:tcPr>
                <w:p w14:paraId="2343EFB2">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230" w:type="pct"/>
                  <w:vMerge w:val="continue"/>
                  <w:noWrap w:val="0"/>
                  <w:vAlign w:val="center"/>
                </w:tcPr>
                <w:p w14:paraId="7B0D792D">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552" w:type="pct"/>
                  <w:noWrap w:val="0"/>
                  <w:vAlign w:val="center"/>
                </w:tcPr>
                <w:p w14:paraId="3A275C6C">
                  <w:pPr>
                    <w:adjustRightInd w:val="0"/>
                    <w:snapToGrid w:val="0"/>
                    <w:ind w:left="-105" w:leftChars="-50" w:right="-105" w:rightChars="-50"/>
                    <w:jc w:val="center"/>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声</w:t>
                  </w:r>
                  <w:r>
                    <w:rPr>
                      <w:rFonts w:hint="default" w:ascii="Times New Roman" w:hAnsi="Times New Roman" w:eastAsia="宋体" w:cs="Times New Roman"/>
                      <w:b/>
                      <w:color w:val="auto"/>
                      <w:highlight w:val="none"/>
                      <w:lang w:eastAsia="zh-CN"/>
                    </w:rPr>
                    <w:t>功率</w:t>
                  </w:r>
                  <w:r>
                    <w:rPr>
                      <w:rFonts w:hint="default" w:ascii="Times New Roman" w:hAnsi="Times New Roman" w:eastAsia="宋体" w:cs="Times New Roman"/>
                      <w:b/>
                      <w:color w:val="auto"/>
                      <w:highlight w:val="none"/>
                    </w:rPr>
                    <w:t>级/dB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c>
              <w:tc>
                <w:tcPr>
                  <w:tcW w:w="402" w:type="pct"/>
                  <w:vMerge w:val="continue"/>
                  <w:noWrap w:val="0"/>
                  <w:vAlign w:val="center"/>
                </w:tcPr>
                <w:p w14:paraId="3F685821">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210" w:type="pct"/>
                  <w:noWrap w:val="0"/>
                  <w:vAlign w:val="center"/>
                </w:tcPr>
                <w:p w14:paraId="6DF265ED">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X</w:t>
                  </w:r>
                </w:p>
              </w:tc>
              <w:tc>
                <w:tcPr>
                  <w:tcW w:w="210" w:type="pct"/>
                  <w:noWrap w:val="0"/>
                  <w:vAlign w:val="center"/>
                </w:tcPr>
                <w:p w14:paraId="12333E5B">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Y</w:t>
                  </w:r>
                </w:p>
              </w:tc>
              <w:tc>
                <w:tcPr>
                  <w:tcW w:w="231" w:type="pct"/>
                  <w:noWrap w:val="0"/>
                  <w:vAlign w:val="center"/>
                </w:tcPr>
                <w:p w14:paraId="6C3D784E">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Z</w:t>
                  </w:r>
                </w:p>
              </w:tc>
              <w:tc>
                <w:tcPr>
                  <w:tcW w:w="262" w:type="pct"/>
                  <w:vMerge w:val="continue"/>
                  <w:noWrap w:val="0"/>
                  <w:vAlign w:val="center"/>
                </w:tcPr>
                <w:p w14:paraId="41D8D2EF">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260" w:type="pct"/>
                  <w:vMerge w:val="continue"/>
                  <w:noWrap w:val="0"/>
                  <w:vAlign w:val="center"/>
                </w:tcPr>
                <w:p w14:paraId="2579B06F">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202" w:type="pct"/>
                  <w:vMerge w:val="continue"/>
                  <w:noWrap w:val="0"/>
                  <w:vAlign w:val="center"/>
                </w:tcPr>
                <w:p w14:paraId="146A3A00">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362" w:type="pct"/>
                  <w:vMerge w:val="continue"/>
                  <w:noWrap w:val="0"/>
                  <w:vAlign w:val="center"/>
                </w:tcPr>
                <w:p w14:paraId="57746C8F">
                  <w:pPr>
                    <w:adjustRightInd w:val="0"/>
                    <w:snapToGrid w:val="0"/>
                    <w:ind w:left="-105" w:leftChars="-50" w:right="-105" w:rightChars="-50"/>
                    <w:jc w:val="center"/>
                    <w:rPr>
                      <w:rFonts w:hint="default" w:ascii="Times New Roman" w:hAnsi="Times New Roman" w:eastAsia="宋体" w:cs="Times New Roman"/>
                      <w:b/>
                      <w:color w:val="auto"/>
                      <w:highlight w:val="none"/>
                    </w:rPr>
                  </w:pPr>
                </w:p>
              </w:tc>
              <w:tc>
                <w:tcPr>
                  <w:tcW w:w="362" w:type="pct"/>
                  <w:noWrap w:val="0"/>
                  <w:vAlign w:val="center"/>
                </w:tcPr>
                <w:p w14:paraId="1EFBDD8C">
                  <w:pPr>
                    <w:adjustRightInd w:val="0"/>
                    <w:snapToGrid w:val="0"/>
                    <w:ind w:left="-105" w:leftChars="-50" w:right="-105" w:rightChars="-50"/>
                    <w:jc w:val="center"/>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声压级/dB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c>
              <w:tc>
                <w:tcPr>
                  <w:tcW w:w="387" w:type="pct"/>
                  <w:noWrap w:val="0"/>
                  <w:vAlign w:val="center"/>
                </w:tcPr>
                <w:p w14:paraId="362A6E23">
                  <w:pPr>
                    <w:adjustRightInd w:val="0"/>
                    <w:snapToGrid w:val="0"/>
                    <w:ind w:left="-105" w:leftChars="-50" w:right="-105" w:rightChars="-5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建筑物外距离</w:t>
                  </w:r>
                </w:p>
              </w:tc>
            </w:tr>
            <w:tr w14:paraId="5472E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noWrap w:val="0"/>
                  <w:vAlign w:val="center"/>
                </w:tcPr>
                <w:p w14:paraId="7E26B034">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11" w:type="pct"/>
                  <w:vMerge w:val="restart"/>
                  <w:noWrap w:val="0"/>
                  <w:vAlign w:val="center"/>
                </w:tcPr>
                <w:p w14:paraId="4DED52C8">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车间</w:t>
                  </w:r>
                </w:p>
              </w:tc>
              <w:tc>
                <w:tcPr>
                  <w:tcW w:w="584" w:type="pct"/>
                  <w:noWrap w:val="0"/>
                  <w:vAlign w:val="center"/>
                </w:tcPr>
                <w:p w14:paraId="2824A6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数控激光切割机</w:t>
                  </w:r>
                </w:p>
              </w:tc>
              <w:tc>
                <w:tcPr>
                  <w:tcW w:w="346" w:type="pct"/>
                  <w:noWrap w:val="0"/>
                  <w:vAlign w:val="center"/>
                </w:tcPr>
                <w:p w14:paraId="73A20C15">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TruLaser 3030</w:t>
                  </w:r>
                </w:p>
              </w:tc>
              <w:tc>
                <w:tcPr>
                  <w:tcW w:w="230" w:type="pct"/>
                  <w:noWrap w:val="0"/>
                  <w:vAlign w:val="center"/>
                </w:tcPr>
                <w:p w14:paraId="55E1CFE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c>
                <w:tcPr>
                  <w:tcW w:w="552" w:type="pct"/>
                  <w:noWrap w:val="0"/>
                  <w:vAlign w:val="center"/>
                </w:tcPr>
                <w:p w14:paraId="4656829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80</w:t>
                  </w:r>
                </w:p>
              </w:tc>
              <w:tc>
                <w:tcPr>
                  <w:tcW w:w="402" w:type="pct"/>
                  <w:vMerge w:val="restart"/>
                  <w:noWrap w:val="0"/>
                  <w:vAlign w:val="center"/>
                </w:tcPr>
                <w:p w14:paraId="4534C2ED">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r>
                    <w:rPr>
                      <w:rFonts w:hint="default" w:ascii="Times New Roman" w:hAnsi="Times New Roman" w:eastAsia="宋体" w:cs="Times New Roman"/>
                      <w:bCs/>
                      <w:color w:val="auto"/>
                      <w:szCs w:val="20"/>
                      <w:highlight w:val="none"/>
                    </w:rPr>
                    <w:t>减振、厂房隔音</w:t>
                  </w:r>
                </w:p>
              </w:tc>
              <w:tc>
                <w:tcPr>
                  <w:tcW w:w="556" w:type="dxa"/>
                  <w:noWrap w:val="0"/>
                  <w:vAlign w:val="center"/>
                </w:tcPr>
                <w:p w14:paraId="15B77BB1">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556" w:type="dxa"/>
                  <w:noWrap w:val="0"/>
                  <w:vAlign w:val="center"/>
                </w:tcPr>
                <w:p w14:paraId="7CB0566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614" w:type="dxa"/>
                  <w:noWrap w:val="0"/>
                  <w:vAlign w:val="center"/>
                </w:tcPr>
                <w:p w14:paraId="4F238E8A">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93" w:type="dxa"/>
                  <w:noWrap w:val="0"/>
                  <w:vAlign w:val="center"/>
                </w:tcPr>
                <w:p w14:paraId="54C244FF">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24</w:t>
                  </w:r>
                </w:p>
              </w:tc>
              <w:tc>
                <w:tcPr>
                  <w:tcW w:w="688" w:type="dxa"/>
                  <w:noWrap w:val="0"/>
                  <w:vAlign w:val="center"/>
                </w:tcPr>
                <w:p w14:paraId="125FD31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55</w:t>
                  </w:r>
                </w:p>
              </w:tc>
              <w:tc>
                <w:tcPr>
                  <w:tcW w:w="535" w:type="dxa"/>
                  <w:noWrap w:val="0"/>
                  <w:vAlign w:val="center"/>
                </w:tcPr>
                <w:p w14:paraId="09B6036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noWrap w:val="0"/>
                  <w:vAlign w:val="center"/>
                </w:tcPr>
                <w:p w14:paraId="1560B18F">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958" w:type="dxa"/>
                  <w:noWrap w:val="0"/>
                  <w:vAlign w:val="center"/>
                </w:tcPr>
                <w:p w14:paraId="00E9A5F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387" w:type="pct"/>
                  <w:noWrap w:val="0"/>
                  <w:vAlign w:val="center"/>
                </w:tcPr>
                <w:p w14:paraId="7E957D47">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1m</w:t>
                  </w:r>
                </w:p>
              </w:tc>
            </w:tr>
            <w:tr w14:paraId="49EA6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noWrap w:val="0"/>
                  <w:vAlign w:val="center"/>
                </w:tcPr>
                <w:p w14:paraId="28D4718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211" w:type="pct"/>
                  <w:vMerge w:val="continue"/>
                  <w:noWrap w:val="0"/>
                  <w:vAlign w:val="center"/>
                </w:tcPr>
                <w:p w14:paraId="49268464">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589850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剪板机</w:t>
                  </w:r>
                </w:p>
              </w:tc>
              <w:tc>
                <w:tcPr>
                  <w:tcW w:w="346" w:type="pct"/>
                  <w:noWrap w:val="0"/>
                  <w:vAlign w:val="center"/>
                </w:tcPr>
                <w:p w14:paraId="311D2E4A">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30" w:type="pct"/>
                  <w:noWrap w:val="0"/>
                  <w:vAlign w:val="center"/>
                </w:tcPr>
                <w:p w14:paraId="2EE19170">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w:t>
                  </w:r>
                </w:p>
              </w:tc>
              <w:tc>
                <w:tcPr>
                  <w:tcW w:w="552" w:type="pct"/>
                  <w:noWrap w:val="0"/>
                  <w:vAlign w:val="center"/>
                </w:tcPr>
                <w:p w14:paraId="1F68490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75</w:t>
                  </w:r>
                </w:p>
              </w:tc>
              <w:tc>
                <w:tcPr>
                  <w:tcW w:w="402" w:type="pct"/>
                  <w:vMerge w:val="continue"/>
                  <w:noWrap w:val="0"/>
                  <w:vAlign w:val="center"/>
                </w:tcPr>
                <w:p w14:paraId="502743B4">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noWrap w:val="0"/>
                  <w:vAlign w:val="center"/>
                </w:tcPr>
                <w:p w14:paraId="12579969">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32</w:t>
                  </w:r>
                </w:p>
              </w:tc>
              <w:tc>
                <w:tcPr>
                  <w:tcW w:w="556" w:type="dxa"/>
                  <w:noWrap w:val="0"/>
                  <w:vAlign w:val="center"/>
                </w:tcPr>
                <w:p w14:paraId="4AB2BC3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w:t>
                  </w:r>
                </w:p>
              </w:tc>
              <w:tc>
                <w:tcPr>
                  <w:tcW w:w="614" w:type="dxa"/>
                  <w:noWrap w:val="0"/>
                  <w:vAlign w:val="center"/>
                </w:tcPr>
                <w:p w14:paraId="042B2AFC">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693" w:type="dxa"/>
                  <w:noWrap w:val="0"/>
                  <w:vAlign w:val="center"/>
                </w:tcPr>
                <w:p w14:paraId="1C32EF82">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27</w:t>
                  </w:r>
                </w:p>
              </w:tc>
              <w:tc>
                <w:tcPr>
                  <w:tcW w:w="688" w:type="dxa"/>
                  <w:noWrap w:val="0"/>
                  <w:vAlign w:val="center"/>
                </w:tcPr>
                <w:p w14:paraId="78A90C9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46</w:t>
                  </w:r>
                </w:p>
              </w:tc>
              <w:tc>
                <w:tcPr>
                  <w:tcW w:w="535" w:type="dxa"/>
                  <w:noWrap w:val="0"/>
                  <w:vAlign w:val="center"/>
                </w:tcPr>
                <w:p w14:paraId="27809F25">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noWrap w:val="0"/>
                  <w:vAlign w:val="center"/>
                </w:tcPr>
                <w:p w14:paraId="229243D7">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958" w:type="dxa"/>
                  <w:noWrap w:val="0"/>
                  <w:vAlign w:val="center"/>
                </w:tcPr>
                <w:p w14:paraId="409525F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387" w:type="pct"/>
                  <w:noWrap w:val="0"/>
                  <w:vAlign w:val="center"/>
                </w:tcPr>
                <w:p w14:paraId="1C09F0A9">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1m</w:t>
                  </w:r>
                </w:p>
              </w:tc>
            </w:tr>
            <w:tr w14:paraId="6E01C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noWrap w:val="0"/>
                  <w:vAlign w:val="center"/>
                </w:tcPr>
                <w:p w14:paraId="062780DA">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211" w:type="pct"/>
                  <w:vMerge w:val="continue"/>
                  <w:noWrap w:val="0"/>
                  <w:vAlign w:val="center"/>
                </w:tcPr>
                <w:p w14:paraId="74E41206">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4BFADE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数控冲床</w:t>
                  </w:r>
                </w:p>
              </w:tc>
              <w:tc>
                <w:tcPr>
                  <w:tcW w:w="346" w:type="pct"/>
                  <w:noWrap w:val="0"/>
                  <w:vAlign w:val="center"/>
                </w:tcPr>
                <w:p w14:paraId="6A229CF8">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TruPunch 5000</w:t>
                  </w:r>
                </w:p>
              </w:tc>
              <w:tc>
                <w:tcPr>
                  <w:tcW w:w="230" w:type="pct"/>
                  <w:noWrap w:val="0"/>
                  <w:vAlign w:val="center"/>
                </w:tcPr>
                <w:p w14:paraId="2BD88A1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552" w:type="pct"/>
                  <w:noWrap w:val="0"/>
                  <w:vAlign w:val="center"/>
                </w:tcPr>
                <w:p w14:paraId="00151C1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lang w:val="en-US" w:eastAsia="zh-CN"/>
                    </w:rPr>
                    <w:t>5</w:t>
                  </w:r>
                </w:p>
              </w:tc>
              <w:tc>
                <w:tcPr>
                  <w:tcW w:w="402" w:type="pct"/>
                  <w:vMerge w:val="continue"/>
                  <w:noWrap w:val="0"/>
                  <w:vAlign w:val="center"/>
                </w:tcPr>
                <w:p w14:paraId="1806F730">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noWrap w:val="0"/>
                  <w:vAlign w:val="center"/>
                </w:tcPr>
                <w:p w14:paraId="633710EA">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w:t>
                  </w:r>
                </w:p>
              </w:tc>
              <w:tc>
                <w:tcPr>
                  <w:tcW w:w="556" w:type="dxa"/>
                  <w:noWrap w:val="0"/>
                  <w:vAlign w:val="center"/>
                </w:tcPr>
                <w:p w14:paraId="6DA3ADF0">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w:t>
                  </w:r>
                </w:p>
              </w:tc>
              <w:tc>
                <w:tcPr>
                  <w:tcW w:w="614" w:type="dxa"/>
                  <w:noWrap w:val="0"/>
                  <w:vAlign w:val="center"/>
                </w:tcPr>
                <w:p w14:paraId="75AC8AAB">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693" w:type="dxa"/>
                  <w:noWrap w:val="0"/>
                  <w:vAlign w:val="center"/>
                </w:tcPr>
                <w:p w14:paraId="1F4A2A15">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27</w:t>
                  </w:r>
                </w:p>
              </w:tc>
              <w:tc>
                <w:tcPr>
                  <w:tcW w:w="688" w:type="dxa"/>
                  <w:noWrap w:val="0"/>
                  <w:vAlign w:val="center"/>
                </w:tcPr>
                <w:p w14:paraId="7976FD1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56</w:t>
                  </w:r>
                </w:p>
              </w:tc>
              <w:tc>
                <w:tcPr>
                  <w:tcW w:w="535" w:type="dxa"/>
                  <w:noWrap w:val="0"/>
                  <w:vAlign w:val="center"/>
                </w:tcPr>
                <w:p w14:paraId="444B1971">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noWrap w:val="0"/>
                  <w:vAlign w:val="center"/>
                </w:tcPr>
                <w:p w14:paraId="139BC34E">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958" w:type="dxa"/>
                  <w:noWrap w:val="0"/>
                  <w:vAlign w:val="center"/>
                </w:tcPr>
                <w:p w14:paraId="1AE3B44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387" w:type="pct"/>
                  <w:noWrap w:val="0"/>
                  <w:vAlign w:val="center"/>
                </w:tcPr>
                <w:p w14:paraId="27A09D3D">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1m</w:t>
                  </w:r>
                </w:p>
              </w:tc>
            </w:tr>
            <w:tr w14:paraId="2C55E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1" w:type="pct"/>
                  <w:noWrap w:val="0"/>
                  <w:vAlign w:val="center"/>
                </w:tcPr>
                <w:p w14:paraId="036185F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211" w:type="pct"/>
                  <w:vMerge w:val="continue"/>
                  <w:noWrap w:val="0"/>
                  <w:vAlign w:val="center"/>
                </w:tcPr>
                <w:p w14:paraId="15DF1DC1">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03F95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打孔机</w:t>
                  </w:r>
                </w:p>
              </w:tc>
              <w:tc>
                <w:tcPr>
                  <w:tcW w:w="346" w:type="pct"/>
                  <w:noWrap w:val="0"/>
                  <w:vAlign w:val="center"/>
                </w:tcPr>
                <w:p w14:paraId="02B1A3C7">
                  <w:pPr>
                    <w:widowControl/>
                    <w:adjustRightInd w:val="0"/>
                    <w:snapToGrid w:val="0"/>
                    <w:ind w:left="-105" w:leftChars="-50" w:right="-105" w:rightChars="-5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30" w:type="pct"/>
                  <w:noWrap w:val="0"/>
                  <w:vAlign w:val="center"/>
                </w:tcPr>
                <w:p w14:paraId="55C0EC9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552" w:type="pct"/>
                  <w:noWrap w:val="0"/>
                  <w:vAlign w:val="center"/>
                </w:tcPr>
                <w:p w14:paraId="7DAACC2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2" w:type="pct"/>
                  <w:vMerge w:val="continue"/>
                  <w:noWrap w:val="0"/>
                  <w:vAlign w:val="center"/>
                </w:tcPr>
                <w:p w14:paraId="3B056F8B">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shd w:val="clear" w:color="auto" w:fill="auto"/>
                  <w:noWrap w:val="0"/>
                  <w:vAlign w:val="center"/>
                </w:tcPr>
                <w:p w14:paraId="6D9525FD">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44</w:t>
                  </w:r>
                </w:p>
              </w:tc>
              <w:tc>
                <w:tcPr>
                  <w:tcW w:w="556" w:type="dxa"/>
                  <w:shd w:val="clear" w:color="auto" w:fill="auto"/>
                  <w:noWrap w:val="0"/>
                  <w:vAlign w:val="center"/>
                </w:tcPr>
                <w:p w14:paraId="2E131BD4">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38</w:t>
                  </w:r>
                </w:p>
              </w:tc>
              <w:tc>
                <w:tcPr>
                  <w:tcW w:w="614" w:type="dxa"/>
                  <w:shd w:val="clear" w:color="auto" w:fill="auto"/>
                  <w:noWrap w:val="0"/>
                  <w:vAlign w:val="center"/>
                </w:tcPr>
                <w:p w14:paraId="0FDB4DE5">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1</w:t>
                  </w:r>
                </w:p>
              </w:tc>
              <w:tc>
                <w:tcPr>
                  <w:tcW w:w="693" w:type="dxa"/>
                  <w:noWrap w:val="0"/>
                  <w:vAlign w:val="center"/>
                </w:tcPr>
                <w:p w14:paraId="2DDE189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w:t>
                  </w:r>
                </w:p>
              </w:tc>
              <w:tc>
                <w:tcPr>
                  <w:tcW w:w="688" w:type="dxa"/>
                  <w:noWrap w:val="0"/>
                  <w:vAlign w:val="bottom"/>
                </w:tcPr>
                <w:p w14:paraId="1694507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54</w:t>
                  </w:r>
                </w:p>
              </w:tc>
              <w:tc>
                <w:tcPr>
                  <w:tcW w:w="535" w:type="dxa"/>
                  <w:noWrap w:val="0"/>
                  <w:vAlign w:val="center"/>
                </w:tcPr>
                <w:p w14:paraId="5FA76E5F">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noWrap w:val="0"/>
                  <w:vAlign w:val="center"/>
                </w:tcPr>
                <w:p w14:paraId="24C60FB3">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958" w:type="dxa"/>
                  <w:noWrap w:val="0"/>
                  <w:vAlign w:val="bottom"/>
                </w:tcPr>
                <w:p w14:paraId="67B64EE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34</w:t>
                  </w:r>
                </w:p>
              </w:tc>
              <w:tc>
                <w:tcPr>
                  <w:tcW w:w="387" w:type="pct"/>
                  <w:noWrap w:val="0"/>
                  <w:vAlign w:val="center"/>
                </w:tcPr>
                <w:p w14:paraId="7B3D9FBC">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1m</w:t>
                  </w:r>
                </w:p>
              </w:tc>
            </w:tr>
            <w:tr w14:paraId="4EC882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1" w:type="pct"/>
                  <w:noWrap w:val="0"/>
                  <w:vAlign w:val="center"/>
                </w:tcPr>
                <w:p w14:paraId="7AD4A056">
                  <w:pPr>
                    <w:adjustRightInd w:val="0"/>
                    <w:snapToGrid w:val="0"/>
                    <w:ind w:left="-105" w:leftChars="-50" w:right="-105" w:rightChars="-5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211" w:type="pct"/>
                  <w:vMerge w:val="continue"/>
                  <w:noWrap w:val="0"/>
                  <w:vAlign w:val="center"/>
                </w:tcPr>
                <w:p w14:paraId="1CAD12FA">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5E346F01">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焊接机</w:t>
                  </w:r>
                </w:p>
              </w:tc>
              <w:tc>
                <w:tcPr>
                  <w:tcW w:w="346" w:type="pct"/>
                  <w:noWrap w:val="0"/>
                  <w:vAlign w:val="center"/>
                </w:tcPr>
                <w:p w14:paraId="6A205D4F">
                  <w:pPr>
                    <w:widowControl/>
                    <w:adjustRightInd w:val="0"/>
                    <w:snapToGrid w:val="0"/>
                    <w:ind w:left="-105" w:leftChars="-50" w:right="-105" w:rightChars="-5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30" w:type="pct"/>
                  <w:noWrap w:val="0"/>
                  <w:vAlign w:val="center"/>
                </w:tcPr>
                <w:p w14:paraId="5FEBD49B">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35</w:t>
                  </w:r>
                </w:p>
              </w:tc>
              <w:tc>
                <w:tcPr>
                  <w:tcW w:w="552" w:type="pct"/>
                  <w:noWrap w:val="0"/>
                  <w:vAlign w:val="center"/>
                </w:tcPr>
                <w:p w14:paraId="1C05E4C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2" w:type="pct"/>
                  <w:vMerge w:val="continue"/>
                  <w:noWrap w:val="0"/>
                  <w:vAlign w:val="center"/>
                </w:tcPr>
                <w:p w14:paraId="7CD3D6B2">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shd w:val="clear" w:color="auto" w:fill="auto"/>
                  <w:noWrap w:val="0"/>
                  <w:vAlign w:val="center"/>
                </w:tcPr>
                <w:p w14:paraId="74729CBD">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20</w:t>
                  </w:r>
                </w:p>
              </w:tc>
              <w:tc>
                <w:tcPr>
                  <w:tcW w:w="556" w:type="dxa"/>
                  <w:shd w:val="clear" w:color="auto" w:fill="auto"/>
                  <w:noWrap w:val="0"/>
                  <w:vAlign w:val="center"/>
                </w:tcPr>
                <w:p w14:paraId="3B969536">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27</w:t>
                  </w:r>
                </w:p>
              </w:tc>
              <w:tc>
                <w:tcPr>
                  <w:tcW w:w="614" w:type="dxa"/>
                  <w:shd w:val="clear" w:color="auto" w:fill="auto"/>
                  <w:noWrap w:val="0"/>
                  <w:vAlign w:val="center"/>
                </w:tcPr>
                <w:p w14:paraId="22649191">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693" w:type="dxa"/>
                  <w:shd w:val="clear" w:color="auto" w:fill="auto"/>
                  <w:noWrap w:val="0"/>
                  <w:vAlign w:val="center"/>
                </w:tcPr>
                <w:p w14:paraId="669FD635">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27</w:t>
                  </w:r>
                </w:p>
              </w:tc>
              <w:tc>
                <w:tcPr>
                  <w:tcW w:w="688" w:type="dxa"/>
                  <w:shd w:val="clear" w:color="auto" w:fill="auto"/>
                  <w:noWrap w:val="0"/>
                  <w:vAlign w:val="center"/>
                </w:tcPr>
                <w:p w14:paraId="7B70869C">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69</w:t>
                  </w:r>
                </w:p>
              </w:tc>
              <w:tc>
                <w:tcPr>
                  <w:tcW w:w="535" w:type="dxa"/>
                  <w:shd w:val="clear" w:color="auto" w:fill="auto"/>
                  <w:noWrap w:val="0"/>
                  <w:vAlign w:val="center"/>
                </w:tcPr>
                <w:p w14:paraId="13B159A2">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shd w:val="clear" w:color="auto" w:fill="auto"/>
                  <w:noWrap w:val="0"/>
                  <w:vAlign w:val="center"/>
                </w:tcPr>
                <w:p w14:paraId="5DE4948F">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20</w:t>
                  </w:r>
                </w:p>
              </w:tc>
              <w:tc>
                <w:tcPr>
                  <w:tcW w:w="958" w:type="dxa"/>
                  <w:shd w:val="clear" w:color="auto" w:fill="auto"/>
                  <w:noWrap w:val="0"/>
                  <w:vAlign w:val="center"/>
                </w:tcPr>
                <w:p w14:paraId="35FC485D">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49</w:t>
                  </w:r>
                </w:p>
              </w:tc>
              <w:tc>
                <w:tcPr>
                  <w:tcW w:w="387" w:type="pct"/>
                  <w:shd w:val="clear" w:color="auto" w:fill="auto"/>
                  <w:noWrap w:val="0"/>
                  <w:vAlign w:val="center"/>
                </w:tcPr>
                <w:p w14:paraId="167F23E8">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1m</w:t>
                  </w:r>
                </w:p>
              </w:tc>
            </w:tr>
            <w:tr w14:paraId="69025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1" w:type="pct"/>
                  <w:noWrap w:val="0"/>
                  <w:vAlign w:val="center"/>
                </w:tcPr>
                <w:p w14:paraId="76E39FC6">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211" w:type="pct"/>
                  <w:vMerge w:val="continue"/>
                  <w:noWrap w:val="0"/>
                  <w:vAlign w:val="center"/>
                </w:tcPr>
                <w:p w14:paraId="65597D43">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3CADED2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磨光机</w:t>
                  </w:r>
                </w:p>
              </w:tc>
              <w:tc>
                <w:tcPr>
                  <w:tcW w:w="346" w:type="pct"/>
                  <w:noWrap w:val="0"/>
                  <w:vAlign w:val="center"/>
                </w:tcPr>
                <w:p w14:paraId="76392766">
                  <w:pPr>
                    <w:widowControl/>
                    <w:adjustRightInd w:val="0"/>
                    <w:snapToGrid w:val="0"/>
                    <w:ind w:left="-105" w:leftChars="-50" w:right="-105" w:rightChars="-5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30" w:type="pct"/>
                  <w:noWrap w:val="0"/>
                  <w:vAlign w:val="center"/>
                </w:tcPr>
                <w:p w14:paraId="73DE08B1">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552" w:type="pct"/>
                  <w:noWrap w:val="0"/>
                  <w:vAlign w:val="center"/>
                </w:tcPr>
                <w:p w14:paraId="46D6564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2" w:type="pct"/>
                  <w:vMerge w:val="continue"/>
                  <w:noWrap w:val="0"/>
                  <w:vAlign w:val="center"/>
                </w:tcPr>
                <w:p w14:paraId="013371E4">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shd w:val="clear" w:color="auto" w:fill="auto"/>
                  <w:noWrap w:val="0"/>
                  <w:vAlign w:val="center"/>
                </w:tcPr>
                <w:p w14:paraId="0410B7DA">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79</w:t>
                  </w:r>
                </w:p>
              </w:tc>
              <w:tc>
                <w:tcPr>
                  <w:tcW w:w="556" w:type="dxa"/>
                  <w:shd w:val="clear" w:color="auto" w:fill="auto"/>
                  <w:noWrap w:val="0"/>
                  <w:vAlign w:val="center"/>
                </w:tcPr>
                <w:p w14:paraId="4D12915F">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47</w:t>
                  </w:r>
                </w:p>
              </w:tc>
              <w:tc>
                <w:tcPr>
                  <w:tcW w:w="614" w:type="dxa"/>
                  <w:shd w:val="clear" w:color="auto" w:fill="auto"/>
                  <w:noWrap w:val="0"/>
                  <w:vAlign w:val="center"/>
                </w:tcPr>
                <w:p w14:paraId="6D45BFEF">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1</w:t>
                  </w:r>
                </w:p>
              </w:tc>
              <w:tc>
                <w:tcPr>
                  <w:tcW w:w="693" w:type="dxa"/>
                  <w:shd w:val="clear" w:color="auto" w:fill="auto"/>
                  <w:noWrap w:val="0"/>
                  <w:vAlign w:val="center"/>
                </w:tcPr>
                <w:p w14:paraId="5E9008E9">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10</w:t>
                  </w:r>
                </w:p>
              </w:tc>
              <w:tc>
                <w:tcPr>
                  <w:tcW w:w="688" w:type="dxa"/>
                  <w:shd w:val="clear" w:color="auto" w:fill="auto"/>
                  <w:noWrap w:val="0"/>
                  <w:vAlign w:val="center"/>
                </w:tcPr>
                <w:p w14:paraId="160B9FB0">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66</w:t>
                  </w:r>
                </w:p>
              </w:tc>
              <w:tc>
                <w:tcPr>
                  <w:tcW w:w="535" w:type="dxa"/>
                  <w:shd w:val="clear" w:color="auto" w:fill="auto"/>
                  <w:noWrap w:val="0"/>
                  <w:vAlign w:val="center"/>
                </w:tcPr>
                <w:p w14:paraId="13ABC895">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shd w:val="clear" w:color="auto" w:fill="auto"/>
                  <w:noWrap w:val="0"/>
                  <w:vAlign w:val="center"/>
                </w:tcPr>
                <w:p w14:paraId="4A759DAA">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20</w:t>
                  </w:r>
                </w:p>
              </w:tc>
              <w:tc>
                <w:tcPr>
                  <w:tcW w:w="958" w:type="dxa"/>
                  <w:shd w:val="clear" w:color="auto" w:fill="auto"/>
                  <w:noWrap w:val="0"/>
                  <w:vAlign w:val="center"/>
                </w:tcPr>
                <w:p w14:paraId="2DCBE1B0">
                  <w:pPr>
                    <w:keepNext w:val="0"/>
                    <w:keepLines w:val="0"/>
                    <w:widowControl/>
                    <w:suppressLineNumbers w:val="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46</w:t>
                  </w:r>
                </w:p>
              </w:tc>
              <w:tc>
                <w:tcPr>
                  <w:tcW w:w="387" w:type="pct"/>
                  <w:shd w:val="clear" w:color="auto" w:fill="auto"/>
                  <w:noWrap w:val="0"/>
                  <w:vAlign w:val="center"/>
                </w:tcPr>
                <w:p w14:paraId="58857192">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1m</w:t>
                  </w:r>
                </w:p>
              </w:tc>
            </w:tr>
            <w:tr w14:paraId="359CDB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1" w:type="pct"/>
                  <w:noWrap w:val="0"/>
                  <w:vAlign w:val="center"/>
                </w:tcPr>
                <w:p w14:paraId="7EFB26F4">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211" w:type="pct"/>
                  <w:vMerge w:val="continue"/>
                  <w:noWrap w:val="0"/>
                  <w:vAlign w:val="center"/>
                </w:tcPr>
                <w:p w14:paraId="53A880D4">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noWrap w:val="0"/>
                  <w:vAlign w:val="center"/>
                </w:tcPr>
                <w:p w14:paraId="45C2843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喷砂机</w:t>
                  </w:r>
                </w:p>
              </w:tc>
              <w:tc>
                <w:tcPr>
                  <w:tcW w:w="346" w:type="pct"/>
                  <w:noWrap w:val="0"/>
                  <w:vAlign w:val="center"/>
                </w:tcPr>
                <w:p w14:paraId="4C16058F">
                  <w:pPr>
                    <w:widowControl/>
                    <w:adjustRightInd w:val="0"/>
                    <w:snapToGrid w:val="0"/>
                    <w:ind w:left="-105" w:leftChars="-50" w:right="-105" w:rightChars="-5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230" w:type="pct"/>
                  <w:noWrap w:val="0"/>
                  <w:vAlign w:val="center"/>
                </w:tcPr>
                <w:p w14:paraId="55105B23">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552" w:type="pct"/>
                  <w:noWrap w:val="0"/>
                  <w:vAlign w:val="center"/>
                </w:tcPr>
                <w:p w14:paraId="305DF79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2" w:type="pct"/>
                  <w:vMerge w:val="continue"/>
                  <w:noWrap w:val="0"/>
                  <w:vAlign w:val="center"/>
                </w:tcPr>
                <w:p w14:paraId="4F2FC3F4">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shd w:val="clear" w:color="auto" w:fill="auto"/>
                  <w:noWrap w:val="0"/>
                  <w:vAlign w:val="center"/>
                </w:tcPr>
                <w:p w14:paraId="7B5D4245">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61</w:t>
                  </w:r>
                </w:p>
              </w:tc>
              <w:tc>
                <w:tcPr>
                  <w:tcW w:w="556" w:type="dxa"/>
                  <w:shd w:val="clear" w:color="auto" w:fill="auto"/>
                  <w:noWrap w:val="0"/>
                  <w:vAlign w:val="center"/>
                </w:tcPr>
                <w:p w14:paraId="46225CEF">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51</w:t>
                  </w:r>
                </w:p>
              </w:tc>
              <w:tc>
                <w:tcPr>
                  <w:tcW w:w="614" w:type="dxa"/>
                  <w:shd w:val="clear" w:color="auto" w:fill="auto"/>
                  <w:noWrap w:val="0"/>
                  <w:vAlign w:val="center"/>
                </w:tcPr>
                <w:p w14:paraId="0D03C090">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1</w:t>
                  </w:r>
                </w:p>
              </w:tc>
              <w:tc>
                <w:tcPr>
                  <w:tcW w:w="693" w:type="dxa"/>
                  <w:shd w:val="clear" w:color="auto" w:fill="auto"/>
                  <w:noWrap w:val="0"/>
                  <w:vAlign w:val="center"/>
                </w:tcPr>
                <w:p w14:paraId="3A46C304">
                  <w:pPr>
                    <w:adjustRightInd w:val="0"/>
                    <w:snapToGrid w:val="0"/>
                    <w:ind w:left="-105" w:leftChars="-50" w:right="-105" w:rightChars="-50"/>
                    <w:jc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6</w:t>
                  </w:r>
                </w:p>
              </w:tc>
              <w:tc>
                <w:tcPr>
                  <w:tcW w:w="688" w:type="dxa"/>
                  <w:shd w:val="clear" w:color="auto" w:fill="auto"/>
                  <w:noWrap w:val="0"/>
                  <w:vAlign w:val="center"/>
                </w:tcPr>
                <w:p w14:paraId="7994DC29">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64</w:t>
                  </w:r>
                </w:p>
              </w:tc>
              <w:tc>
                <w:tcPr>
                  <w:tcW w:w="535" w:type="dxa"/>
                  <w:shd w:val="clear" w:color="auto" w:fill="auto"/>
                  <w:noWrap w:val="0"/>
                  <w:vAlign w:val="center"/>
                </w:tcPr>
                <w:p w14:paraId="3189CB28">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shd w:val="clear" w:color="auto" w:fill="auto"/>
                  <w:noWrap w:val="0"/>
                  <w:vAlign w:val="center"/>
                </w:tcPr>
                <w:p w14:paraId="0D081EA1">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20</w:t>
                  </w:r>
                </w:p>
              </w:tc>
              <w:tc>
                <w:tcPr>
                  <w:tcW w:w="958" w:type="dxa"/>
                  <w:shd w:val="clear" w:color="auto" w:fill="auto"/>
                  <w:noWrap w:val="0"/>
                  <w:vAlign w:val="center"/>
                </w:tcPr>
                <w:p w14:paraId="40666B39">
                  <w:pPr>
                    <w:keepNext w:val="0"/>
                    <w:keepLines w:val="0"/>
                    <w:widowControl/>
                    <w:suppressLineNumbers w:val="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w:t>
                  </w:r>
                </w:p>
              </w:tc>
              <w:tc>
                <w:tcPr>
                  <w:tcW w:w="387" w:type="pct"/>
                  <w:shd w:val="clear" w:color="auto" w:fill="auto"/>
                  <w:noWrap w:val="0"/>
                  <w:vAlign w:val="center"/>
                </w:tcPr>
                <w:p w14:paraId="390ACA45">
                  <w:pPr>
                    <w:adjustRightInd w:val="0"/>
                    <w:snapToGrid w:val="0"/>
                    <w:ind w:left="-105" w:leftChars="-50" w:right="-105" w:rightChars="-5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rPr>
                    <w:t>1m</w:t>
                  </w:r>
                </w:p>
              </w:tc>
            </w:tr>
            <w:tr w14:paraId="454A5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noWrap w:val="0"/>
                  <w:vAlign w:val="center"/>
                </w:tcPr>
                <w:p w14:paraId="6F2FF7AB">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211" w:type="pct"/>
                  <w:vMerge w:val="continue"/>
                  <w:noWrap w:val="0"/>
                  <w:vAlign w:val="center"/>
                </w:tcPr>
                <w:p w14:paraId="1A46851F">
                  <w:pPr>
                    <w:adjustRightInd w:val="0"/>
                    <w:snapToGrid w:val="0"/>
                    <w:ind w:left="-105" w:leftChars="-50" w:right="-105" w:rightChars="-50"/>
                    <w:jc w:val="center"/>
                    <w:rPr>
                      <w:rFonts w:hint="default" w:ascii="Times New Roman" w:hAnsi="Times New Roman" w:eastAsia="宋体" w:cs="Times New Roman"/>
                      <w:color w:val="auto"/>
                      <w:highlight w:val="none"/>
                      <w:lang w:eastAsia="zh-CN"/>
                    </w:rPr>
                  </w:pPr>
                </w:p>
              </w:tc>
              <w:tc>
                <w:tcPr>
                  <w:tcW w:w="584" w:type="pct"/>
                  <w:shd w:val="clear" w:color="auto" w:fill="auto"/>
                  <w:noWrap w:val="0"/>
                  <w:vAlign w:val="center"/>
                </w:tcPr>
                <w:p w14:paraId="67E6A39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全自动前处理线</w:t>
                  </w:r>
                </w:p>
              </w:tc>
              <w:tc>
                <w:tcPr>
                  <w:tcW w:w="346" w:type="pct"/>
                  <w:shd w:val="clear" w:color="auto" w:fill="auto"/>
                  <w:noWrap w:val="0"/>
                  <w:vAlign w:val="center"/>
                </w:tcPr>
                <w:p w14:paraId="58B4B6C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定制</w:t>
                  </w:r>
                </w:p>
              </w:tc>
              <w:tc>
                <w:tcPr>
                  <w:tcW w:w="230" w:type="pct"/>
                  <w:noWrap w:val="0"/>
                  <w:vAlign w:val="center"/>
                </w:tcPr>
                <w:p w14:paraId="6D060751">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552" w:type="pct"/>
                  <w:noWrap w:val="0"/>
                  <w:vAlign w:val="center"/>
                </w:tcPr>
                <w:p w14:paraId="0EF4892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2" w:type="pct"/>
                  <w:vMerge w:val="continue"/>
                  <w:noWrap w:val="0"/>
                  <w:vAlign w:val="center"/>
                </w:tcPr>
                <w:p w14:paraId="5125F179">
                  <w:pPr>
                    <w:adjustRightInd w:val="0"/>
                    <w:snapToGrid w:val="0"/>
                    <w:ind w:left="-105" w:leftChars="-50" w:right="-105" w:rightChars="-50"/>
                    <w:jc w:val="center"/>
                    <w:rPr>
                      <w:rFonts w:hint="default" w:ascii="Times New Roman" w:hAnsi="Times New Roman" w:eastAsia="宋体" w:cs="Times New Roman"/>
                      <w:bCs/>
                      <w:color w:val="auto"/>
                      <w:szCs w:val="20"/>
                      <w:highlight w:val="none"/>
                    </w:rPr>
                  </w:pPr>
                </w:p>
              </w:tc>
              <w:tc>
                <w:tcPr>
                  <w:tcW w:w="556" w:type="dxa"/>
                  <w:noWrap w:val="0"/>
                  <w:vAlign w:val="center"/>
                </w:tcPr>
                <w:p w14:paraId="76F74DEA">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556" w:type="dxa"/>
                  <w:noWrap w:val="0"/>
                  <w:vAlign w:val="center"/>
                </w:tcPr>
                <w:p w14:paraId="0BE03FB7">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w:t>
                  </w:r>
                </w:p>
              </w:tc>
              <w:tc>
                <w:tcPr>
                  <w:tcW w:w="614" w:type="dxa"/>
                  <w:noWrap w:val="0"/>
                  <w:vAlign w:val="center"/>
                </w:tcPr>
                <w:p w14:paraId="5AB2C207">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93" w:type="dxa"/>
                  <w:noWrap w:val="0"/>
                  <w:vAlign w:val="center"/>
                </w:tcPr>
                <w:p w14:paraId="548F09BB">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688" w:type="dxa"/>
                  <w:noWrap w:val="0"/>
                  <w:vAlign w:val="center"/>
                </w:tcPr>
                <w:p w14:paraId="796F90D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66</w:t>
                  </w:r>
                </w:p>
              </w:tc>
              <w:tc>
                <w:tcPr>
                  <w:tcW w:w="535" w:type="dxa"/>
                  <w:noWrap w:val="0"/>
                  <w:vAlign w:val="center"/>
                </w:tcPr>
                <w:p w14:paraId="52B84AD2">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w:t>
                  </w:r>
                </w:p>
              </w:tc>
              <w:tc>
                <w:tcPr>
                  <w:tcW w:w="958" w:type="dxa"/>
                  <w:noWrap w:val="0"/>
                  <w:vAlign w:val="center"/>
                </w:tcPr>
                <w:p w14:paraId="25993332">
                  <w:pPr>
                    <w:adjustRightInd w:val="0"/>
                    <w:snapToGrid w:val="0"/>
                    <w:ind w:left="-105" w:leftChars="-50" w:right="-105" w:rightChars="-5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958" w:type="dxa"/>
                  <w:noWrap w:val="0"/>
                  <w:vAlign w:val="center"/>
                </w:tcPr>
                <w:p w14:paraId="0D8A7F2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46</w:t>
                  </w:r>
                </w:p>
              </w:tc>
              <w:tc>
                <w:tcPr>
                  <w:tcW w:w="387" w:type="pct"/>
                  <w:noWrap w:val="0"/>
                  <w:vAlign w:val="center"/>
                </w:tcPr>
                <w:p w14:paraId="0CFE462D">
                  <w:pPr>
                    <w:adjustRightInd w:val="0"/>
                    <w:snapToGrid w:val="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1m</w:t>
                  </w:r>
                </w:p>
              </w:tc>
            </w:tr>
          </w:tbl>
          <w:p w14:paraId="0539D30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 xml:space="preserve">21 </w:t>
            </w: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lang w:val="en-US" w:eastAsia="zh-CN"/>
              </w:rPr>
              <w:t>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1291"/>
              <w:gridCol w:w="841"/>
              <w:gridCol w:w="1074"/>
              <w:gridCol w:w="1074"/>
              <w:gridCol w:w="1090"/>
              <w:gridCol w:w="1761"/>
              <w:gridCol w:w="1820"/>
              <w:gridCol w:w="1793"/>
              <w:gridCol w:w="1785"/>
            </w:tblGrid>
            <w:tr w14:paraId="5667DDC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vMerge w:val="restart"/>
                  <w:tcBorders>
                    <w:tl2br w:val="nil"/>
                    <w:tr2bl w:val="nil"/>
                  </w:tcBorders>
                  <w:vAlign w:val="center"/>
                </w:tcPr>
                <w:p w14:paraId="1EC4F2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序号</w:t>
                  </w:r>
                </w:p>
              </w:tc>
              <w:tc>
                <w:tcPr>
                  <w:tcW w:w="488" w:type="pct"/>
                  <w:vMerge w:val="restart"/>
                  <w:tcBorders>
                    <w:tl2br w:val="nil"/>
                    <w:tr2bl w:val="nil"/>
                  </w:tcBorders>
                  <w:vAlign w:val="center"/>
                </w:tcPr>
                <w:p w14:paraId="47FBF1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highlight w:val="none"/>
                      <w:lang w:val="en-US" w:eastAsia="zh-CN"/>
                    </w:rPr>
                    <w:t>声源名称</w:t>
                  </w:r>
                </w:p>
              </w:tc>
              <w:tc>
                <w:tcPr>
                  <w:tcW w:w="318" w:type="pct"/>
                  <w:vMerge w:val="restart"/>
                  <w:tcBorders>
                    <w:tl2br w:val="nil"/>
                    <w:tr2bl w:val="nil"/>
                  </w:tcBorders>
                  <w:vAlign w:val="center"/>
                </w:tcPr>
                <w:p w14:paraId="08D451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数量</w:t>
                  </w:r>
                </w:p>
              </w:tc>
              <w:tc>
                <w:tcPr>
                  <w:tcW w:w="1224" w:type="pct"/>
                  <w:gridSpan w:val="3"/>
                  <w:tcBorders>
                    <w:tl2br w:val="nil"/>
                    <w:tr2bl w:val="nil"/>
                  </w:tcBorders>
                  <w:vAlign w:val="center"/>
                </w:tcPr>
                <w:p w14:paraId="775C10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空间相对位置/m</w:t>
                  </w:r>
                </w:p>
              </w:tc>
              <w:tc>
                <w:tcPr>
                  <w:tcW w:w="666" w:type="pct"/>
                  <w:vMerge w:val="restart"/>
                  <w:tcBorders>
                    <w:tl2br w:val="nil"/>
                    <w:tr2bl w:val="nil"/>
                  </w:tcBorders>
                  <w:vAlign w:val="center"/>
                </w:tcPr>
                <w:p w14:paraId="46F4A9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单台声功率级dB（A）</w:t>
                  </w:r>
                </w:p>
              </w:tc>
              <w:tc>
                <w:tcPr>
                  <w:tcW w:w="688" w:type="pct"/>
                  <w:vMerge w:val="restart"/>
                  <w:tcBorders>
                    <w:tl2br w:val="nil"/>
                    <w:tr2bl w:val="nil"/>
                  </w:tcBorders>
                  <w:vAlign w:val="center"/>
                </w:tcPr>
                <w:p w14:paraId="0F4D7C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声源控制</w:t>
                  </w:r>
                </w:p>
                <w:p w14:paraId="68103B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措施</w:t>
                  </w:r>
                </w:p>
              </w:tc>
              <w:tc>
                <w:tcPr>
                  <w:tcW w:w="1786" w:type="dxa"/>
                  <w:vMerge w:val="restart"/>
                  <w:tcBorders>
                    <w:tl2br w:val="nil"/>
                    <w:tr2bl w:val="nil"/>
                  </w:tcBorders>
                  <w:vAlign w:val="center"/>
                </w:tcPr>
                <w:p w14:paraId="68765C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color w:val="auto"/>
                      <w:sz w:val="21"/>
                      <w:szCs w:val="21"/>
                      <w:highlight w:val="none"/>
                      <w:lang w:val="en-US" w:eastAsia="zh-CN"/>
                    </w:rPr>
                    <w:t>噪声防治措施效果</w:t>
                  </w:r>
                  <w:r>
                    <w:rPr>
                      <w:rFonts w:hint="default" w:ascii="Times New Roman" w:hAnsi="Times New Roman" w:eastAsia="宋体" w:cs="Times New Roman"/>
                      <w:b/>
                      <w:color w:val="auto"/>
                      <w:sz w:val="21"/>
                      <w:szCs w:val="21"/>
                      <w:highlight w:val="none"/>
                    </w:rPr>
                    <w:t>/dB(A)</w:t>
                  </w:r>
                </w:p>
              </w:tc>
              <w:tc>
                <w:tcPr>
                  <w:tcW w:w="675" w:type="pct"/>
                  <w:vMerge w:val="restart"/>
                  <w:tcBorders>
                    <w:tl2br w:val="nil"/>
                    <w:tr2bl w:val="nil"/>
                  </w:tcBorders>
                  <w:vAlign w:val="center"/>
                </w:tcPr>
                <w:p w14:paraId="5E7F75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运行时段</w:t>
                  </w:r>
                </w:p>
              </w:tc>
            </w:tr>
            <w:tr w14:paraId="33BBAA4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vMerge w:val="continue"/>
                  <w:tcBorders>
                    <w:tl2br w:val="nil"/>
                    <w:tr2bl w:val="nil"/>
                  </w:tcBorders>
                  <w:vAlign w:val="center"/>
                </w:tcPr>
                <w:p w14:paraId="7906B6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488" w:type="pct"/>
                  <w:vMerge w:val="continue"/>
                  <w:tcBorders>
                    <w:tl2br w:val="nil"/>
                    <w:tr2bl w:val="nil"/>
                  </w:tcBorders>
                  <w:vAlign w:val="center"/>
                </w:tcPr>
                <w:p w14:paraId="0347E4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318" w:type="pct"/>
                  <w:vMerge w:val="continue"/>
                  <w:tcBorders>
                    <w:tl2br w:val="nil"/>
                    <w:tr2bl w:val="nil"/>
                  </w:tcBorders>
                  <w:vAlign w:val="center"/>
                </w:tcPr>
                <w:p w14:paraId="0977A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p>
              </w:tc>
              <w:tc>
                <w:tcPr>
                  <w:tcW w:w="406" w:type="pct"/>
                  <w:tcBorders>
                    <w:tl2br w:val="nil"/>
                    <w:tr2bl w:val="nil"/>
                  </w:tcBorders>
                  <w:vAlign w:val="center"/>
                </w:tcPr>
                <w:p w14:paraId="159A6A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X</w:t>
                  </w:r>
                </w:p>
              </w:tc>
              <w:tc>
                <w:tcPr>
                  <w:tcW w:w="406" w:type="pct"/>
                  <w:tcBorders>
                    <w:tl2br w:val="nil"/>
                    <w:tr2bl w:val="nil"/>
                  </w:tcBorders>
                  <w:vAlign w:val="center"/>
                </w:tcPr>
                <w:p w14:paraId="27E6B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Y</w:t>
                  </w:r>
                </w:p>
              </w:tc>
              <w:tc>
                <w:tcPr>
                  <w:tcW w:w="412" w:type="pct"/>
                  <w:tcBorders>
                    <w:tl2br w:val="nil"/>
                    <w:tr2bl w:val="nil"/>
                  </w:tcBorders>
                  <w:vAlign w:val="center"/>
                </w:tcPr>
                <w:p w14:paraId="6CE3B0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Z</w:t>
                  </w:r>
                </w:p>
              </w:tc>
              <w:tc>
                <w:tcPr>
                  <w:tcW w:w="666" w:type="pct"/>
                  <w:vMerge w:val="continue"/>
                  <w:tcBorders>
                    <w:tl2br w:val="nil"/>
                    <w:tr2bl w:val="nil"/>
                  </w:tcBorders>
                  <w:vAlign w:val="center"/>
                </w:tcPr>
                <w:p w14:paraId="3A6C2D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p>
              </w:tc>
              <w:tc>
                <w:tcPr>
                  <w:tcW w:w="688" w:type="pct"/>
                  <w:vMerge w:val="continue"/>
                  <w:tcBorders>
                    <w:tl2br w:val="nil"/>
                    <w:tr2bl w:val="nil"/>
                  </w:tcBorders>
                  <w:vAlign w:val="center"/>
                </w:tcPr>
                <w:p w14:paraId="3F3C4F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p>
              </w:tc>
              <w:tc>
                <w:tcPr>
                  <w:tcW w:w="675" w:type="pct"/>
                  <w:vMerge w:val="continue"/>
                  <w:tcBorders>
                    <w:tl2br w:val="nil"/>
                    <w:tr2bl w:val="nil"/>
                  </w:tcBorders>
                  <w:vAlign w:val="center"/>
                </w:tcPr>
                <w:p w14:paraId="26B31B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p>
              </w:tc>
              <w:tc>
                <w:tcPr>
                  <w:tcW w:w="675" w:type="pct"/>
                  <w:vMerge w:val="continue"/>
                  <w:tcBorders>
                    <w:tl2br w:val="nil"/>
                    <w:tr2bl w:val="nil"/>
                  </w:tcBorders>
                  <w:vAlign w:val="center"/>
                </w:tcPr>
                <w:p w14:paraId="2CF5A5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p>
              </w:tc>
            </w:tr>
            <w:tr w14:paraId="396289E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14:paraId="3DEC8E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88" w:type="pct"/>
                  <w:tcBorders>
                    <w:tl2br w:val="nil"/>
                    <w:tr2bl w:val="nil"/>
                  </w:tcBorders>
                  <w:vAlign w:val="center"/>
                </w:tcPr>
                <w:p w14:paraId="1F1993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空压机</w:t>
                  </w:r>
                </w:p>
              </w:tc>
              <w:tc>
                <w:tcPr>
                  <w:tcW w:w="318" w:type="pct"/>
                  <w:tcBorders>
                    <w:tl2br w:val="nil"/>
                    <w:tr2bl w:val="nil"/>
                  </w:tcBorders>
                  <w:vAlign w:val="center"/>
                </w:tcPr>
                <w:p w14:paraId="4E4874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4</w:t>
                  </w:r>
                </w:p>
              </w:tc>
              <w:tc>
                <w:tcPr>
                  <w:tcW w:w="406" w:type="pct"/>
                  <w:tcBorders>
                    <w:tl2br w:val="nil"/>
                    <w:tr2bl w:val="nil"/>
                  </w:tcBorders>
                  <w:vAlign w:val="center"/>
                </w:tcPr>
                <w:p w14:paraId="30E670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63</w:t>
                  </w:r>
                </w:p>
              </w:tc>
              <w:tc>
                <w:tcPr>
                  <w:tcW w:w="406" w:type="pct"/>
                  <w:tcBorders>
                    <w:tl2br w:val="nil"/>
                    <w:tr2bl w:val="nil"/>
                  </w:tcBorders>
                  <w:vAlign w:val="center"/>
                </w:tcPr>
                <w:p w14:paraId="413FED3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w:t>
                  </w:r>
                </w:p>
              </w:tc>
              <w:tc>
                <w:tcPr>
                  <w:tcW w:w="412" w:type="pct"/>
                  <w:tcBorders>
                    <w:tl2br w:val="nil"/>
                    <w:tr2bl w:val="nil"/>
                  </w:tcBorders>
                  <w:vAlign w:val="center"/>
                </w:tcPr>
                <w:p w14:paraId="1F8213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w:t>
                  </w:r>
                </w:p>
              </w:tc>
              <w:tc>
                <w:tcPr>
                  <w:tcW w:w="666" w:type="pct"/>
                  <w:tcBorders>
                    <w:tl2br w:val="nil"/>
                    <w:tr2bl w:val="nil"/>
                  </w:tcBorders>
                  <w:vAlign w:val="center"/>
                </w:tcPr>
                <w:p w14:paraId="5AC37D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lang w:val="en-US" w:eastAsia="zh-CN"/>
                    </w:rPr>
                    <w:t>85</w:t>
                  </w:r>
                </w:p>
              </w:tc>
              <w:tc>
                <w:tcPr>
                  <w:tcW w:w="688" w:type="pct"/>
                  <w:tcBorders>
                    <w:tl2br w:val="nil"/>
                    <w:tr2bl w:val="nil"/>
                  </w:tcBorders>
                  <w:vAlign w:val="center"/>
                </w:tcPr>
                <w:p w14:paraId="12B7F4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Cs/>
                      <w:color w:val="auto"/>
                      <w:szCs w:val="20"/>
                      <w:highlight w:val="none"/>
                    </w:rPr>
                    <w:t>减振</w:t>
                  </w:r>
                </w:p>
              </w:tc>
              <w:tc>
                <w:tcPr>
                  <w:tcW w:w="1786" w:type="dxa"/>
                  <w:tcBorders>
                    <w:tl2br w:val="nil"/>
                    <w:tr2bl w:val="nil"/>
                  </w:tcBorders>
                  <w:vAlign w:val="center"/>
                </w:tcPr>
                <w:p w14:paraId="63B9F4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rPr>
                  </w:pPr>
                  <w:r>
                    <w:rPr>
                      <w:rFonts w:hint="eastAsia" w:ascii="Times New Roman" w:hAnsi="Times New Roman" w:eastAsia="宋体" w:cs="Times New Roman"/>
                      <w:bCs/>
                      <w:color w:val="auto"/>
                      <w:sz w:val="21"/>
                      <w:szCs w:val="21"/>
                      <w:highlight w:val="none"/>
                      <w:lang w:val="en-US" w:eastAsia="zh-CN"/>
                    </w:rPr>
                    <w:t>20</w:t>
                  </w:r>
                </w:p>
              </w:tc>
              <w:tc>
                <w:tcPr>
                  <w:tcW w:w="675" w:type="pct"/>
                  <w:tcBorders>
                    <w:tl2br w:val="nil"/>
                    <w:tr2bl w:val="nil"/>
                  </w:tcBorders>
                  <w:vAlign w:val="center"/>
                </w:tcPr>
                <w:p w14:paraId="051FA8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工作时</w:t>
                  </w:r>
                </w:p>
              </w:tc>
            </w:tr>
            <w:tr w14:paraId="634395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14:paraId="4FAC63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488" w:type="pct"/>
                  <w:tcBorders>
                    <w:tl2br w:val="nil"/>
                    <w:tr2bl w:val="nil"/>
                  </w:tcBorders>
                  <w:vAlign w:val="center"/>
                </w:tcPr>
                <w:p w14:paraId="34B9A1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污水处理站</w:t>
                  </w:r>
                </w:p>
              </w:tc>
              <w:tc>
                <w:tcPr>
                  <w:tcW w:w="318" w:type="pct"/>
                  <w:tcBorders>
                    <w:tl2br w:val="nil"/>
                    <w:tr2bl w:val="nil"/>
                  </w:tcBorders>
                  <w:vAlign w:val="center"/>
                </w:tcPr>
                <w:p w14:paraId="397603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06" w:type="pct"/>
                  <w:tcBorders>
                    <w:tl2br w:val="nil"/>
                    <w:tr2bl w:val="nil"/>
                  </w:tcBorders>
                  <w:vAlign w:val="center"/>
                </w:tcPr>
                <w:p w14:paraId="7FE412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w:t>
                  </w:r>
                </w:p>
              </w:tc>
              <w:tc>
                <w:tcPr>
                  <w:tcW w:w="406" w:type="pct"/>
                  <w:tcBorders>
                    <w:tl2br w:val="nil"/>
                    <w:tr2bl w:val="nil"/>
                  </w:tcBorders>
                  <w:vAlign w:val="center"/>
                </w:tcPr>
                <w:p w14:paraId="67B3D6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23</w:t>
                  </w:r>
                </w:p>
              </w:tc>
              <w:tc>
                <w:tcPr>
                  <w:tcW w:w="412" w:type="pct"/>
                  <w:tcBorders>
                    <w:tl2br w:val="nil"/>
                    <w:tr2bl w:val="nil"/>
                  </w:tcBorders>
                  <w:vAlign w:val="center"/>
                </w:tcPr>
                <w:p w14:paraId="2F34BF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666" w:type="pct"/>
                  <w:tcBorders>
                    <w:tl2br w:val="nil"/>
                    <w:tr2bl w:val="nil"/>
                  </w:tcBorders>
                  <w:vAlign w:val="center"/>
                </w:tcPr>
                <w:p w14:paraId="17DCCD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w:t>
                  </w:r>
                </w:p>
              </w:tc>
              <w:tc>
                <w:tcPr>
                  <w:tcW w:w="688" w:type="pct"/>
                  <w:tcBorders>
                    <w:tl2br w:val="nil"/>
                    <w:tr2bl w:val="nil"/>
                  </w:tcBorders>
                  <w:shd w:val="clear" w:color="auto" w:fill="auto"/>
                  <w:vAlign w:val="center"/>
                </w:tcPr>
                <w:p w14:paraId="3854EC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bCs/>
                      <w:color w:val="auto"/>
                      <w:szCs w:val="20"/>
                      <w:highlight w:val="none"/>
                    </w:rPr>
                    <w:t>减振</w:t>
                  </w:r>
                </w:p>
              </w:tc>
              <w:tc>
                <w:tcPr>
                  <w:tcW w:w="1786" w:type="dxa"/>
                  <w:tcBorders>
                    <w:tl2br w:val="nil"/>
                    <w:tr2bl w:val="nil"/>
                  </w:tcBorders>
                  <w:shd w:val="clear" w:color="auto" w:fill="auto"/>
                  <w:vAlign w:val="center"/>
                </w:tcPr>
                <w:p w14:paraId="7B5DB4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rPr>
                  </w:pPr>
                  <w:r>
                    <w:rPr>
                      <w:rFonts w:hint="eastAsia" w:ascii="Times New Roman" w:hAnsi="Times New Roman" w:eastAsia="宋体" w:cs="Times New Roman"/>
                      <w:bCs/>
                      <w:color w:val="auto"/>
                      <w:sz w:val="21"/>
                      <w:szCs w:val="21"/>
                      <w:highlight w:val="none"/>
                      <w:lang w:val="en-US" w:eastAsia="zh-CN"/>
                    </w:rPr>
                    <w:t>20</w:t>
                  </w:r>
                </w:p>
              </w:tc>
              <w:tc>
                <w:tcPr>
                  <w:tcW w:w="675" w:type="pct"/>
                  <w:tcBorders>
                    <w:tl2br w:val="nil"/>
                    <w:tr2bl w:val="nil"/>
                  </w:tcBorders>
                  <w:shd w:val="clear" w:color="auto" w:fill="auto"/>
                  <w:vAlign w:val="center"/>
                </w:tcPr>
                <w:p w14:paraId="66C00C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工作时</w:t>
                  </w:r>
                </w:p>
              </w:tc>
            </w:tr>
            <w:tr w14:paraId="53FFEA6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14:paraId="6ABF68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488" w:type="pct"/>
                  <w:tcBorders>
                    <w:tl2br w:val="nil"/>
                    <w:tr2bl w:val="nil"/>
                  </w:tcBorders>
                  <w:vAlign w:val="center"/>
                </w:tcPr>
                <w:p w14:paraId="7FBF011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风机1</w:t>
                  </w:r>
                </w:p>
              </w:tc>
              <w:tc>
                <w:tcPr>
                  <w:tcW w:w="318" w:type="pct"/>
                  <w:tcBorders>
                    <w:tl2br w:val="nil"/>
                    <w:tr2bl w:val="nil"/>
                  </w:tcBorders>
                  <w:vAlign w:val="center"/>
                </w:tcPr>
                <w:p w14:paraId="32A996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06" w:type="pct"/>
                  <w:tcBorders>
                    <w:tl2br w:val="nil"/>
                    <w:tr2bl w:val="nil"/>
                  </w:tcBorders>
                  <w:vAlign w:val="center"/>
                </w:tcPr>
                <w:p w14:paraId="7DA1F7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406" w:type="pct"/>
                  <w:tcBorders>
                    <w:tl2br w:val="nil"/>
                    <w:tr2bl w:val="nil"/>
                  </w:tcBorders>
                  <w:vAlign w:val="center"/>
                </w:tcPr>
                <w:p w14:paraId="6D5471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42</w:t>
                  </w:r>
                </w:p>
              </w:tc>
              <w:tc>
                <w:tcPr>
                  <w:tcW w:w="412" w:type="pct"/>
                  <w:tcBorders>
                    <w:tl2br w:val="nil"/>
                    <w:tr2bl w:val="nil"/>
                  </w:tcBorders>
                  <w:vAlign w:val="center"/>
                </w:tcPr>
                <w:p w14:paraId="4F6AF3D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666" w:type="pct"/>
                  <w:tcBorders>
                    <w:tl2br w:val="nil"/>
                    <w:tr2bl w:val="nil"/>
                  </w:tcBorders>
                  <w:vAlign w:val="center"/>
                </w:tcPr>
                <w:p w14:paraId="40A69F3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w:t>
                  </w:r>
                </w:p>
              </w:tc>
              <w:tc>
                <w:tcPr>
                  <w:tcW w:w="688" w:type="pct"/>
                  <w:tcBorders>
                    <w:tl2br w:val="nil"/>
                    <w:tr2bl w:val="nil"/>
                  </w:tcBorders>
                  <w:shd w:val="clear" w:color="auto" w:fill="auto"/>
                  <w:vAlign w:val="center"/>
                </w:tcPr>
                <w:p w14:paraId="1758BE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Cs w:val="20"/>
                      <w:highlight w:val="none"/>
                    </w:rPr>
                  </w:pPr>
                  <w:r>
                    <w:rPr>
                      <w:rFonts w:hint="default" w:ascii="Times New Roman" w:hAnsi="Times New Roman" w:eastAsia="宋体" w:cs="Times New Roman"/>
                      <w:bCs/>
                      <w:color w:val="auto"/>
                      <w:szCs w:val="20"/>
                      <w:highlight w:val="none"/>
                    </w:rPr>
                    <w:t>减振</w:t>
                  </w:r>
                </w:p>
              </w:tc>
              <w:tc>
                <w:tcPr>
                  <w:tcW w:w="1786" w:type="dxa"/>
                  <w:tcBorders>
                    <w:tl2br w:val="nil"/>
                    <w:tr2bl w:val="nil"/>
                  </w:tcBorders>
                  <w:shd w:val="clear" w:color="auto" w:fill="auto"/>
                  <w:vAlign w:val="center"/>
                </w:tcPr>
                <w:p w14:paraId="7BC74B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rPr>
                  </w:pPr>
                  <w:r>
                    <w:rPr>
                      <w:rFonts w:hint="eastAsia" w:ascii="Times New Roman" w:hAnsi="Times New Roman" w:eastAsia="宋体" w:cs="Times New Roman"/>
                      <w:bCs/>
                      <w:color w:val="auto"/>
                      <w:sz w:val="21"/>
                      <w:szCs w:val="21"/>
                      <w:highlight w:val="none"/>
                      <w:lang w:val="en-US" w:eastAsia="zh-CN"/>
                    </w:rPr>
                    <w:t>20</w:t>
                  </w:r>
                </w:p>
              </w:tc>
              <w:tc>
                <w:tcPr>
                  <w:tcW w:w="675" w:type="pct"/>
                  <w:tcBorders>
                    <w:tl2br w:val="nil"/>
                    <w:tr2bl w:val="nil"/>
                  </w:tcBorders>
                  <w:shd w:val="clear" w:color="auto" w:fill="auto"/>
                  <w:vAlign w:val="center"/>
                </w:tcPr>
                <w:p w14:paraId="1A9F0E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工作时</w:t>
                  </w:r>
                </w:p>
              </w:tc>
            </w:tr>
            <w:tr w14:paraId="4AD811B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14:paraId="300FB9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488" w:type="pct"/>
                  <w:tcBorders>
                    <w:tl2br w:val="nil"/>
                    <w:tr2bl w:val="nil"/>
                  </w:tcBorders>
                  <w:vAlign w:val="center"/>
                </w:tcPr>
                <w:p w14:paraId="74BF885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风机2</w:t>
                  </w:r>
                </w:p>
              </w:tc>
              <w:tc>
                <w:tcPr>
                  <w:tcW w:w="318" w:type="pct"/>
                  <w:tcBorders>
                    <w:tl2br w:val="nil"/>
                    <w:tr2bl w:val="nil"/>
                  </w:tcBorders>
                  <w:vAlign w:val="center"/>
                </w:tcPr>
                <w:p w14:paraId="69F1F4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06" w:type="pct"/>
                  <w:tcBorders>
                    <w:tl2br w:val="nil"/>
                    <w:tr2bl w:val="nil"/>
                  </w:tcBorders>
                  <w:vAlign w:val="center"/>
                </w:tcPr>
                <w:p w14:paraId="35814E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62</w:t>
                  </w:r>
                </w:p>
              </w:tc>
              <w:tc>
                <w:tcPr>
                  <w:tcW w:w="406" w:type="pct"/>
                  <w:tcBorders>
                    <w:tl2br w:val="nil"/>
                    <w:tr2bl w:val="nil"/>
                  </w:tcBorders>
                  <w:vAlign w:val="center"/>
                </w:tcPr>
                <w:p w14:paraId="470AF75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50</w:t>
                  </w:r>
                </w:p>
              </w:tc>
              <w:tc>
                <w:tcPr>
                  <w:tcW w:w="412" w:type="pct"/>
                  <w:tcBorders>
                    <w:tl2br w:val="nil"/>
                    <w:tr2bl w:val="nil"/>
                  </w:tcBorders>
                  <w:vAlign w:val="center"/>
                </w:tcPr>
                <w:p w14:paraId="55AC73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666" w:type="pct"/>
                  <w:tcBorders>
                    <w:tl2br w:val="nil"/>
                    <w:tr2bl w:val="nil"/>
                  </w:tcBorders>
                  <w:vAlign w:val="center"/>
                </w:tcPr>
                <w:p w14:paraId="6D05CE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w:t>
                  </w:r>
                </w:p>
              </w:tc>
              <w:tc>
                <w:tcPr>
                  <w:tcW w:w="688" w:type="pct"/>
                  <w:tcBorders>
                    <w:tl2br w:val="nil"/>
                    <w:tr2bl w:val="nil"/>
                  </w:tcBorders>
                  <w:shd w:val="clear" w:color="auto" w:fill="auto"/>
                  <w:vAlign w:val="center"/>
                </w:tcPr>
                <w:p w14:paraId="3EFB0B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Cs w:val="20"/>
                      <w:highlight w:val="none"/>
                    </w:rPr>
                  </w:pPr>
                  <w:r>
                    <w:rPr>
                      <w:rFonts w:hint="default" w:ascii="Times New Roman" w:hAnsi="Times New Roman" w:eastAsia="宋体" w:cs="Times New Roman"/>
                      <w:bCs/>
                      <w:color w:val="auto"/>
                      <w:szCs w:val="20"/>
                      <w:highlight w:val="none"/>
                    </w:rPr>
                    <w:t>减振</w:t>
                  </w:r>
                </w:p>
              </w:tc>
              <w:tc>
                <w:tcPr>
                  <w:tcW w:w="1786" w:type="dxa"/>
                  <w:tcBorders>
                    <w:tl2br w:val="nil"/>
                    <w:tr2bl w:val="nil"/>
                  </w:tcBorders>
                  <w:shd w:val="clear" w:color="auto" w:fill="auto"/>
                  <w:vAlign w:val="center"/>
                </w:tcPr>
                <w:p w14:paraId="29CD8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rPr>
                  </w:pPr>
                  <w:r>
                    <w:rPr>
                      <w:rFonts w:hint="eastAsia" w:ascii="Times New Roman" w:hAnsi="Times New Roman" w:eastAsia="宋体" w:cs="Times New Roman"/>
                      <w:bCs/>
                      <w:color w:val="auto"/>
                      <w:sz w:val="21"/>
                      <w:szCs w:val="21"/>
                      <w:highlight w:val="none"/>
                      <w:lang w:val="en-US" w:eastAsia="zh-CN"/>
                    </w:rPr>
                    <w:t>20</w:t>
                  </w:r>
                </w:p>
              </w:tc>
              <w:tc>
                <w:tcPr>
                  <w:tcW w:w="675" w:type="pct"/>
                  <w:tcBorders>
                    <w:tl2br w:val="nil"/>
                    <w:tr2bl w:val="nil"/>
                  </w:tcBorders>
                  <w:shd w:val="clear" w:color="auto" w:fill="auto"/>
                  <w:vAlign w:val="center"/>
                </w:tcPr>
                <w:p w14:paraId="59DFAD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工作时</w:t>
                  </w:r>
                </w:p>
              </w:tc>
            </w:tr>
            <w:tr w14:paraId="038C9B4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14:paraId="111960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488" w:type="pct"/>
                  <w:tcBorders>
                    <w:tl2br w:val="nil"/>
                    <w:tr2bl w:val="nil"/>
                  </w:tcBorders>
                  <w:shd w:val="clear" w:color="auto" w:fill="auto"/>
                  <w:vAlign w:val="center"/>
                </w:tcPr>
                <w:p w14:paraId="5AFAC5D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风机3</w:t>
                  </w:r>
                </w:p>
              </w:tc>
              <w:tc>
                <w:tcPr>
                  <w:tcW w:w="318" w:type="pct"/>
                  <w:tcBorders>
                    <w:tl2br w:val="nil"/>
                    <w:tr2bl w:val="nil"/>
                  </w:tcBorders>
                  <w:shd w:val="clear" w:color="auto" w:fill="auto"/>
                  <w:vAlign w:val="center"/>
                </w:tcPr>
                <w:p w14:paraId="421744C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406" w:type="pct"/>
                  <w:tcBorders>
                    <w:tl2br w:val="nil"/>
                    <w:tr2bl w:val="nil"/>
                  </w:tcBorders>
                  <w:vAlign w:val="center"/>
                </w:tcPr>
                <w:p w14:paraId="614D7D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406" w:type="pct"/>
                  <w:tcBorders>
                    <w:tl2br w:val="nil"/>
                    <w:tr2bl w:val="nil"/>
                  </w:tcBorders>
                  <w:vAlign w:val="center"/>
                </w:tcPr>
                <w:p w14:paraId="42DCA9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412" w:type="pct"/>
                  <w:tcBorders>
                    <w:tl2br w:val="nil"/>
                    <w:tr2bl w:val="nil"/>
                  </w:tcBorders>
                  <w:vAlign w:val="center"/>
                </w:tcPr>
                <w:p w14:paraId="6B63A6D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w:t>
                  </w:r>
                </w:p>
              </w:tc>
              <w:tc>
                <w:tcPr>
                  <w:tcW w:w="666" w:type="pct"/>
                  <w:tcBorders>
                    <w:tl2br w:val="nil"/>
                    <w:tr2bl w:val="nil"/>
                  </w:tcBorders>
                  <w:vAlign w:val="center"/>
                </w:tcPr>
                <w:p w14:paraId="61BA81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w:t>
                  </w:r>
                </w:p>
              </w:tc>
              <w:tc>
                <w:tcPr>
                  <w:tcW w:w="688" w:type="pct"/>
                  <w:tcBorders>
                    <w:tl2br w:val="nil"/>
                    <w:tr2bl w:val="nil"/>
                  </w:tcBorders>
                  <w:shd w:val="clear" w:color="auto" w:fill="auto"/>
                  <w:vAlign w:val="center"/>
                </w:tcPr>
                <w:p w14:paraId="30C649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Cs w:val="20"/>
                      <w:highlight w:val="none"/>
                    </w:rPr>
                  </w:pPr>
                  <w:r>
                    <w:rPr>
                      <w:rFonts w:hint="default" w:ascii="Times New Roman" w:hAnsi="Times New Roman" w:eastAsia="宋体" w:cs="Times New Roman"/>
                      <w:bCs/>
                      <w:color w:val="auto"/>
                      <w:szCs w:val="20"/>
                      <w:highlight w:val="none"/>
                    </w:rPr>
                    <w:t>减振</w:t>
                  </w:r>
                </w:p>
              </w:tc>
              <w:tc>
                <w:tcPr>
                  <w:tcW w:w="1786" w:type="dxa"/>
                  <w:tcBorders>
                    <w:tl2br w:val="nil"/>
                    <w:tr2bl w:val="nil"/>
                  </w:tcBorders>
                  <w:shd w:val="clear" w:color="auto" w:fill="auto"/>
                  <w:vAlign w:val="center"/>
                </w:tcPr>
                <w:p w14:paraId="1A3D15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rPr>
                  </w:pPr>
                  <w:r>
                    <w:rPr>
                      <w:rFonts w:hint="eastAsia" w:ascii="Times New Roman" w:hAnsi="Times New Roman" w:eastAsia="宋体" w:cs="Times New Roman"/>
                      <w:bCs/>
                      <w:color w:val="auto"/>
                      <w:sz w:val="21"/>
                      <w:szCs w:val="21"/>
                      <w:highlight w:val="none"/>
                      <w:lang w:val="en-US" w:eastAsia="zh-CN"/>
                    </w:rPr>
                    <w:t>20</w:t>
                  </w:r>
                </w:p>
              </w:tc>
              <w:tc>
                <w:tcPr>
                  <w:tcW w:w="675" w:type="pct"/>
                  <w:tcBorders>
                    <w:tl2br w:val="nil"/>
                    <w:tr2bl w:val="nil"/>
                  </w:tcBorders>
                  <w:shd w:val="clear" w:color="auto" w:fill="auto"/>
                  <w:vAlign w:val="center"/>
                </w:tcPr>
                <w:p w14:paraId="288953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工作时</w:t>
                  </w:r>
                </w:p>
              </w:tc>
            </w:tr>
          </w:tbl>
          <w:p w14:paraId="1CF1819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注：表4-13及表4-14中空间相对坐标以车间西南角为原点（0，0，0），东西方向为X轴，南北方向为Y轴，垂直方向为Z轴。</w:t>
            </w:r>
          </w:p>
          <w:p w14:paraId="757DAE64">
            <w:pPr>
              <w:spacing w:line="360" w:lineRule="auto"/>
              <w:jc w:val="center"/>
              <w:rPr>
                <w:rFonts w:hint="default" w:ascii="Times New Roman" w:hAnsi="Times New Roman" w:eastAsia="宋体" w:cs="Times New Roman"/>
                <w:color w:val="auto"/>
                <w:sz w:val="24"/>
                <w:highlight w:val="none"/>
              </w:rPr>
            </w:pPr>
          </w:p>
        </w:tc>
      </w:tr>
    </w:tbl>
    <w:p w14:paraId="2AA27C2B">
      <w:pPr>
        <w:rPr>
          <w:rFonts w:hint="default" w:ascii="Times New Roman" w:hAnsi="Times New Roman" w:cs="Times New Roman"/>
          <w:color w:val="auto"/>
          <w:highlight w:val="none"/>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564"/>
      </w:tblGrid>
      <w:tr w14:paraId="3EAD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Align w:val="center"/>
          </w:tcPr>
          <w:p w14:paraId="0BE339C3">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610" w:type="pct"/>
          </w:tcPr>
          <w:p w14:paraId="303A24BC">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2、降噪措施</w:t>
            </w:r>
          </w:p>
          <w:p w14:paraId="1D47412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①企业在选购设备时购置符合国家颁布的各类机械噪声标准的低噪声设备，保证运行时能符合工业企业车间噪声卫生标准，同时能保证达到厂界噪声控制值。</w:t>
            </w:r>
          </w:p>
          <w:p w14:paraId="5082D66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②针对较大的设备噪声源，可通过设备安装减振座、加设减振垫等方式来进行减振处理。</w:t>
            </w:r>
          </w:p>
          <w:p w14:paraId="563EA98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③对产生的机械撞击性噪声采用性能好的隔声门窗将噪声封隔起来，以减少噪声的传播，设置隔声控制室，将操作人员与噪声源分离开等。</w:t>
            </w:r>
          </w:p>
          <w:p w14:paraId="1D77388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④在噪声传播途径上采取措施加以控制，</w:t>
            </w:r>
            <w:r>
              <w:rPr>
                <w:rFonts w:hint="eastAsia" w:ascii="Times New Roman" w:hAnsi="Times New Roman" w:eastAsia="宋体" w:cs="Times New Roman"/>
                <w:color w:val="auto"/>
                <w:sz w:val="24"/>
                <w:highlight w:val="none"/>
                <w:lang w:eastAsia="zh-CN"/>
              </w:rPr>
              <w:t>加强</w:t>
            </w:r>
            <w:r>
              <w:rPr>
                <w:rFonts w:hint="default" w:ascii="Times New Roman" w:hAnsi="Times New Roman" w:eastAsia="宋体" w:cs="Times New Roman"/>
                <w:color w:val="auto"/>
                <w:sz w:val="24"/>
                <w:highlight w:val="none"/>
              </w:rPr>
              <w:t>噪声源车间的建筑围护结构均以封闭为主，同时采取车间外及厂界的绿化，利用建筑物与树木阻隔声音的传播。</w:t>
            </w:r>
          </w:p>
          <w:p w14:paraId="4CB7EC8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⑤保持设备处于良好的运转状态，防止因设备运转不正常而增大噪声，要经常进行保养，加润滑油，减少摩擦力，降低噪声。</w:t>
            </w:r>
          </w:p>
          <w:p w14:paraId="0BBEDFD7">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3、预测排放强度、达标情况分析</w:t>
            </w:r>
          </w:p>
          <w:p w14:paraId="0F548DE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本项目生产制度为一班制，夜间不生产，故本次评价对东、南、西、北厂界进行昼间噪声的影响预测。</w:t>
            </w:r>
            <w:r>
              <w:rPr>
                <w:rFonts w:hint="default" w:ascii="Times New Roman" w:hAnsi="Times New Roman" w:eastAsia="宋体" w:cs="Times New Roman"/>
                <w:color w:val="auto"/>
                <w:sz w:val="24"/>
                <w:highlight w:val="none"/>
              </w:rPr>
              <w:t>根据企业提供的噪声设备分布情况，</w:t>
            </w:r>
            <w:r>
              <w:rPr>
                <w:rFonts w:hint="default" w:ascii="Times New Roman" w:hAnsi="Times New Roman" w:eastAsia="宋体" w:cs="Times New Roman"/>
                <w:color w:val="auto"/>
                <w:sz w:val="24"/>
                <w:highlight w:val="none"/>
                <w:lang w:val="en-US" w:eastAsia="zh-CN"/>
              </w:rPr>
              <w:t>噪声源对厂界噪声的影响预测结果见下表。</w:t>
            </w:r>
          </w:p>
          <w:p w14:paraId="24C7CF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ascii="Times New Roman" w:hAnsi="Times New Roman" w:eastAsia="宋体"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lang w:val="en-US" w:eastAsia="zh-CN"/>
              </w:rPr>
              <w:t xml:space="preserve">  本项目各厂界昼间噪声预测结果dB（A）</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2847"/>
              <w:gridCol w:w="2847"/>
            </w:tblGrid>
            <w:tr w14:paraId="0DC8E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6" w:type="dxa"/>
                  <w:tcBorders>
                    <w:tl2br w:val="nil"/>
                    <w:tr2bl w:val="nil"/>
                  </w:tcBorders>
                  <w:vAlign w:val="center"/>
                </w:tcPr>
                <w:p w14:paraId="30C0B489">
                  <w:p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color w:val="auto"/>
                      <w:szCs w:val="21"/>
                      <w:highlight w:val="none"/>
                    </w:rPr>
                    <w:t>目标</w:t>
                  </w:r>
                </w:p>
              </w:tc>
              <w:tc>
                <w:tcPr>
                  <w:tcW w:w="2847" w:type="dxa"/>
                  <w:tcBorders>
                    <w:tl2br w:val="nil"/>
                    <w:tr2bl w:val="nil"/>
                  </w:tcBorders>
                  <w:vAlign w:val="center"/>
                </w:tcPr>
                <w:p w14:paraId="158F31F7">
                  <w:pPr>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Cs w:val="21"/>
                      <w:highlight w:val="none"/>
                    </w:rPr>
                    <w:t>昼间</w:t>
                  </w:r>
                  <w:r>
                    <w:rPr>
                      <w:rFonts w:hint="default" w:ascii="Times New Roman" w:hAnsi="Times New Roman" w:eastAsia="宋体" w:cs="Times New Roman"/>
                      <w:b/>
                      <w:color w:val="auto"/>
                      <w:szCs w:val="21"/>
                      <w:highlight w:val="none"/>
                      <w:lang w:val="en-US" w:eastAsia="zh-CN"/>
                    </w:rPr>
                    <w:t>噪声</w:t>
                  </w:r>
                  <w:r>
                    <w:rPr>
                      <w:rFonts w:hint="default" w:ascii="Times New Roman" w:hAnsi="Times New Roman" w:eastAsia="宋体" w:cs="Times New Roman"/>
                      <w:b/>
                      <w:color w:val="auto"/>
                      <w:szCs w:val="21"/>
                      <w:highlight w:val="none"/>
                    </w:rPr>
                    <w:t>贡献值</w:t>
                  </w:r>
                </w:p>
              </w:tc>
              <w:tc>
                <w:tcPr>
                  <w:tcW w:w="2847" w:type="dxa"/>
                  <w:tcBorders>
                    <w:tl2br w:val="nil"/>
                    <w:tr2bl w:val="nil"/>
                  </w:tcBorders>
                  <w:vAlign w:val="center"/>
                </w:tcPr>
                <w:p w14:paraId="7B133C29">
                  <w:pPr>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Cs w:val="21"/>
                      <w:highlight w:val="none"/>
                    </w:rPr>
                    <w:t>标准</w:t>
                  </w:r>
                  <w:r>
                    <w:rPr>
                      <w:rFonts w:hint="default" w:ascii="Times New Roman" w:hAnsi="Times New Roman" w:eastAsia="宋体" w:cs="Times New Roman"/>
                      <w:b/>
                      <w:color w:val="auto"/>
                      <w:szCs w:val="21"/>
                      <w:highlight w:val="none"/>
                      <w:lang w:eastAsia="zh-CN"/>
                    </w:rPr>
                    <w:t>（</w:t>
                  </w:r>
                  <w:r>
                    <w:rPr>
                      <w:rFonts w:hint="default" w:ascii="Times New Roman" w:hAnsi="Times New Roman" w:eastAsia="宋体" w:cs="Times New Roman"/>
                      <w:b/>
                      <w:color w:val="auto"/>
                      <w:szCs w:val="21"/>
                      <w:highlight w:val="none"/>
                    </w:rPr>
                    <w:t>昼间</w:t>
                  </w:r>
                  <w:r>
                    <w:rPr>
                      <w:rFonts w:hint="default" w:ascii="Times New Roman" w:hAnsi="Times New Roman" w:eastAsia="宋体" w:cs="Times New Roman"/>
                      <w:b/>
                      <w:color w:val="auto"/>
                      <w:szCs w:val="21"/>
                      <w:highlight w:val="none"/>
                      <w:lang w:eastAsia="zh-CN"/>
                    </w:rPr>
                    <w:t>）</w:t>
                  </w:r>
                </w:p>
              </w:tc>
            </w:tr>
            <w:tr w14:paraId="73469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6" w:type="dxa"/>
                  <w:tcBorders>
                    <w:tl2br w:val="nil"/>
                    <w:tr2bl w:val="nil"/>
                  </w:tcBorders>
                  <w:vAlign w:val="center"/>
                </w:tcPr>
                <w:p w14:paraId="584B2CD5">
                  <w:pPr>
                    <w:spacing w:line="30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Cs/>
                      <w:color w:val="auto"/>
                      <w:szCs w:val="21"/>
                      <w:highlight w:val="none"/>
                    </w:rPr>
                    <w:t>东厂界</w:t>
                  </w:r>
                </w:p>
              </w:tc>
              <w:tc>
                <w:tcPr>
                  <w:tcW w:w="2847" w:type="dxa"/>
                  <w:tcBorders>
                    <w:tl2br w:val="nil"/>
                    <w:tr2bl w:val="nil"/>
                  </w:tcBorders>
                  <w:vAlign w:val="center"/>
                </w:tcPr>
                <w:p w14:paraId="2F653D7A">
                  <w:pPr>
                    <w:pStyle w:val="6"/>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52.3</w:t>
                  </w:r>
                </w:p>
              </w:tc>
              <w:tc>
                <w:tcPr>
                  <w:tcW w:w="2847" w:type="dxa"/>
                  <w:tcBorders>
                    <w:tl2br w:val="nil"/>
                    <w:tr2bl w:val="nil"/>
                  </w:tcBorders>
                  <w:vAlign w:val="center"/>
                </w:tcPr>
                <w:p w14:paraId="4A4AE4FE">
                  <w:pPr>
                    <w:pStyle w:val="6"/>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r>
                    <w:rPr>
                      <w:rFonts w:hint="eastAsia" w:ascii="Times New Roman" w:hAnsi="Times New Roman" w:cs="Times New Roman"/>
                      <w:b w:val="0"/>
                      <w:bCs w:val="0"/>
                      <w:color w:val="auto"/>
                      <w:sz w:val="21"/>
                      <w:szCs w:val="21"/>
                      <w:highlight w:val="none"/>
                      <w:vertAlign w:val="baseline"/>
                      <w:lang w:val="en-US" w:eastAsia="zh-CN"/>
                    </w:rPr>
                    <w:t>0</w:t>
                  </w:r>
                </w:p>
              </w:tc>
            </w:tr>
            <w:tr w14:paraId="730E1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6" w:type="dxa"/>
                  <w:tcBorders>
                    <w:tl2br w:val="nil"/>
                    <w:tr2bl w:val="nil"/>
                  </w:tcBorders>
                  <w:vAlign w:val="center"/>
                </w:tcPr>
                <w:p w14:paraId="62453EA4">
                  <w:pPr>
                    <w:spacing w:line="30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Cs/>
                      <w:color w:val="auto"/>
                      <w:szCs w:val="21"/>
                      <w:highlight w:val="none"/>
                    </w:rPr>
                    <w:t>南厂界</w:t>
                  </w:r>
                </w:p>
              </w:tc>
              <w:tc>
                <w:tcPr>
                  <w:tcW w:w="2847" w:type="dxa"/>
                  <w:tcBorders>
                    <w:tl2br w:val="nil"/>
                    <w:tr2bl w:val="nil"/>
                  </w:tcBorders>
                  <w:vAlign w:val="center"/>
                </w:tcPr>
                <w:p w14:paraId="6FE269DC">
                  <w:pPr>
                    <w:pStyle w:val="6"/>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55.4</w:t>
                  </w:r>
                </w:p>
              </w:tc>
              <w:tc>
                <w:tcPr>
                  <w:tcW w:w="2847" w:type="dxa"/>
                  <w:tcBorders>
                    <w:tl2br w:val="nil"/>
                    <w:tr2bl w:val="nil"/>
                  </w:tcBorders>
                  <w:vAlign w:val="center"/>
                </w:tcPr>
                <w:p w14:paraId="10B5E49D">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145E1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6" w:type="dxa"/>
                  <w:tcBorders>
                    <w:tl2br w:val="nil"/>
                    <w:tr2bl w:val="nil"/>
                  </w:tcBorders>
                  <w:vAlign w:val="center"/>
                </w:tcPr>
                <w:p w14:paraId="72E60E71">
                  <w:pPr>
                    <w:spacing w:line="30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Cs/>
                      <w:color w:val="auto"/>
                      <w:szCs w:val="21"/>
                      <w:highlight w:val="none"/>
                    </w:rPr>
                    <w:t>西厂界</w:t>
                  </w:r>
                </w:p>
              </w:tc>
              <w:tc>
                <w:tcPr>
                  <w:tcW w:w="2847" w:type="dxa"/>
                  <w:tcBorders>
                    <w:tl2br w:val="nil"/>
                    <w:tr2bl w:val="nil"/>
                  </w:tcBorders>
                  <w:vAlign w:val="center"/>
                </w:tcPr>
                <w:p w14:paraId="1C542DF3">
                  <w:pPr>
                    <w:pStyle w:val="6"/>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53.5</w:t>
                  </w:r>
                </w:p>
              </w:tc>
              <w:tc>
                <w:tcPr>
                  <w:tcW w:w="2847" w:type="dxa"/>
                  <w:tcBorders>
                    <w:tl2br w:val="nil"/>
                    <w:tr2bl w:val="nil"/>
                  </w:tcBorders>
                  <w:vAlign w:val="center"/>
                </w:tcPr>
                <w:p w14:paraId="1326212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r>
                    <w:rPr>
                      <w:rFonts w:hint="eastAsia" w:ascii="Times New Roman" w:hAnsi="Times New Roman" w:eastAsia="宋体" w:cs="Times New Roman"/>
                      <w:b w:val="0"/>
                      <w:bCs w:val="0"/>
                      <w:color w:val="auto"/>
                      <w:sz w:val="21"/>
                      <w:szCs w:val="21"/>
                      <w:highlight w:val="none"/>
                      <w:vertAlign w:val="baseline"/>
                      <w:lang w:val="en-US" w:eastAsia="zh-CN"/>
                    </w:rPr>
                    <w:t>0</w:t>
                  </w:r>
                </w:p>
              </w:tc>
            </w:tr>
            <w:tr w14:paraId="2B3F9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6" w:type="dxa"/>
                  <w:tcBorders>
                    <w:tl2br w:val="nil"/>
                    <w:tr2bl w:val="nil"/>
                  </w:tcBorders>
                  <w:vAlign w:val="center"/>
                </w:tcPr>
                <w:p w14:paraId="6AF2AC5E">
                  <w:pPr>
                    <w:spacing w:line="30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Cs/>
                      <w:color w:val="auto"/>
                      <w:szCs w:val="21"/>
                      <w:highlight w:val="none"/>
                    </w:rPr>
                    <w:t>北厂界</w:t>
                  </w:r>
                </w:p>
              </w:tc>
              <w:tc>
                <w:tcPr>
                  <w:tcW w:w="2847" w:type="dxa"/>
                  <w:tcBorders>
                    <w:tl2br w:val="nil"/>
                    <w:tr2bl w:val="nil"/>
                  </w:tcBorders>
                  <w:vAlign w:val="center"/>
                </w:tcPr>
                <w:p w14:paraId="6824191B">
                  <w:pPr>
                    <w:pStyle w:val="6"/>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56.9</w:t>
                  </w:r>
                </w:p>
              </w:tc>
              <w:tc>
                <w:tcPr>
                  <w:tcW w:w="2847" w:type="dxa"/>
                  <w:tcBorders>
                    <w:tl2br w:val="nil"/>
                    <w:tr2bl w:val="nil"/>
                  </w:tcBorders>
                  <w:vAlign w:val="center"/>
                </w:tcPr>
                <w:p w14:paraId="1786C151">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w:t>
                  </w:r>
                  <w:r>
                    <w:rPr>
                      <w:rFonts w:hint="eastAsia" w:ascii="Times New Roman" w:hAnsi="Times New Roman" w:eastAsia="宋体" w:cs="Times New Roman"/>
                      <w:b w:val="0"/>
                      <w:bCs w:val="0"/>
                      <w:color w:val="auto"/>
                      <w:sz w:val="21"/>
                      <w:szCs w:val="21"/>
                      <w:highlight w:val="none"/>
                      <w:vertAlign w:val="baseline"/>
                      <w:lang w:val="en-US" w:eastAsia="zh-CN"/>
                    </w:rPr>
                    <w:t>0</w:t>
                  </w:r>
                </w:p>
              </w:tc>
            </w:tr>
          </w:tbl>
          <w:p w14:paraId="2CD9BB5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由上表可知，本项目经过减振、隔音等降噪措施后，东、南、西、北各厂界昼间噪声贡献值均符合《工业企业</w:t>
            </w:r>
            <w:r>
              <w:rPr>
                <w:rFonts w:hint="eastAsia" w:ascii="Times New Roman" w:hAnsi="Times New Roman" w:eastAsia="宋体" w:cs="Times New Roman"/>
                <w:bCs/>
                <w:color w:val="auto"/>
                <w:sz w:val="24"/>
                <w:highlight w:val="none"/>
                <w:lang w:val="en-US" w:eastAsia="zh-CN"/>
              </w:rPr>
              <w:t>厂界</w:t>
            </w:r>
            <w:r>
              <w:rPr>
                <w:rFonts w:hint="default" w:ascii="Times New Roman" w:hAnsi="Times New Roman" w:eastAsia="宋体" w:cs="Times New Roman"/>
                <w:bCs/>
                <w:color w:val="auto"/>
                <w:sz w:val="24"/>
                <w:highlight w:val="none"/>
                <w:lang w:val="en-US" w:eastAsia="zh-CN"/>
              </w:rPr>
              <w:t>环境噪声排放标准》（GB12348-2008）</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类标准。</w:t>
            </w:r>
          </w:p>
          <w:p w14:paraId="1CF41696">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4、监测要求</w:t>
            </w:r>
          </w:p>
          <w:p w14:paraId="40C48CE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监测点位：厂界四周布置4个点位。</w:t>
            </w:r>
          </w:p>
          <w:p w14:paraId="02F117B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监测时段：昼间。</w:t>
            </w:r>
          </w:p>
          <w:p w14:paraId="3F4D49F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监测频次：每</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rPr>
              <w:t>监测一次。</w:t>
            </w:r>
          </w:p>
          <w:p w14:paraId="36B5B91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监测因子：厂界噪声昼间等效连续A声级Leq</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 xml:space="preserve">                                                       </w:t>
            </w:r>
          </w:p>
          <w:p w14:paraId="422E5DD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噪声监测位置、监测因子、频率等详见下表。</w:t>
            </w:r>
          </w:p>
          <w:p w14:paraId="159FF216">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-23</w:t>
            </w:r>
            <w:r>
              <w:rPr>
                <w:rFonts w:hint="default" w:ascii="Times New Roman" w:hAnsi="Times New Roman" w:eastAsia="宋体" w:cs="Times New Roman"/>
                <w:b/>
                <w:color w:val="auto"/>
                <w:sz w:val="24"/>
                <w:highlight w:val="none"/>
              </w:rPr>
              <w:t xml:space="preserve">  运营期噪声监测计划表</w:t>
            </w:r>
          </w:p>
          <w:tbl>
            <w:tblPr>
              <w:tblStyle w:val="27"/>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1329"/>
              <w:gridCol w:w="1208"/>
              <w:gridCol w:w="3111"/>
            </w:tblGrid>
            <w:tr w14:paraId="54A3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12" w:space="0"/>
                    <w:left w:val="nil"/>
                    <w:bottom w:val="single" w:color="auto" w:sz="4" w:space="0"/>
                    <w:right w:val="single" w:color="auto" w:sz="4" w:space="0"/>
                  </w:tcBorders>
                  <w:vAlign w:val="center"/>
                </w:tcPr>
                <w:p w14:paraId="2A4D0A9D">
                  <w:pPr>
                    <w:pStyle w:val="47"/>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800" w:type="pct"/>
                  <w:tcBorders>
                    <w:top w:val="single" w:color="auto" w:sz="12" w:space="0"/>
                    <w:left w:val="nil"/>
                    <w:bottom w:val="single" w:color="auto" w:sz="4" w:space="0"/>
                    <w:right w:val="single" w:color="auto" w:sz="4" w:space="0"/>
                  </w:tcBorders>
                  <w:vAlign w:val="center"/>
                </w:tcPr>
                <w:p w14:paraId="52937A67">
                  <w:pPr>
                    <w:pStyle w:val="47"/>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监测时段</w:t>
                  </w:r>
                </w:p>
              </w:tc>
              <w:tc>
                <w:tcPr>
                  <w:tcW w:w="800" w:type="pct"/>
                  <w:tcBorders>
                    <w:top w:val="single" w:color="auto" w:sz="12" w:space="0"/>
                    <w:left w:val="nil"/>
                    <w:bottom w:val="single" w:color="auto" w:sz="4" w:space="0"/>
                    <w:right w:val="single" w:color="auto" w:sz="4" w:space="0"/>
                  </w:tcBorders>
                  <w:vAlign w:val="center"/>
                </w:tcPr>
                <w:p w14:paraId="3F40B2BB">
                  <w:pPr>
                    <w:pStyle w:val="47"/>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727" w:type="pct"/>
                  <w:tcBorders>
                    <w:top w:val="single" w:color="auto" w:sz="12" w:space="0"/>
                    <w:left w:val="nil"/>
                    <w:bottom w:val="single" w:color="auto" w:sz="4" w:space="0"/>
                    <w:right w:val="single" w:color="auto" w:sz="4" w:space="0"/>
                  </w:tcBorders>
                  <w:vAlign w:val="center"/>
                </w:tcPr>
                <w:p w14:paraId="3F7DDCAF">
                  <w:pPr>
                    <w:pStyle w:val="47"/>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监测频率</w:t>
                  </w:r>
                </w:p>
              </w:tc>
              <w:tc>
                <w:tcPr>
                  <w:tcW w:w="1874" w:type="pct"/>
                  <w:tcBorders>
                    <w:top w:val="single" w:color="auto" w:sz="12" w:space="0"/>
                    <w:left w:val="nil"/>
                    <w:bottom w:val="single" w:color="auto" w:sz="4" w:space="0"/>
                    <w:right w:val="nil"/>
                  </w:tcBorders>
                  <w:vAlign w:val="center"/>
                </w:tcPr>
                <w:p w14:paraId="19A9F53E">
                  <w:pPr>
                    <w:pStyle w:val="47"/>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5780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nil"/>
                    <w:bottom w:val="single" w:color="auto" w:sz="12" w:space="0"/>
                    <w:right w:val="single" w:color="auto" w:sz="4" w:space="0"/>
                  </w:tcBorders>
                  <w:vAlign w:val="center"/>
                </w:tcPr>
                <w:p w14:paraId="095331FC">
                  <w:pPr>
                    <w:pStyle w:val="47"/>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800" w:type="pct"/>
                  <w:tcBorders>
                    <w:top w:val="single" w:color="auto" w:sz="4" w:space="0"/>
                    <w:left w:val="nil"/>
                    <w:bottom w:val="single" w:color="auto" w:sz="12" w:space="0"/>
                    <w:right w:val="single" w:color="auto" w:sz="4" w:space="0"/>
                  </w:tcBorders>
                  <w:vAlign w:val="center"/>
                </w:tcPr>
                <w:p w14:paraId="296C276F">
                  <w:pPr>
                    <w:pStyle w:val="47"/>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800" w:type="pct"/>
                  <w:tcBorders>
                    <w:top w:val="single" w:color="auto" w:sz="4" w:space="0"/>
                    <w:left w:val="nil"/>
                    <w:bottom w:val="single" w:color="auto" w:sz="12" w:space="0"/>
                    <w:right w:val="single" w:color="auto" w:sz="4" w:space="0"/>
                  </w:tcBorders>
                  <w:vAlign w:val="center"/>
                </w:tcPr>
                <w:p w14:paraId="698D5069">
                  <w:pPr>
                    <w:pStyle w:val="47"/>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等效连续声级Leq（A）</w:t>
                  </w:r>
                </w:p>
              </w:tc>
              <w:tc>
                <w:tcPr>
                  <w:tcW w:w="727" w:type="pct"/>
                  <w:tcBorders>
                    <w:top w:val="single" w:color="auto" w:sz="4" w:space="0"/>
                    <w:left w:val="nil"/>
                    <w:bottom w:val="single" w:color="auto" w:sz="12" w:space="0"/>
                    <w:right w:val="single" w:color="auto" w:sz="4" w:space="0"/>
                  </w:tcBorders>
                  <w:vAlign w:val="center"/>
                </w:tcPr>
                <w:p w14:paraId="7B29D271">
                  <w:pPr>
                    <w:pStyle w:val="47"/>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w:t>
                  </w:r>
                  <w:r>
                    <w:rPr>
                      <w:rFonts w:hint="eastAsia" w:ascii="Times New Roman" w:eastAsia="宋体"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rPr>
                    <w:t>1次</w:t>
                  </w:r>
                </w:p>
              </w:tc>
              <w:tc>
                <w:tcPr>
                  <w:tcW w:w="1874" w:type="pct"/>
                  <w:tcBorders>
                    <w:left w:val="nil"/>
                    <w:bottom w:val="single" w:color="auto" w:sz="12" w:space="0"/>
                    <w:right w:val="nil"/>
                  </w:tcBorders>
                  <w:vAlign w:val="center"/>
                </w:tcPr>
                <w:p w14:paraId="4CC14354">
                  <w:pPr>
                    <w:pStyle w:val="47"/>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bl>
          <w:p w14:paraId="449BF6FE">
            <w:pPr>
              <w:spacing w:before="156" w:beforeLines="5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四、固体废弃物</w:t>
            </w:r>
          </w:p>
          <w:p w14:paraId="07DA1681">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1、固体废物源强分析</w:t>
            </w:r>
          </w:p>
          <w:p w14:paraId="56BFE05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1CD152EA">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1</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生活垃圾</w:t>
            </w:r>
          </w:p>
          <w:p w14:paraId="1C3665FF">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本项目有员工</w:t>
            </w:r>
            <w:r>
              <w:rPr>
                <w:rFonts w:hint="eastAsia" w:ascii="Times New Roman" w:hAnsi="Times New Roman" w:eastAsia="宋体" w:cs="Times New Roman"/>
                <w:b w:val="0"/>
                <w:bCs/>
                <w:color w:val="auto"/>
                <w:sz w:val="24"/>
                <w:highlight w:val="none"/>
                <w:lang w:val="en-US" w:eastAsia="zh-CN"/>
              </w:rPr>
              <w:t>45</w:t>
            </w:r>
            <w:r>
              <w:rPr>
                <w:rFonts w:hint="default" w:ascii="Times New Roman" w:hAnsi="Times New Roman" w:eastAsia="宋体" w:cs="Times New Roman"/>
                <w:b w:val="0"/>
                <w:bCs/>
                <w:color w:val="auto"/>
                <w:sz w:val="24"/>
                <w:highlight w:val="none"/>
              </w:rPr>
              <w:t>人，每人每天垃圾产生量按0.5kg计，生活垃圾产生量约为</w:t>
            </w:r>
            <w:r>
              <w:rPr>
                <w:rFonts w:hint="eastAsia" w:ascii="Times New Roman" w:hAnsi="Times New Roman" w:eastAsia="宋体" w:cs="Times New Roman"/>
                <w:b w:val="0"/>
                <w:bCs/>
                <w:color w:val="auto"/>
                <w:sz w:val="24"/>
                <w:highlight w:val="none"/>
                <w:lang w:val="en-US" w:eastAsia="zh-CN"/>
              </w:rPr>
              <w:t>22.5</w:t>
            </w:r>
            <w:r>
              <w:rPr>
                <w:rFonts w:hint="default" w:ascii="Times New Roman" w:hAnsi="Times New Roman" w:eastAsia="宋体" w:cs="Times New Roman"/>
                <w:b w:val="0"/>
                <w:bCs/>
                <w:color w:val="auto"/>
                <w:sz w:val="24"/>
                <w:highlight w:val="none"/>
              </w:rPr>
              <w:t>kg/d，则项目年生活垃圾产生量约为</w:t>
            </w:r>
            <w:r>
              <w:rPr>
                <w:rFonts w:hint="eastAsia" w:ascii="Times New Roman" w:hAnsi="Times New Roman" w:eastAsia="宋体" w:cs="Times New Roman"/>
                <w:b w:val="0"/>
                <w:bCs/>
                <w:color w:val="auto"/>
                <w:sz w:val="24"/>
                <w:highlight w:val="none"/>
                <w:lang w:val="en-US" w:eastAsia="zh-CN"/>
              </w:rPr>
              <w:t>6.75</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rPr>
              <w:t>a。采取集中收集后由环卫部门统一外运处理。</w:t>
            </w:r>
          </w:p>
          <w:p w14:paraId="71FCB0A0">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2</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一般生产固废</w:t>
            </w:r>
          </w:p>
          <w:p w14:paraId="3E5CF471">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项目生产过程中会产生</w:t>
            </w:r>
            <w:r>
              <w:rPr>
                <w:rFonts w:hint="eastAsia" w:ascii="Times New Roman" w:hAnsi="Times New Roman" w:eastAsia="宋体" w:cs="Times New Roman"/>
                <w:b w:val="0"/>
                <w:bCs/>
                <w:color w:val="auto"/>
                <w:sz w:val="24"/>
                <w:highlight w:val="none"/>
                <w:lang w:val="en-US" w:eastAsia="zh-CN"/>
              </w:rPr>
              <w:t>边角料、废包装纸、废滤芯、废滤筒、除尘灰、回收塑粉</w:t>
            </w:r>
            <w:r>
              <w:rPr>
                <w:rFonts w:hint="default" w:ascii="Times New Roman" w:hAnsi="Times New Roman" w:eastAsia="宋体" w:cs="Times New Roman"/>
                <w:b w:val="0"/>
                <w:bCs/>
                <w:color w:val="auto"/>
                <w:sz w:val="24"/>
                <w:highlight w:val="none"/>
              </w:rPr>
              <w:t>等。</w:t>
            </w:r>
          </w:p>
          <w:p w14:paraId="5CAE1AE4">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①边角料</w:t>
            </w:r>
          </w:p>
          <w:p w14:paraId="67F546EB">
            <w:pPr>
              <w:spacing w:line="360" w:lineRule="auto"/>
              <w:ind w:firstLine="480" w:firstLineChars="200"/>
              <w:rPr>
                <w:rFonts w:hint="default"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lang w:val="en-US" w:eastAsia="zh-CN"/>
              </w:rPr>
              <w:t>本项目下料、造型工序产生少量金属边角料，产生量约为原料用量千分之一，钢板用量为300t/a，则金属边角料产生量约为0.3t/a。</w:t>
            </w:r>
          </w:p>
          <w:p w14:paraId="49FD540B">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②废包装纸</w:t>
            </w:r>
          </w:p>
          <w:p w14:paraId="5CE352BF">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塑粉使用后有废包装纸桶产生，塑粉使用量为</w:t>
            </w:r>
            <w:r>
              <w:rPr>
                <w:rFonts w:hint="eastAsia" w:ascii="Times New Roman" w:hAnsi="Times New Roman" w:eastAsia="宋体"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rPr>
              <w:t>0t/a，包装规格为25kg/纸桶，共计产生纸桶2</w:t>
            </w:r>
            <w:r>
              <w:rPr>
                <w:rFonts w:hint="eastAsia" w:ascii="Times New Roman" w:hAnsi="Times New Roman" w:eastAsia="宋体" w:cs="Times New Roman"/>
                <w:b w:val="0"/>
                <w:bCs/>
                <w:color w:val="auto"/>
                <w:sz w:val="24"/>
                <w:highlight w:val="none"/>
                <w:lang w:val="en-US" w:eastAsia="zh-CN"/>
              </w:rPr>
              <w:t>0</w:t>
            </w:r>
            <w:r>
              <w:rPr>
                <w:rFonts w:hint="default" w:ascii="Times New Roman" w:hAnsi="Times New Roman" w:eastAsia="宋体" w:cs="Times New Roman"/>
                <w:b w:val="0"/>
                <w:bCs/>
                <w:color w:val="auto"/>
                <w:sz w:val="24"/>
                <w:highlight w:val="none"/>
              </w:rPr>
              <w:t>00个，单个以1</w:t>
            </w: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rPr>
              <w:t>0g计，则废包装纸年产生量约为0.28t/a。</w:t>
            </w:r>
          </w:p>
          <w:p w14:paraId="74EA204F">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③废滤芯</w:t>
            </w:r>
          </w:p>
          <w:p w14:paraId="6BC1905D">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本项目移动式烟尘净化器定期更换滤芯，产生废滤芯，更换频次每3个月更换一次，一次更换量为50kg，因此废滤芯的产生量约为0.2t。</w:t>
            </w:r>
          </w:p>
          <w:p w14:paraId="5B1CEB09">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④废滤筒</w:t>
            </w:r>
          </w:p>
          <w:p w14:paraId="59A9B14D">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本项目滤筒除尘器定期更换滤筒，更换频次每3个月更换一次，一次更换量为50kg，因此废滤筒的产生量约为0.2t。</w:t>
            </w:r>
          </w:p>
          <w:p w14:paraId="4BDB6687">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⑤除尘灰</w:t>
            </w:r>
          </w:p>
          <w:p w14:paraId="20FB9445">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本项目旋风除尘器+滤筒除尘器需定期清理产生除尘灰，产生量约为2.8t/a。</w:t>
            </w:r>
          </w:p>
          <w:p w14:paraId="2D1F6FAD">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⑥回收塑粉</w:t>
            </w:r>
          </w:p>
          <w:p w14:paraId="4135684A">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b w:val="0"/>
                <w:bCs/>
                <w:color w:val="auto"/>
                <w:sz w:val="24"/>
                <w:highlight w:val="none"/>
                <w:lang w:val="en-US" w:eastAsia="zh-CN"/>
              </w:rPr>
              <w:t>本项目</w:t>
            </w:r>
            <w:r>
              <w:rPr>
                <w:rFonts w:hint="eastAsia" w:ascii="Times New Roman" w:hAnsi="Times New Roman" w:eastAsia="宋体" w:cs="Times New Roman"/>
                <w:b w:val="0"/>
                <w:bCs w:val="0"/>
                <w:color w:val="auto"/>
                <w:sz w:val="24"/>
                <w:highlight w:val="none"/>
                <w:lang w:val="en-US" w:eastAsia="zh-CN"/>
              </w:rPr>
              <w:t>滤筒除尘器、旋风除尘器定期清理产生回收塑粉，回用于喷粉工序，不作为一般固废处理。</w:t>
            </w:r>
          </w:p>
          <w:p w14:paraId="3265FBFB">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3</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危险废物</w:t>
            </w:r>
          </w:p>
          <w:p w14:paraId="1D0C6B10">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项目生产过程中会产生一定量的含胶废物</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废包装物</w:t>
            </w:r>
            <w:r>
              <w:rPr>
                <w:rFonts w:hint="eastAsia" w:ascii="Times New Roman" w:hAnsi="Times New Roman" w:eastAsia="宋体" w:cs="Times New Roman"/>
                <w:b w:val="0"/>
                <w:bCs/>
                <w:color w:val="auto"/>
                <w:sz w:val="24"/>
                <w:highlight w:val="none"/>
                <w:lang w:eastAsia="zh-CN"/>
              </w:rPr>
              <w:t>、含油废抹布手套、废活性炭、污泥、污水处理站浓水</w:t>
            </w:r>
            <w:r>
              <w:rPr>
                <w:rFonts w:hint="default" w:ascii="Times New Roman" w:hAnsi="Times New Roman" w:eastAsia="宋体" w:cs="Times New Roman"/>
                <w:b w:val="0"/>
                <w:bCs/>
                <w:color w:val="auto"/>
                <w:sz w:val="24"/>
                <w:highlight w:val="none"/>
              </w:rPr>
              <w:t>，属于危险废物</w:t>
            </w:r>
            <w:r>
              <w:rPr>
                <w:rFonts w:hint="eastAsia" w:ascii="宋体" w:hAnsi="宋体" w:eastAsia="宋体" w:cs="宋体"/>
                <w:b w:val="0"/>
                <w:bCs/>
                <w:color w:val="auto"/>
                <w:sz w:val="24"/>
                <w:highlight w:val="none"/>
              </w:rPr>
              <w:t>,</w:t>
            </w:r>
            <w:r>
              <w:rPr>
                <w:rFonts w:hint="default" w:ascii="Times New Roman" w:hAnsi="Times New Roman" w:eastAsia="宋体" w:cs="Times New Roman"/>
                <w:b w:val="0"/>
                <w:bCs/>
                <w:color w:val="auto"/>
                <w:sz w:val="24"/>
                <w:highlight w:val="none"/>
              </w:rPr>
              <w:t>统一收集后交由有资质的单位回收处理。</w:t>
            </w:r>
          </w:p>
          <w:p w14:paraId="324D136B">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①</w:t>
            </w:r>
            <w:r>
              <w:rPr>
                <w:rFonts w:hint="default" w:ascii="Times New Roman" w:hAnsi="Times New Roman" w:eastAsia="宋体" w:cs="Times New Roman"/>
                <w:b w:val="0"/>
                <w:bCs/>
                <w:color w:val="auto"/>
                <w:sz w:val="24"/>
                <w:highlight w:val="none"/>
              </w:rPr>
              <w:t>含胶废物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w:t>
            </w: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rPr>
              <w:t>9</w:t>
            </w:r>
            <w:r>
              <w:rPr>
                <w:rFonts w:hint="default" w:ascii="Times New Roman" w:hAnsi="Times New Roman" w:eastAsia="宋体" w:cs="Times New Roman"/>
                <w:b w:val="0"/>
                <w:bCs/>
                <w:color w:val="auto"/>
                <w:sz w:val="24"/>
                <w:highlight w:val="none"/>
                <w:lang w:eastAsia="zh-CN"/>
              </w:rPr>
              <w:t>）</w:t>
            </w:r>
          </w:p>
          <w:p w14:paraId="2D498A86">
            <w:pPr>
              <w:spacing w:line="360" w:lineRule="auto"/>
              <w:ind w:firstLine="480" w:firstLineChars="200"/>
              <w:rPr>
                <w:rFonts w:hint="default"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lang w:val="en-US" w:eastAsia="zh-CN"/>
              </w:rPr>
              <w:t>本项目打胶机不需清洗，定期更换打胶头、打胶管，产生废打胶头、打胶管等含胶废物，更换频次约为1次/两天，一次更换量为2kg，含胶废物年产生量约为0.3t/a。</w:t>
            </w:r>
            <w:r>
              <w:rPr>
                <w:rFonts w:hint="default" w:ascii="Times New Roman" w:hAnsi="Times New Roman" w:eastAsia="宋体" w:cs="Times New Roman"/>
                <w:b w:val="0"/>
                <w:bCs/>
                <w:color w:val="auto"/>
                <w:sz w:val="24"/>
                <w:highlight w:val="none"/>
              </w:rPr>
              <w:t>含胶废物属</w:t>
            </w:r>
            <w:r>
              <w:rPr>
                <w:rFonts w:hint="eastAsia" w:ascii="Times New Roman" w:hAnsi="Times New Roman" w:eastAsia="宋体" w:cs="Times New Roman"/>
                <w:b w:val="0"/>
                <w:bCs/>
                <w:color w:val="auto"/>
                <w:sz w:val="24"/>
                <w:highlight w:val="none"/>
                <w:lang w:val="en-US" w:eastAsia="zh-CN"/>
              </w:rPr>
              <w:t>于</w:t>
            </w:r>
            <w:r>
              <w:rPr>
                <w:rFonts w:hint="default" w:ascii="Times New Roman" w:hAnsi="Times New Roman" w:eastAsia="宋体" w:cs="Times New Roman"/>
                <w:b w:val="0"/>
                <w:bCs/>
                <w:color w:val="auto"/>
                <w:sz w:val="24"/>
                <w:highlight w:val="none"/>
              </w:rPr>
              <w:t>HW</w:t>
            </w: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900-041-49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7CCDDACA">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②</w:t>
            </w:r>
            <w:r>
              <w:rPr>
                <w:rFonts w:hint="default" w:ascii="Times New Roman" w:hAnsi="Times New Roman" w:eastAsia="宋体" w:cs="Times New Roman"/>
                <w:b w:val="0"/>
                <w:bCs/>
                <w:color w:val="auto"/>
                <w:sz w:val="24"/>
                <w:highlight w:val="none"/>
              </w:rPr>
              <w:t>废包装物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HW49</w:t>
            </w:r>
            <w:r>
              <w:rPr>
                <w:rFonts w:hint="default" w:ascii="Times New Roman" w:hAnsi="Times New Roman" w:eastAsia="宋体" w:cs="Times New Roman"/>
                <w:b w:val="0"/>
                <w:bCs/>
                <w:color w:val="auto"/>
                <w:sz w:val="24"/>
                <w:highlight w:val="none"/>
                <w:lang w:eastAsia="zh-CN"/>
              </w:rPr>
              <w:t>）</w:t>
            </w:r>
          </w:p>
          <w:p w14:paraId="6D65BE02">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rPr>
              <w:t>本项目水性胶、脱脂剂、硅烷处理剂、废水处理药剂等原辅料使用过程中，产生废包装物，本项目使用的PAC、PAM均为25kg/袋装，根据其年用量计算，废包装袋产生量约为</w:t>
            </w:r>
            <w:r>
              <w:rPr>
                <w:rFonts w:hint="eastAsia"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4只,每只包装袋以100g计</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水性胶为 500m</w:t>
            </w:r>
            <w:r>
              <w:rPr>
                <w:rFonts w:hint="eastAsia" w:ascii="Times New Roman" w:hAnsi="Times New Roman" w:eastAsia="宋体" w:cs="Times New Roman"/>
                <w:b w:val="0"/>
                <w:bCs/>
                <w:color w:val="auto"/>
                <w:sz w:val="24"/>
                <w:highlight w:val="none"/>
                <w:lang w:val="en-US" w:eastAsia="zh-CN"/>
              </w:rPr>
              <w:t>l</w:t>
            </w:r>
            <w:r>
              <w:rPr>
                <w:rFonts w:hint="default" w:ascii="Times New Roman" w:hAnsi="Times New Roman" w:eastAsia="宋体" w:cs="Times New Roman"/>
                <w:b w:val="0"/>
                <w:bCs/>
                <w:color w:val="auto"/>
                <w:sz w:val="24"/>
                <w:highlight w:val="none"/>
              </w:rPr>
              <w:t>/支，产生量约为</w:t>
            </w:r>
            <w:r>
              <w:rPr>
                <w:rFonts w:hint="default" w:ascii="Times New Roman" w:hAnsi="Times New Roman" w:eastAsia="宋体" w:cs="Times New Roman"/>
                <w:b w:val="0"/>
                <w:bCs/>
                <w:color w:val="auto"/>
                <w:sz w:val="24"/>
                <w:highlight w:val="none"/>
                <w:lang w:val="en-US" w:eastAsia="zh-CN"/>
              </w:rPr>
              <w:t>4万</w:t>
            </w:r>
            <w:r>
              <w:rPr>
                <w:rFonts w:hint="default" w:ascii="Times New Roman" w:hAnsi="Times New Roman" w:eastAsia="宋体" w:cs="Times New Roman"/>
                <w:b w:val="0"/>
                <w:bCs/>
                <w:color w:val="auto"/>
                <w:sz w:val="24"/>
                <w:highlight w:val="none"/>
              </w:rPr>
              <w:t>支，每支以50g计</w:t>
            </w:r>
            <w:r>
              <w:rPr>
                <w:rFonts w:hint="eastAsia" w:ascii="Times New Roman" w:hAnsi="Times New Roman" w:eastAsia="宋体" w:cs="Times New Roman"/>
                <w:b w:val="0"/>
                <w:bCs/>
                <w:color w:val="auto"/>
                <w:sz w:val="24"/>
                <w:highlight w:val="none"/>
                <w:lang w:eastAsia="zh-CN"/>
              </w:rPr>
              <w:t>；脱脂剂、硅烷处理剂</w:t>
            </w:r>
            <w:r>
              <w:rPr>
                <w:rFonts w:hint="default" w:ascii="Times New Roman" w:hAnsi="Times New Roman" w:eastAsia="宋体" w:cs="Times New Roman"/>
                <w:b w:val="0"/>
                <w:bCs/>
                <w:color w:val="auto"/>
                <w:sz w:val="24"/>
                <w:highlight w:val="none"/>
              </w:rPr>
              <w:t>均为25kg/桶装,废包装桶产生量约为</w:t>
            </w:r>
            <w:r>
              <w:rPr>
                <w:rFonts w:hint="eastAsia" w:ascii="Times New Roman" w:hAnsi="Times New Roman" w:eastAsia="宋体" w:cs="Times New Roman"/>
                <w:b w:val="0"/>
                <w:bCs/>
                <w:color w:val="auto"/>
                <w:sz w:val="24"/>
                <w:highlight w:val="none"/>
                <w:lang w:val="en-US" w:eastAsia="zh-CN"/>
              </w:rPr>
              <w:t>68</w:t>
            </w:r>
            <w:r>
              <w:rPr>
                <w:rFonts w:hint="default" w:ascii="Times New Roman" w:hAnsi="Times New Roman" w:eastAsia="宋体" w:cs="Times New Roman"/>
                <w:b w:val="0"/>
                <w:bCs/>
                <w:color w:val="auto"/>
                <w:sz w:val="24"/>
                <w:highlight w:val="none"/>
              </w:rPr>
              <w:t xml:space="preserve">只,每只空桶的重量以500g计;综上本项目废包装物产生量约为 </w:t>
            </w:r>
            <w:r>
              <w:rPr>
                <w:rFonts w:hint="eastAsia" w:ascii="Times New Roman" w:hAnsi="Times New Roman" w:eastAsia="宋体" w:cs="Times New Roman"/>
                <w:b w:val="0"/>
                <w:bCs/>
                <w:color w:val="auto"/>
                <w:sz w:val="24"/>
                <w:highlight w:val="none"/>
                <w:lang w:val="en-US" w:eastAsia="zh-CN"/>
              </w:rPr>
              <w:t>2.04</w:t>
            </w:r>
            <w:r>
              <w:rPr>
                <w:rFonts w:hint="default" w:ascii="Times New Roman" w:hAnsi="Times New Roman" w:eastAsia="宋体" w:cs="Times New Roman"/>
                <w:b w:val="0"/>
                <w:bCs/>
                <w:color w:val="auto"/>
                <w:sz w:val="24"/>
                <w:highlight w:val="none"/>
              </w:rPr>
              <w:t>t/a。属于HW49类危险废物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900-041-49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r>
              <w:rPr>
                <w:rFonts w:hint="default" w:ascii="Times New Roman" w:hAnsi="Times New Roman" w:eastAsia="宋体" w:cs="Times New Roman"/>
                <w:b w:val="0"/>
                <w:bCs/>
                <w:color w:val="auto"/>
                <w:sz w:val="24"/>
                <w:highlight w:val="none"/>
                <w:lang w:eastAsia="zh-CN"/>
              </w:rPr>
              <w:t>。</w:t>
            </w:r>
          </w:p>
          <w:p w14:paraId="6A46103F">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③含油</w:t>
            </w:r>
            <w:r>
              <w:rPr>
                <w:rFonts w:hint="default" w:ascii="Times New Roman" w:hAnsi="Times New Roman" w:eastAsia="宋体" w:cs="Times New Roman"/>
                <w:b w:val="0"/>
                <w:bCs/>
                <w:color w:val="auto"/>
                <w:sz w:val="24"/>
                <w:highlight w:val="none"/>
              </w:rPr>
              <w:t>抹布</w:t>
            </w:r>
            <w:r>
              <w:rPr>
                <w:rFonts w:hint="eastAsia" w:ascii="Times New Roman" w:hAnsi="Times New Roman" w:eastAsia="宋体" w:cs="Times New Roman"/>
                <w:b w:val="0"/>
                <w:bCs/>
                <w:color w:val="auto"/>
                <w:sz w:val="24"/>
                <w:highlight w:val="none"/>
                <w:lang w:val="en-US" w:eastAsia="zh-CN"/>
              </w:rPr>
              <w:t>手套</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HW49</w:t>
            </w:r>
            <w:r>
              <w:rPr>
                <w:rFonts w:hint="default" w:ascii="Times New Roman" w:hAnsi="Times New Roman" w:eastAsia="宋体" w:cs="Times New Roman"/>
                <w:b w:val="0"/>
                <w:bCs/>
                <w:color w:val="auto"/>
                <w:sz w:val="24"/>
                <w:highlight w:val="none"/>
                <w:lang w:eastAsia="zh-CN"/>
              </w:rPr>
              <w:t>）</w:t>
            </w:r>
          </w:p>
          <w:p w14:paraId="21F89A7C">
            <w:pPr>
              <w:spacing w:line="360" w:lineRule="auto"/>
              <w:ind w:firstLine="480" w:firstLineChars="200"/>
              <w:rPr>
                <w:rFonts w:hint="default"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lang w:val="en-US" w:eastAsia="zh-CN"/>
              </w:rPr>
              <w:t>本</w:t>
            </w:r>
            <w:r>
              <w:rPr>
                <w:rFonts w:hint="default" w:ascii="Times New Roman" w:hAnsi="Times New Roman" w:eastAsia="宋体" w:cs="Times New Roman"/>
                <w:b w:val="0"/>
                <w:bCs/>
                <w:color w:val="auto"/>
                <w:sz w:val="24"/>
                <w:highlight w:val="none"/>
              </w:rPr>
              <w:t>项目废弃的含油抹布</w:t>
            </w:r>
            <w:r>
              <w:rPr>
                <w:rFonts w:hint="eastAsia" w:ascii="Times New Roman" w:hAnsi="Times New Roman" w:eastAsia="宋体" w:cs="Times New Roman"/>
                <w:b w:val="0"/>
                <w:bCs/>
                <w:color w:val="auto"/>
                <w:sz w:val="24"/>
                <w:highlight w:val="none"/>
                <w:lang w:val="en-US" w:eastAsia="zh-CN"/>
              </w:rPr>
              <w:t>手套</w:t>
            </w:r>
            <w:r>
              <w:rPr>
                <w:rFonts w:hint="default" w:ascii="Times New Roman" w:hAnsi="Times New Roman" w:eastAsia="宋体" w:cs="Times New Roman"/>
                <w:b w:val="0"/>
                <w:bCs/>
                <w:color w:val="auto"/>
                <w:sz w:val="24"/>
                <w:highlight w:val="none"/>
              </w:rPr>
              <w:t>主要来自</w:t>
            </w:r>
            <w:r>
              <w:rPr>
                <w:rFonts w:hint="eastAsia" w:ascii="Times New Roman" w:hAnsi="Times New Roman" w:eastAsia="宋体" w:cs="Times New Roman"/>
                <w:b w:val="0"/>
                <w:bCs/>
                <w:color w:val="auto"/>
                <w:sz w:val="24"/>
                <w:highlight w:val="none"/>
                <w:lang w:val="en-US" w:eastAsia="zh-CN"/>
              </w:rPr>
              <w:t>设备维护</w:t>
            </w:r>
            <w:r>
              <w:rPr>
                <w:rFonts w:hint="default" w:ascii="Times New Roman" w:hAnsi="Times New Roman" w:eastAsia="宋体" w:cs="Times New Roman"/>
                <w:b w:val="0"/>
                <w:bCs/>
                <w:color w:val="auto"/>
                <w:sz w:val="24"/>
                <w:highlight w:val="none"/>
              </w:rPr>
              <w:t>，产生量约0.</w:t>
            </w:r>
            <w:r>
              <w:rPr>
                <w:rFonts w:hint="eastAsia" w:ascii="Times New Roman" w:hAnsi="Times New Roman" w:eastAsia="宋体"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rPr>
              <w:t>t</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a。</w:t>
            </w:r>
            <w:r>
              <w:rPr>
                <w:rFonts w:hint="eastAsia" w:ascii="Times New Roman" w:hAnsi="Times New Roman" w:eastAsia="宋体" w:cs="Times New Roman"/>
                <w:b w:val="0"/>
                <w:bCs/>
                <w:color w:val="auto"/>
                <w:sz w:val="24"/>
                <w:highlight w:val="none"/>
                <w:lang w:val="en-US" w:eastAsia="zh-CN"/>
              </w:rPr>
              <w:t>含油</w:t>
            </w:r>
            <w:r>
              <w:rPr>
                <w:rFonts w:hint="default" w:ascii="Times New Roman" w:hAnsi="Times New Roman" w:eastAsia="宋体" w:cs="Times New Roman"/>
                <w:b w:val="0"/>
                <w:bCs/>
                <w:color w:val="auto"/>
                <w:sz w:val="24"/>
                <w:highlight w:val="none"/>
              </w:rPr>
              <w:t>抹布</w:t>
            </w:r>
            <w:r>
              <w:rPr>
                <w:rFonts w:hint="eastAsia" w:ascii="Times New Roman" w:hAnsi="Times New Roman" w:eastAsia="宋体" w:cs="Times New Roman"/>
                <w:b w:val="0"/>
                <w:bCs/>
                <w:color w:val="auto"/>
                <w:sz w:val="24"/>
                <w:highlight w:val="none"/>
                <w:lang w:val="en-US" w:eastAsia="zh-CN"/>
              </w:rPr>
              <w:t>手套属于</w:t>
            </w:r>
            <w:r>
              <w:rPr>
                <w:rFonts w:hint="default" w:ascii="Times New Roman" w:hAnsi="Times New Roman" w:eastAsia="宋体" w:cs="Times New Roman"/>
                <w:b w:val="0"/>
                <w:bCs/>
                <w:color w:val="auto"/>
                <w:sz w:val="24"/>
                <w:highlight w:val="none"/>
              </w:rPr>
              <w:t>HW</w:t>
            </w:r>
            <w:r>
              <w:rPr>
                <w:rFonts w:hint="default" w:ascii="Times New Roman" w:hAnsi="Times New Roman" w:eastAsia="宋体" w:cs="Times New Roman"/>
                <w:b w:val="0"/>
                <w:bCs/>
                <w:color w:val="auto"/>
                <w:sz w:val="24"/>
                <w:highlight w:val="none"/>
                <w:lang w:val="en-US" w:eastAsia="zh-CN"/>
              </w:rPr>
              <w:t>49</w:t>
            </w:r>
            <w:r>
              <w:rPr>
                <w:rFonts w:hint="default" w:ascii="Times New Roman" w:hAnsi="Times New Roman" w:eastAsia="宋体" w:cs="Times New Roman"/>
                <w:b w:val="0"/>
                <w:bCs/>
                <w:color w:val="auto"/>
                <w:sz w:val="24"/>
                <w:highlight w:val="none"/>
              </w:rPr>
              <w:t xml:space="preserve"> 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900-041-49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367F7C06">
            <w:pPr>
              <w:spacing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④</w:t>
            </w:r>
            <w:r>
              <w:rPr>
                <w:rFonts w:hint="eastAsia" w:ascii="Times New Roman" w:hAnsi="Times New Roman" w:eastAsia="宋体" w:cs="Times New Roman"/>
                <w:b w:val="0"/>
                <w:bCs/>
                <w:color w:val="auto"/>
                <w:sz w:val="24"/>
                <w:highlight w:val="none"/>
                <w:lang w:eastAsia="zh-CN"/>
              </w:rPr>
              <w:t>废活性炭</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HW49</w:t>
            </w:r>
            <w:r>
              <w:rPr>
                <w:rFonts w:hint="default" w:ascii="Times New Roman" w:hAnsi="Times New Roman" w:eastAsia="宋体" w:cs="Times New Roman"/>
                <w:b w:val="0"/>
                <w:bCs/>
                <w:color w:val="auto"/>
                <w:sz w:val="24"/>
                <w:highlight w:val="none"/>
                <w:lang w:eastAsia="zh-CN"/>
              </w:rPr>
              <w:t>）</w:t>
            </w:r>
          </w:p>
          <w:p w14:paraId="1C148CF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本</w:t>
            </w:r>
            <w:r>
              <w:rPr>
                <w:rFonts w:hint="default" w:ascii="Times New Roman" w:hAnsi="Times New Roman" w:eastAsia="宋体" w:cs="Times New Roman"/>
                <w:b w:val="0"/>
                <w:bCs/>
                <w:color w:val="auto"/>
                <w:sz w:val="24"/>
                <w:highlight w:val="none"/>
                <w:lang w:eastAsia="zh-CN"/>
              </w:rPr>
              <w:t>项目</w:t>
            </w:r>
            <w:r>
              <w:rPr>
                <w:rFonts w:hint="eastAsia" w:ascii="Times New Roman" w:hAnsi="Times New Roman" w:eastAsia="宋体" w:cs="Times New Roman"/>
                <w:b w:val="0"/>
                <w:bCs/>
                <w:color w:val="auto"/>
                <w:sz w:val="24"/>
                <w:highlight w:val="none"/>
                <w:lang w:val="en-US" w:eastAsia="zh-CN"/>
              </w:rPr>
              <w:t>两套</w:t>
            </w:r>
            <w:r>
              <w:rPr>
                <w:rFonts w:hint="default" w:ascii="Times New Roman" w:hAnsi="Times New Roman" w:eastAsia="宋体" w:cs="Times New Roman"/>
                <w:b w:val="0"/>
                <w:bCs/>
                <w:color w:val="auto"/>
                <w:sz w:val="24"/>
                <w:highlight w:val="none"/>
                <w:lang w:eastAsia="zh-CN"/>
              </w:rPr>
              <w:t>废气处理设施二级活性炭吸附装置定期更换活性炭，活性炭按照《省生态环境厅关于将排污单位活性炭使用更换纳入排污许可管理的通知》中计算公式对活性炭更换频次进行计算。</w:t>
            </w:r>
          </w:p>
          <w:p w14:paraId="21834F48">
            <w:pPr>
              <w:numPr>
                <w:ilvl w:val="0"/>
                <w:numId w:val="0"/>
              </w:num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eastAsia="zh-CN"/>
              </w:rPr>
              <w:t>经前文4.2.2章节计算，预计全厂产生废活性炭量</w:t>
            </w:r>
            <w:r>
              <w:rPr>
                <w:rFonts w:hint="eastAsia" w:ascii="Times New Roman" w:hAnsi="Times New Roman" w:eastAsia="宋体" w:cs="Times New Roman"/>
                <w:b w:val="0"/>
                <w:bCs/>
                <w:color w:val="auto"/>
                <w:sz w:val="24"/>
                <w:highlight w:val="none"/>
                <w:lang w:val="en-US" w:eastAsia="zh-CN"/>
              </w:rPr>
              <w:t>6.638</w:t>
            </w:r>
            <w:r>
              <w:rPr>
                <w:rFonts w:hint="default" w:ascii="Times New Roman" w:hAnsi="Times New Roman" w:eastAsia="宋体" w:cs="Times New Roman"/>
                <w:b w:val="0"/>
                <w:bCs/>
                <w:color w:val="auto"/>
                <w:sz w:val="24"/>
                <w:highlight w:val="none"/>
                <w:lang w:eastAsia="zh-CN"/>
              </w:rPr>
              <w:t>t（含吸附的有机废气量）。</w:t>
            </w:r>
            <w:r>
              <w:rPr>
                <w:rFonts w:hint="eastAsia" w:ascii="Times New Roman" w:hAnsi="Times New Roman" w:eastAsia="宋体" w:cs="Times New Roman"/>
                <w:b w:val="0"/>
                <w:bCs/>
                <w:color w:val="auto"/>
                <w:sz w:val="24"/>
                <w:highlight w:val="none"/>
                <w:lang w:eastAsia="zh-CN"/>
              </w:rPr>
              <w:t>废活性炭</w:t>
            </w:r>
            <w:r>
              <w:rPr>
                <w:rFonts w:hint="eastAsia" w:ascii="Times New Roman" w:hAnsi="Times New Roman" w:eastAsia="宋体" w:cs="Times New Roman"/>
                <w:b w:val="0"/>
                <w:bCs/>
                <w:color w:val="auto"/>
                <w:sz w:val="24"/>
                <w:highlight w:val="none"/>
                <w:lang w:val="en-US" w:eastAsia="zh-CN"/>
              </w:rPr>
              <w:t>属于</w:t>
            </w:r>
            <w:r>
              <w:rPr>
                <w:rFonts w:hint="default" w:ascii="Times New Roman" w:hAnsi="Times New Roman" w:eastAsia="宋体" w:cs="Times New Roman"/>
                <w:b w:val="0"/>
                <w:bCs/>
                <w:color w:val="auto"/>
                <w:sz w:val="24"/>
                <w:highlight w:val="none"/>
              </w:rPr>
              <w:t>HW</w:t>
            </w:r>
            <w:r>
              <w:rPr>
                <w:rFonts w:hint="default" w:ascii="Times New Roman" w:hAnsi="Times New Roman" w:eastAsia="宋体" w:cs="Times New Roman"/>
                <w:b w:val="0"/>
                <w:bCs/>
                <w:color w:val="auto"/>
                <w:sz w:val="24"/>
                <w:highlight w:val="none"/>
                <w:lang w:val="en-US" w:eastAsia="zh-CN"/>
              </w:rPr>
              <w:t>49</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900-0</w:t>
            </w:r>
            <w:r>
              <w:rPr>
                <w:rFonts w:hint="eastAsia" w:ascii="Times New Roman" w:hAnsi="Times New Roman" w:eastAsia="宋体" w:cs="Times New Roman"/>
                <w:b w:val="0"/>
                <w:bCs/>
                <w:color w:val="auto"/>
                <w:sz w:val="24"/>
                <w:highlight w:val="none"/>
                <w:lang w:val="en-US" w:eastAsia="zh-CN"/>
              </w:rPr>
              <w:t>39</w:t>
            </w:r>
            <w:r>
              <w:rPr>
                <w:rFonts w:hint="default" w:ascii="Times New Roman" w:hAnsi="Times New Roman" w:eastAsia="宋体" w:cs="Times New Roman"/>
                <w:b w:val="0"/>
                <w:bCs/>
                <w:color w:val="auto"/>
                <w:sz w:val="24"/>
                <w:highlight w:val="none"/>
              </w:rPr>
              <w:t>-49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0014E6EF">
            <w:pPr>
              <w:numPr>
                <w:ilvl w:val="0"/>
                <w:numId w:val="0"/>
              </w:numPr>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val="en-US" w:eastAsia="zh-CN"/>
              </w:rPr>
              <w:t>⑤</w:t>
            </w:r>
            <w:r>
              <w:rPr>
                <w:rFonts w:hint="eastAsia" w:ascii="Times New Roman" w:hAnsi="Times New Roman" w:eastAsia="宋体" w:cs="Times New Roman"/>
                <w:b w:val="0"/>
                <w:bCs/>
                <w:color w:val="auto"/>
                <w:sz w:val="24"/>
                <w:highlight w:val="none"/>
                <w:lang w:eastAsia="zh-CN"/>
              </w:rPr>
              <w:t>污泥</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w:t>
            </w:r>
            <w:r>
              <w:rPr>
                <w:rFonts w:hint="eastAsia" w:ascii="Times New Roman" w:hAnsi="Times New Roman" w:eastAsia="宋体" w:cs="Times New Roman"/>
                <w:b w:val="0"/>
                <w:bCs/>
                <w:color w:val="auto"/>
                <w:sz w:val="24"/>
                <w:highlight w:val="none"/>
                <w:lang w:val="en-US" w:eastAsia="zh-CN"/>
              </w:rPr>
              <w:t>17</w:t>
            </w:r>
            <w:r>
              <w:rPr>
                <w:rFonts w:hint="default" w:ascii="Times New Roman" w:hAnsi="Times New Roman" w:eastAsia="宋体" w:cs="Times New Roman"/>
                <w:b w:val="0"/>
                <w:bCs/>
                <w:color w:val="auto"/>
                <w:sz w:val="24"/>
                <w:highlight w:val="none"/>
                <w:lang w:eastAsia="zh-CN"/>
              </w:rPr>
              <w:t>）</w:t>
            </w:r>
          </w:p>
          <w:p w14:paraId="01D9BA76">
            <w:pPr>
              <w:numPr>
                <w:ilvl w:val="0"/>
                <w:numId w:val="0"/>
              </w:numPr>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本项目废水处理设施沉淀池底部有污泥产生，需定期清理，污泥经压滤机压滤后委托有资质单位处置，</w:t>
            </w:r>
            <w:r>
              <w:rPr>
                <w:rFonts w:hint="eastAsia" w:ascii="Times New Roman" w:hAnsi="Times New Roman" w:eastAsia="宋体" w:cs="Times New Roman"/>
                <w:b w:val="0"/>
                <w:bCs/>
                <w:color w:val="auto"/>
                <w:sz w:val="24"/>
                <w:highlight w:val="none"/>
                <w:lang w:val="en-US" w:eastAsia="zh-CN"/>
              </w:rPr>
              <w:t>污泥量约占废水量的1.7%</w:t>
            </w:r>
            <w:r>
              <w:rPr>
                <w:rFonts w:hint="eastAsia" w:ascii="Times New Roman" w:hAnsi="Times New Roman" w:eastAsia="宋体" w:cs="Times New Roman"/>
                <w:b w:val="0"/>
                <w:bCs/>
                <w:color w:val="auto"/>
                <w:sz w:val="24"/>
                <w:highlight w:val="none"/>
                <w:lang w:eastAsia="zh-CN"/>
              </w:rPr>
              <w:t>，则污泥产生量为</w:t>
            </w:r>
            <w:r>
              <w:rPr>
                <w:rFonts w:hint="eastAsia" w:ascii="Times New Roman" w:hAnsi="Times New Roman" w:eastAsia="宋体" w:cs="Times New Roman"/>
                <w:b w:val="0"/>
                <w:bCs/>
                <w:color w:val="auto"/>
                <w:sz w:val="24"/>
                <w:highlight w:val="none"/>
                <w:lang w:val="en-US" w:eastAsia="zh-CN"/>
              </w:rPr>
              <w:t>2.2</w:t>
            </w:r>
            <w:r>
              <w:rPr>
                <w:rFonts w:hint="eastAsia" w:ascii="Times New Roman" w:hAnsi="Times New Roman" w:eastAsia="宋体" w:cs="Times New Roman"/>
                <w:b w:val="0"/>
                <w:bCs/>
                <w:color w:val="auto"/>
                <w:sz w:val="24"/>
                <w:highlight w:val="none"/>
                <w:lang w:eastAsia="zh-CN"/>
              </w:rPr>
              <w:t>t/a。</w:t>
            </w:r>
            <w:r>
              <w:rPr>
                <w:rFonts w:hint="eastAsia" w:ascii="Times New Roman" w:hAnsi="Times New Roman" w:eastAsia="宋体" w:cs="Times New Roman"/>
                <w:b w:val="0"/>
                <w:bCs/>
                <w:color w:val="auto"/>
                <w:sz w:val="24"/>
                <w:highlight w:val="none"/>
                <w:lang w:val="en-US" w:eastAsia="zh-CN"/>
              </w:rPr>
              <w:t>污泥属于</w:t>
            </w:r>
            <w:r>
              <w:rPr>
                <w:rFonts w:hint="default" w:ascii="Times New Roman" w:hAnsi="Times New Roman" w:eastAsia="宋体" w:cs="Times New Roman"/>
                <w:b w:val="0"/>
                <w:bCs/>
                <w:color w:val="auto"/>
                <w:sz w:val="24"/>
                <w:highlight w:val="none"/>
              </w:rPr>
              <w:t>HW</w:t>
            </w:r>
            <w:r>
              <w:rPr>
                <w:rFonts w:hint="eastAsia" w:ascii="Times New Roman" w:hAnsi="Times New Roman" w:eastAsia="宋体" w:cs="Times New Roman"/>
                <w:b w:val="0"/>
                <w:bCs/>
                <w:color w:val="auto"/>
                <w:sz w:val="24"/>
                <w:highlight w:val="none"/>
                <w:lang w:val="en-US" w:eastAsia="zh-CN"/>
              </w:rPr>
              <w:t>17</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336-064-17</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26610EED">
            <w:pPr>
              <w:numPr>
                <w:ilvl w:val="0"/>
                <w:numId w:val="0"/>
              </w:num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⑥污水处理站浓水</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HW49</w:t>
            </w:r>
            <w:r>
              <w:rPr>
                <w:rFonts w:hint="default" w:ascii="Times New Roman" w:hAnsi="Times New Roman" w:eastAsia="宋体" w:cs="Times New Roman"/>
                <w:b w:val="0"/>
                <w:bCs/>
                <w:color w:val="auto"/>
                <w:sz w:val="24"/>
                <w:highlight w:val="none"/>
                <w:lang w:eastAsia="zh-CN"/>
              </w:rPr>
              <w:t>）</w:t>
            </w:r>
          </w:p>
          <w:p w14:paraId="4EF395DE">
            <w:pPr>
              <w:numPr>
                <w:ilvl w:val="0"/>
                <w:numId w:val="0"/>
              </w:numPr>
              <w:spacing w:line="360" w:lineRule="auto"/>
              <w:ind w:firstLine="480" w:firstLineChars="200"/>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本项目废水经纳滤装置处理后有浓水产生，浓水产生量约占处理废水量的 4.92%，本项目在纳滤装置处理废水量为131t/a,则浓水产生量约为6.45t/a。污水处理站浓水属于</w:t>
            </w:r>
            <w:r>
              <w:rPr>
                <w:rFonts w:hint="default" w:ascii="Times New Roman" w:hAnsi="Times New Roman" w:eastAsia="宋体" w:cs="Times New Roman"/>
                <w:b w:val="0"/>
                <w:bCs/>
                <w:color w:val="auto"/>
                <w:sz w:val="24"/>
                <w:highlight w:val="none"/>
              </w:rPr>
              <w:t>HW</w:t>
            </w:r>
            <w:r>
              <w:rPr>
                <w:rFonts w:hint="default" w:ascii="Times New Roman" w:hAnsi="Times New Roman" w:eastAsia="宋体" w:cs="Times New Roman"/>
                <w:b w:val="0"/>
                <w:bCs/>
                <w:color w:val="auto"/>
                <w:sz w:val="24"/>
                <w:highlight w:val="none"/>
                <w:lang w:val="en-US" w:eastAsia="zh-CN"/>
              </w:rPr>
              <w:t>49</w:t>
            </w:r>
            <w:r>
              <w:rPr>
                <w:rFonts w:hint="default" w:ascii="Times New Roman" w:hAnsi="Times New Roman" w:eastAsia="宋体" w:cs="Times New Roman"/>
                <w:b w:val="0"/>
                <w:bCs/>
                <w:color w:val="auto"/>
                <w:sz w:val="24"/>
                <w:highlight w:val="none"/>
              </w:rPr>
              <w:t>类危险废物</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危废代码</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772-006-49</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，委托有危险废物处理资质的单位进行处理处置。</w:t>
            </w:r>
          </w:p>
          <w:p w14:paraId="5894D46B">
            <w:pPr>
              <w:spacing w:line="360" w:lineRule="auto"/>
              <w:ind w:firstLine="482" w:firstLineChars="200"/>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2、固体废物属性判定</w:t>
            </w:r>
          </w:p>
          <w:p w14:paraId="594C6EC4">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根据《中华人民共和国固体废物污染环境防治法》、《固体废物鉴别标准通则》（GB34330-2017）、《建设项目危险废物环境影响评价指南》（公告2017年第43号）和《关于贯彻落实建设项目危险废物环境影响评价指南要求的通知》（苏环办[2018]18号）的规定，判断建设项目生产过程中产生的副产物是否属于固体废物，判定依据及结果见表4-</w:t>
            </w:r>
            <w:r>
              <w:rPr>
                <w:rFonts w:hint="eastAsia" w:ascii="Times New Roman" w:hAnsi="Times New Roman" w:eastAsia="宋体" w:cs="Times New Roman"/>
                <w:b w:val="0"/>
                <w:bCs/>
                <w:color w:val="auto"/>
                <w:sz w:val="24"/>
                <w:highlight w:val="none"/>
                <w:lang w:val="en-US" w:eastAsia="zh-CN"/>
              </w:rPr>
              <w:t>24</w:t>
            </w:r>
            <w:r>
              <w:rPr>
                <w:rFonts w:hint="default" w:ascii="Times New Roman" w:hAnsi="Times New Roman" w:eastAsia="宋体" w:cs="Times New Roman"/>
                <w:b w:val="0"/>
                <w:bCs/>
                <w:color w:val="auto"/>
                <w:sz w:val="24"/>
                <w:highlight w:val="none"/>
              </w:rPr>
              <w:t>。</w:t>
            </w:r>
          </w:p>
          <w:p w14:paraId="05B1C839">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24</w:t>
            </w:r>
            <w:r>
              <w:rPr>
                <w:rFonts w:hint="default" w:ascii="Times New Roman" w:hAnsi="Times New Roman" w:eastAsia="宋体" w:cs="Times New Roman"/>
                <w:b/>
                <w:color w:val="auto"/>
                <w:sz w:val="24"/>
                <w:highlight w:val="none"/>
              </w:rPr>
              <w:t xml:space="preserve">  本项目副产物产生情况汇总表</w:t>
            </w:r>
          </w:p>
          <w:tbl>
            <w:tblPr>
              <w:tblStyle w:val="27"/>
              <w:tblW w:w="84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192"/>
              <w:gridCol w:w="1183"/>
              <w:gridCol w:w="808"/>
              <w:gridCol w:w="934"/>
              <w:gridCol w:w="925"/>
              <w:gridCol w:w="766"/>
              <w:gridCol w:w="909"/>
              <w:gridCol w:w="1309"/>
            </w:tblGrid>
            <w:tr w14:paraId="44BB9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Merge w:val="restart"/>
                  <w:vAlign w:val="center"/>
                </w:tcPr>
                <w:p w14:paraId="17DD1E67">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702" w:type="pct"/>
                  <w:vMerge w:val="restart"/>
                  <w:vAlign w:val="center"/>
                </w:tcPr>
                <w:p w14:paraId="123EA571">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副产物</w:t>
                  </w:r>
                </w:p>
                <w:p w14:paraId="3717C8C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696" w:type="pct"/>
                  <w:vMerge w:val="restart"/>
                  <w:vAlign w:val="center"/>
                </w:tcPr>
                <w:p w14:paraId="2EB10E2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w:t>
                  </w:r>
                </w:p>
                <w:p w14:paraId="102B1C7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来源</w:t>
                  </w:r>
                </w:p>
              </w:tc>
              <w:tc>
                <w:tcPr>
                  <w:tcW w:w="475" w:type="pct"/>
                  <w:vMerge w:val="restart"/>
                  <w:vAlign w:val="center"/>
                </w:tcPr>
                <w:p w14:paraId="77769C11">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550" w:type="pct"/>
                  <w:vMerge w:val="restart"/>
                  <w:vAlign w:val="center"/>
                </w:tcPr>
                <w:p w14:paraId="5DD80B19">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w:t>
                  </w:r>
                </w:p>
                <w:p w14:paraId="4F522C49">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成分</w:t>
                  </w:r>
                </w:p>
              </w:tc>
              <w:tc>
                <w:tcPr>
                  <w:tcW w:w="544" w:type="pct"/>
                  <w:vMerge w:val="restart"/>
                  <w:vAlign w:val="center"/>
                </w:tcPr>
                <w:p w14:paraId="72C1617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预测产生量（t/a）</w:t>
                  </w:r>
                </w:p>
              </w:tc>
              <w:tc>
                <w:tcPr>
                  <w:tcW w:w="1757" w:type="pct"/>
                  <w:gridSpan w:val="3"/>
                  <w:vAlign w:val="center"/>
                </w:tcPr>
                <w:p w14:paraId="10D4DF58">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种类判断*</w:t>
                  </w:r>
                </w:p>
              </w:tc>
            </w:tr>
            <w:tr w14:paraId="0D08B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Merge w:val="continue"/>
                  <w:vAlign w:val="center"/>
                </w:tcPr>
                <w:p w14:paraId="4FB9F0AC">
                  <w:pPr>
                    <w:adjustRightInd w:val="0"/>
                    <w:snapToGrid w:val="0"/>
                    <w:jc w:val="center"/>
                    <w:rPr>
                      <w:rFonts w:hint="default" w:ascii="Times New Roman" w:hAnsi="Times New Roman" w:eastAsia="宋体" w:cs="Times New Roman"/>
                      <w:b/>
                      <w:color w:val="auto"/>
                      <w:sz w:val="21"/>
                      <w:szCs w:val="21"/>
                      <w:highlight w:val="none"/>
                    </w:rPr>
                  </w:pPr>
                </w:p>
              </w:tc>
              <w:tc>
                <w:tcPr>
                  <w:tcW w:w="702" w:type="pct"/>
                  <w:vMerge w:val="continue"/>
                  <w:vAlign w:val="center"/>
                </w:tcPr>
                <w:p w14:paraId="7C68A4CD">
                  <w:pPr>
                    <w:adjustRightInd w:val="0"/>
                    <w:snapToGrid w:val="0"/>
                    <w:jc w:val="center"/>
                    <w:rPr>
                      <w:rFonts w:hint="default" w:ascii="Times New Roman" w:hAnsi="Times New Roman" w:eastAsia="宋体" w:cs="Times New Roman"/>
                      <w:b/>
                      <w:color w:val="auto"/>
                      <w:sz w:val="21"/>
                      <w:szCs w:val="21"/>
                      <w:highlight w:val="none"/>
                    </w:rPr>
                  </w:pPr>
                </w:p>
              </w:tc>
              <w:tc>
                <w:tcPr>
                  <w:tcW w:w="696" w:type="pct"/>
                  <w:vMerge w:val="continue"/>
                  <w:vAlign w:val="center"/>
                </w:tcPr>
                <w:p w14:paraId="32DF1034">
                  <w:pPr>
                    <w:adjustRightInd w:val="0"/>
                    <w:snapToGrid w:val="0"/>
                    <w:jc w:val="center"/>
                    <w:rPr>
                      <w:rFonts w:hint="default" w:ascii="Times New Roman" w:hAnsi="Times New Roman" w:eastAsia="宋体" w:cs="Times New Roman"/>
                      <w:b/>
                      <w:color w:val="auto"/>
                      <w:sz w:val="21"/>
                      <w:szCs w:val="21"/>
                      <w:highlight w:val="none"/>
                    </w:rPr>
                  </w:pPr>
                </w:p>
              </w:tc>
              <w:tc>
                <w:tcPr>
                  <w:tcW w:w="475" w:type="pct"/>
                  <w:vMerge w:val="continue"/>
                  <w:vAlign w:val="center"/>
                </w:tcPr>
                <w:p w14:paraId="0629BE34">
                  <w:pPr>
                    <w:adjustRightInd w:val="0"/>
                    <w:snapToGrid w:val="0"/>
                    <w:jc w:val="center"/>
                    <w:rPr>
                      <w:rFonts w:hint="default" w:ascii="Times New Roman" w:hAnsi="Times New Roman" w:eastAsia="宋体" w:cs="Times New Roman"/>
                      <w:b/>
                      <w:color w:val="auto"/>
                      <w:sz w:val="21"/>
                      <w:szCs w:val="21"/>
                      <w:highlight w:val="none"/>
                    </w:rPr>
                  </w:pPr>
                </w:p>
              </w:tc>
              <w:tc>
                <w:tcPr>
                  <w:tcW w:w="550" w:type="pct"/>
                  <w:vMerge w:val="continue"/>
                  <w:vAlign w:val="center"/>
                </w:tcPr>
                <w:p w14:paraId="5830BC02">
                  <w:pPr>
                    <w:adjustRightInd w:val="0"/>
                    <w:snapToGrid w:val="0"/>
                    <w:jc w:val="center"/>
                    <w:rPr>
                      <w:rFonts w:hint="default" w:ascii="Times New Roman" w:hAnsi="Times New Roman" w:eastAsia="宋体" w:cs="Times New Roman"/>
                      <w:b/>
                      <w:color w:val="auto"/>
                      <w:sz w:val="21"/>
                      <w:szCs w:val="21"/>
                      <w:highlight w:val="none"/>
                    </w:rPr>
                  </w:pPr>
                </w:p>
              </w:tc>
              <w:tc>
                <w:tcPr>
                  <w:tcW w:w="544" w:type="pct"/>
                  <w:vMerge w:val="continue"/>
                  <w:vAlign w:val="center"/>
                </w:tcPr>
                <w:p w14:paraId="2782386D">
                  <w:pPr>
                    <w:adjustRightInd w:val="0"/>
                    <w:snapToGrid w:val="0"/>
                    <w:jc w:val="center"/>
                    <w:rPr>
                      <w:rFonts w:hint="default" w:ascii="Times New Roman" w:hAnsi="Times New Roman" w:eastAsia="宋体" w:cs="Times New Roman"/>
                      <w:b/>
                      <w:color w:val="auto"/>
                      <w:sz w:val="21"/>
                      <w:szCs w:val="21"/>
                      <w:highlight w:val="none"/>
                    </w:rPr>
                  </w:pPr>
                </w:p>
              </w:tc>
              <w:tc>
                <w:tcPr>
                  <w:tcW w:w="451" w:type="pct"/>
                  <w:vAlign w:val="center"/>
                </w:tcPr>
                <w:p w14:paraId="3042E66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固体</w:t>
                  </w:r>
                </w:p>
                <w:p w14:paraId="7B17E778">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w:t>
                  </w:r>
                </w:p>
              </w:tc>
              <w:tc>
                <w:tcPr>
                  <w:tcW w:w="535" w:type="pct"/>
                  <w:vAlign w:val="center"/>
                </w:tcPr>
                <w:p w14:paraId="3ADBEE3B">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副产品</w:t>
                  </w:r>
                </w:p>
              </w:tc>
              <w:tc>
                <w:tcPr>
                  <w:tcW w:w="770" w:type="pct"/>
                  <w:vAlign w:val="center"/>
                </w:tcPr>
                <w:p w14:paraId="688079DB">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判定依据</w:t>
                  </w:r>
                </w:p>
              </w:tc>
            </w:tr>
            <w:tr w14:paraId="49AC7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Align w:val="center"/>
                </w:tcPr>
                <w:p w14:paraId="236DEE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02" w:type="pct"/>
                  <w:vAlign w:val="center"/>
                </w:tcPr>
                <w:p w14:paraId="23F5A1E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696" w:type="pct"/>
                  <w:vAlign w:val="center"/>
                </w:tcPr>
                <w:p w14:paraId="51E6B4E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办公、生活</w:t>
                  </w:r>
                </w:p>
              </w:tc>
              <w:tc>
                <w:tcPr>
                  <w:tcW w:w="475" w:type="pct"/>
                  <w:vAlign w:val="center"/>
                </w:tcPr>
                <w:p w14:paraId="6808959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550" w:type="pct"/>
                  <w:vAlign w:val="center"/>
                </w:tcPr>
                <w:p w14:paraId="12E0455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废塑料、废纸等</w:t>
                  </w:r>
                </w:p>
              </w:tc>
              <w:tc>
                <w:tcPr>
                  <w:tcW w:w="544" w:type="pct"/>
                  <w:vAlign w:val="center"/>
                </w:tcPr>
                <w:p w14:paraId="67ED74E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6.75</w:t>
                  </w:r>
                </w:p>
              </w:tc>
              <w:tc>
                <w:tcPr>
                  <w:tcW w:w="451" w:type="pct"/>
                  <w:vAlign w:val="center"/>
                </w:tcPr>
                <w:p w14:paraId="200F66F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2F77495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restart"/>
                  <w:vAlign w:val="center"/>
                </w:tcPr>
                <w:p w14:paraId="3C92DAD9">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《固体废物鉴别标准通则》（GB34330-2017）</w:t>
                  </w:r>
                </w:p>
              </w:tc>
            </w:tr>
            <w:tr w14:paraId="39370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5BBA2FE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02" w:type="pct"/>
                  <w:shd w:val="clear" w:color="auto" w:fill="auto"/>
                  <w:vAlign w:val="center"/>
                </w:tcPr>
                <w:p w14:paraId="2C6FC0A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边角料</w:t>
                  </w:r>
                </w:p>
              </w:tc>
              <w:tc>
                <w:tcPr>
                  <w:tcW w:w="696" w:type="pct"/>
                  <w:shd w:val="clear" w:color="auto" w:fill="auto"/>
                  <w:vAlign w:val="center"/>
                </w:tcPr>
                <w:p w14:paraId="1814358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下料、造型</w:t>
                  </w:r>
                </w:p>
              </w:tc>
              <w:tc>
                <w:tcPr>
                  <w:tcW w:w="475" w:type="pct"/>
                  <w:shd w:val="clear" w:color="auto" w:fill="auto"/>
                  <w:vAlign w:val="center"/>
                </w:tcPr>
                <w:p w14:paraId="5D6B4371">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550" w:type="pct"/>
                  <w:shd w:val="clear" w:color="auto" w:fill="auto"/>
                  <w:vAlign w:val="center"/>
                </w:tcPr>
                <w:p w14:paraId="71A8F37B">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金属</w:t>
                  </w:r>
                </w:p>
              </w:tc>
              <w:tc>
                <w:tcPr>
                  <w:tcW w:w="544" w:type="pct"/>
                  <w:shd w:val="clear" w:color="auto" w:fill="auto"/>
                  <w:vAlign w:val="center"/>
                </w:tcPr>
                <w:p w14:paraId="69E9C7FA">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451" w:type="pct"/>
                  <w:shd w:val="clear" w:color="auto" w:fill="auto"/>
                  <w:vAlign w:val="center"/>
                </w:tcPr>
                <w:p w14:paraId="7B6ED06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35" w:type="pct"/>
                  <w:shd w:val="clear" w:color="auto" w:fill="auto"/>
                  <w:vAlign w:val="center"/>
                </w:tcPr>
                <w:p w14:paraId="27BDE20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4E80BA85">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49ABE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73" w:type="pct"/>
                  <w:shd w:val="clear" w:color="auto" w:fill="auto"/>
                  <w:vAlign w:val="center"/>
                </w:tcPr>
                <w:p w14:paraId="48D08E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02" w:type="pct"/>
                  <w:shd w:val="clear" w:color="auto" w:fill="auto"/>
                  <w:vAlign w:val="center"/>
                </w:tcPr>
                <w:p w14:paraId="55C9F4D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废包装纸</w:t>
                  </w:r>
                </w:p>
              </w:tc>
              <w:tc>
                <w:tcPr>
                  <w:tcW w:w="696" w:type="pct"/>
                  <w:shd w:val="clear" w:color="auto" w:fill="auto"/>
                  <w:vAlign w:val="center"/>
                </w:tcPr>
                <w:p w14:paraId="4C08AFD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原料包装</w:t>
                  </w:r>
                </w:p>
              </w:tc>
              <w:tc>
                <w:tcPr>
                  <w:tcW w:w="475" w:type="pct"/>
                  <w:shd w:val="clear" w:color="auto" w:fill="auto"/>
                  <w:vAlign w:val="center"/>
                </w:tcPr>
                <w:p w14:paraId="6BD796C9">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固态</w:t>
                  </w:r>
                </w:p>
              </w:tc>
              <w:tc>
                <w:tcPr>
                  <w:tcW w:w="550" w:type="pct"/>
                  <w:shd w:val="clear" w:color="auto" w:fill="auto"/>
                  <w:vAlign w:val="center"/>
                </w:tcPr>
                <w:p w14:paraId="7427E5CA">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纸</w:t>
                  </w:r>
                </w:p>
              </w:tc>
              <w:tc>
                <w:tcPr>
                  <w:tcW w:w="544" w:type="pct"/>
                  <w:shd w:val="clear" w:color="auto" w:fill="auto"/>
                  <w:vAlign w:val="center"/>
                </w:tcPr>
                <w:p w14:paraId="7F59CE9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0.28</w:t>
                  </w:r>
                </w:p>
              </w:tc>
              <w:tc>
                <w:tcPr>
                  <w:tcW w:w="451" w:type="pct"/>
                  <w:shd w:val="clear" w:color="auto" w:fill="auto"/>
                  <w:vAlign w:val="center"/>
                </w:tcPr>
                <w:p w14:paraId="4BE17D1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35" w:type="pct"/>
                  <w:shd w:val="clear" w:color="auto" w:fill="auto"/>
                  <w:vAlign w:val="center"/>
                </w:tcPr>
                <w:p w14:paraId="0A6006E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47EBDFC1">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52A3C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shd w:val="clear" w:color="auto" w:fill="auto"/>
                  <w:vAlign w:val="center"/>
                </w:tcPr>
                <w:p w14:paraId="385143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02" w:type="pct"/>
                  <w:shd w:val="clear" w:color="auto" w:fill="auto"/>
                  <w:vAlign w:val="center"/>
                </w:tcPr>
                <w:p w14:paraId="5D6AB5DF">
                  <w:pPr>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废滤芯</w:t>
                  </w:r>
                </w:p>
              </w:tc>
              <w:tc>
                <w:tcPr>
                  <w:tcW w:w="696" w:type="pct"/>
                  <w:shd w:val="clear" w:color="auto" w:fill="auto"/>
                  <w:vAlign w:val="center"/>
                </w:tcPr>
                <w:p w14:paraId="153E93B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475" w:type="pct"/>
                  <w:shd w:val="clear" w:color="auto" w:fill="auto"/>
                  <w:vAlign w:val="center"/>
                </w:tcPr>
                <w:p w14:paraId="3B119662">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固态</w:t>
                  </w:r>
                </w:p>
              </w:tc>
              <w:tc>
                <w:tcPr>
                  <w:tcW w:w="550" w:type="pct"/>
                  <w:shd w:val="clear" w:color="auto" w:fill="auto"/>
                  <w:vAlign w:val="center"/>
                </w:tcPr>
                <w:p w14:paraId="7A9406BB">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塑料</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纤维</w:t>
                  </w:r>
                </w:p>
              </w:tc>
              <w:tc>
                <w:tcPr>
                  <w:tcW w:w="544" w:type="pct"/>
                  <w:shd w:val="clear" w:color="auto" w:fill="auto"/>
                  <w:vAlign w:val="center"/>
                </w:tcPr>
                <w:p w14:paraId="2ADC3BE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451" w:type="pct"/>
                  <w:shd w:val="clear" w:color="auto" w:fill="auto"/>
                  <w:vAlign w:val="center"/>
                </w:tcPr>
                <w:p w14:paraId="0FB49FF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shd w:val="clear" w:color="auto" w:fill="auto"/>
                  <w:vAlign w:val="center"/>
                </w:tcPr>
                <w:p w14:paraId="32E782B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222B4A08">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37837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shd w:val="clear" w:color="auto" w:fill="auto"/>
                  <w:vAlign w:val="center"/>
                </w:tcPr>
                <w:p w14:paraId="2654FA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02" w:type="pct"/>
                  <w:shd w:val="clear" w:color="auto" w:fill="auto"/>
                  <w:vAlign w:val="center"/>
                </w:tcPr>
                <w:p w14:paraId="11F84339">
                  <w:pPr>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废滤筒</w:t>
                  </w:r>
                </w:p>
              </w:tc>
              <w:tc>
                <w:tcPr>
                  <w:tcW w:w="696" w:type="pct"/>
                  <w:shd w:val="clear" w:color="auto" w:fill="auto"/>
                  <w:vAlign w:val="center"/>
                </w:tcPr>
                <w:p w14:paraId="44BFB53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475" w:type="pct"/>
                  <w:shd w:val="clear" w:color="auto" w:fill="auto"/>
                  <w:vAlign w:val="center"/>
                </w:tcPr>
                <w:p w14:paraId="61A4E9FC">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固态</w:t>
                  </w:r>
                </w:p>
              </w:tc>
              <w:tc>
                <w:tcPr>
                  <w:tcW w:w="550" w:type="pct"/>
                  <w:shd w:val="clear" w:color="auto" w:fill="auto"/>
                  <w:vAlign w:val="center"/>
                </w:tcPr>
                <w:p w14:paraId="265FAB56">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塑料、纤维</w:t>
                  </w:r>
                </w:p>
              </w:tc>
              <w:tc>
                <w:tcPr>
                  <w:tcW w:w="544" w:type="pct"/>
                  <w:shd w:val="clear" w:color="auto" w:fill="auto"/>
                  <w:vAlign w:val="center"/>
                </w:tcPr>
                <w:p w14:paraId="2D20A5F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451" w:type="pct"/>
                  <w:shd w:val="clear" w:color="auto" w:fill="auto"/>
                  <w:vAlign w:val="center"/>
                </w:tcPr>
                <w:p w14:paraId="18EE14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shd w:val="clear" w:color="auto" w:fill="auto"/>
                  <w:vAlign w:val="center"/>
                </w:tcPr>
                <w:p w14:paraId="61E1282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416894A2">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1C609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shd w:val="clear" w:color="auto" w:fill="auto"/>
                  <w:vAlign w:val="center"/>
                </w:tcPr>
                <w:p w14:paraId="53FA4B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02" w:type="pct"/>
                  <w:shd w:val="clear" w:color="auto" w:fill="auto"/>
                  <w:vAlign w:val="center"/>
                </w:tcPr>
                <w:p w14:paraId="11C729CD">
                  <w:pPr>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除尘灰</w:t>
                  </w:r>
                </w:p>
              </w:tc>
              <w:tc>
                <w:tcPr>
                  <w:tcW w:w="696" w:type="pct"/>
                  <w:shd w:val="clear" w:color="auto" w:fill="auto"/>
                  <w:vAlign w:val="center"/>
                </w:tcPr>
                <w:p w14:paraId="5D8C2E9E">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475" w:type="pct"/>
                  <w:shd w:val="clear" w:color="auto" w:fill="auto"/>
                  <w:vAlign w:val="center"/>
                </w:tcPr>
                <w:p w14:paraId="7630992D">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固态</w:t>
                  </w:r>
                </w:p>
              </w:tc>
              <w:tc>
                <w:tcPr>
                  <w:tcW w:w="550" w:type="pct"/>
                  <w:shd w:val="clear" w:color="auto" w:fill="auto"/>
                  <w:vAlign w:val="center"/>
                </w:tcPr>
                <w:p w14:paraId="0042A657">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金属</w:t>
                  </w:r>
                </w:p>
              </w:tc>
              <w:tc>
                <w:tcPr>
                  <w:tcW w:w="544" w:type="pct"/>
                  <w:shd w:val="clear" w:color="auto" w:fill="auto"/>
                  <w:vAlign w:val="center"/>
                </w:tcPr>
                <w:p w14:paraId="1493AEB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c>
                <w:tcPr>
                  <w:tcW w:w="451" w:type="pct"/>
                  <w:shd w:val="clear" w:color="auto" w:fill="auto"/>
                  <w:vAlign w:val="center"/>
                </w:tcPr>
                <w:p w14:paraId="6D34A6E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shd w:val="clear" w:color="auto" w:fill="auto"/>
                  <w:vAlign w:val="center"/>
                </w:tcPr>
                <w:p w14:paraId="418BB0E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4638F110">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553D7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5ED5A8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02" w:type="pct"/>
                  <w:shd w:val="clear" w:color="auto" w:fill="auto"/>
                  <w:vAlign w:val="center"/>
                </w:tcPr>
                <w:p w14:paraId="6F4C53A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含胶废物</w:t>
                  </w:r>
                </w:p>
              </w:tc>
              <w:tc>
                <w:tcPr>
                  <w:tcW w:w="696" w:type="pct"/>
                  <w:vAlign w:val="center"/>
                </w:tcPr>
                <w:p w14:paraId="59D93BA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打胶</w:t>
                  </w:r>
                </w:p>
              </w:tc>
              <w:tc>
                <w:tcPr>
                  <w:tcW w:w="475" w:type="pct"/>
                  <w:vAlign w:val="center"/>
                </w:tcPr>
                <w:p w14:paraId="524F4AC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550" w:type="pct"/>
                  <w:vAlign w:val="center"/>
                </w:tcPr>
                <w:p w14:paraId="313E146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塑料、有机物</w:t>
                  </w:r>
                </w:p>
              </w:tc>
              <w:tc>
                <w:tcPr>
                  <w:tcW w:w="544" w:type="pct"/>
                  <w:vAlign w:val="center"/>
                </w:tcPr>
                <w:p w14:paraId="2B9DF30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451" w:type="pct"/>
                  <w:vAlign w:val="center"/>
                </w:tcPr>
                <w:p w14:paraId="5F0F53B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3973EC6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02DEBF99">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576AC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2D6433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02" w:type="pct"/>
                  <w:shd w:val="clear" w:color="auto" w:fill="auto"/>
                  <w:vAlign w:val="center"/>
                </w:tcPr>
                <w:p w14:paraId="707B2D3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废包装物</w:t>
                  </w:r>
                </w:p>
              </w:tc>
              <w:tc>
                <w:tcPr>
                  <w:tcW w:w="696" w:type="pct"/>
                  <w:vAlign w:val="center"/>
                </w:tcPr>
                <w:p w14:paraId="7AEBD55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原料包装</w:t>
                  </w:r>
                </w:p>
              </w:tc>
              <w:tc>
                <w:tcPr>
                  <w:tcW w:w="475" w:type="pct"/>
                  <w:vAlign w:val="center"/>
                </w:tcPr>
                <w:p w14:paraId="2CD29C7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固态</w:t>
                  </w:r>
                </w:p>
              </w:tc>
              <w:tc>
                <w:tcPr>
                  <w:tcW w:w="550" w:type="pct"/>
                  <w:vAlign w:val="center"/>
                </w:tcPr>
                <w:p w14:paraId="4FF13FE4">
                  <w:pPr>
                    <w:adjustRightInd w:val="0"/>
                    <w:snapToGrid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矿物油、金属</w:t>
                  </w:r>
                </w:p>
              </w:tc>
              <w:tc>
                <w:tcPr>
                  <w:tcW w:w="544" w:type="pct"/>
                  <w:vAlign w:val="center"/>
                </w:tcPr>
                <w:p w14:paraId="12210AE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2.04</w:t>
                  </w:r>
                </w:p>
              </w:tc>
              <w:tc>
                <w:tcPr>
                  <w:tcW w:w="451" w:type="pct"/>
                  <w:vAlign w:val="center"/>
                </w:tcPr>
                <w:p w14:paraId="320C5C5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5DF3E5D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047E05A0">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24726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65223F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02" w:type="pct"/>
                  <w:shd w:val="clear" w:color="auto" w:fill="auto"/>
                  <w:vAlign w:val="center"/>
                </w:tcPr>
                <w:p w14:paraId="1BF0837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含油</w:t>
                  </w:r>
                  <w:r>
                    <w:rPr>
                      <w:rFonts w:hint="default" w:ascii="Times New Roman" w:hAnsi="Times New Roman" w:eastAsia="宋体" w:cs="Times New Roman"/>
                      <w:b w:val="0"/>
                      <w:bCs/>
                      <w:color w:val="auto"/>
                      <w:sz w:val="21"/>
                      <w:szCs w:val="21"/>
                      <w:highlight w:val="none"/>
                    </w:rPr>
                    <w:t>抹布</w:t>
                  </w:r>
                  <w:r>
                    <w:rPr>
                      <w:rFonts w:hint="eastAsia" w:ascii="Times New Roman" w:hAnsi="Times New Roman" w:eastAsia="宋体" w:cs="Times New Roman"/>
                      <w:b w:val="0"/>
                      <w:bCs/>
                      <w:color w:val="auto"/>
                      <w:sz w:val="21"/>
                      <w:szCs w:val="21"/>
                      <w:highlight w:val="none"/>
                      <w:lang w:val="en-US" w:eastAsia="zh-CN"/>
                    </w:rPr>
                    <w:t>手套</w:t>
                  </w:r>
                </w:p>
              </w:tc>
              <w:tc>
                <w:tcPr>
                  <w:tcW w:w="696" w:type="pct"/>
                  <w:vAlign w:val="center"/>
                </w:tcPr>
                <w:p w14:paraId="795C558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设备保养</w:t>
                  </w:r>
                </w:p>
              </w:tc>
              <w:tc>
                <w:tcPr>
                  <w:tcW w:w="475" w:type="pct"/>
                  <w:vAlign w:val="center"/>
                </w:tcPr>
                <w:p w14:paraId="540B686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固态</w:t>
                  </w:r>
                </w:p>
              </w:tc>
              <w:tc>
                <w:tcPr>
                  <w:tcW w:w="550" w:type="pct"/>
                  <w:vAlign w:val="center"/>
                </w:tcPr>
                <w:p w14:paraId="72E5530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矿物油、布</w:t>
                  </w:r>
                </w:p>
              </w:tc>
              <w:tc>
                <w:tcPr>
                  <w:tcW w:w="544" w:type="pct"/>
                  <w:vAlign w:val="center"/>
                </w:tcPr>
                <w:p w14:paraId="74E8811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451" w:type="pct"/>
                  <w:vAlign w:val="center"/>
                </w:tcPr>
                <w:p w14:paraId="5066159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71B4454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5BFEA9B1">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3840E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49B69E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702" w:type="pct"/>
                  <w:shd w:val="clear" w:color="auto" w:fill="auto"/>
                  <w:vAlign w:val="center"/>
                </w:tcPr>
                <w:p w14:paraId="73EF260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废活性炭</w:t>
                  </w:r>
                </w:p>
              </w:tc>
              <w:tc>
                <w:tcPr>
                  <w:tcW w:w="696" w:type="pct"/>
                  <w:vAlign w:val="center"/>
                </w:tcPr>
                <w:p w14:paraId="35459BA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475" w:type="pct"/>
                  <w:vAlign w:val="center"/>
                </w:tcPr>
                <w:p w14:paraId="049DB7E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固态</w:t>
                  </w:r>
                </w:p>
              </w:tc>
              <w:tc>
                <w:tcPr>
                  <w:tcW w:w="550" w:type="pct"/>
                  <w:vAlign w:val="center"/>
                </w:tcPr>
                <w:p w14:paraId="51F64ED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碳、有机物</w:t>
                  </w:r>
                </w:p>
              </w:tc>
              <w:tc>
                <w:tcPr>
                  <w:tcW w:w="544" w:type="pct"/>
                  <w:vAlign w:val="center"/>
                </w:tcPr>
                <w:p w14:paraId="190A136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6.638</w:t>
                  </w:r>
                </w:p>
              </w:tc>
              <w:tc>
                <w:tcPr>
                  <w:tcW w:w="451" w:type="pct"/>
                  <w:vAlign w:val="center"/>
                </w:tcPr>
                <w:p w14:paraId="096A18F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1A7F0BD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7BC8EC1F">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091DF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164E33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702" w:type="pct"/>
                  <w:shd w:val="clear" w:color="auto" w:fill="auto"/>
                  <w:vAlign w:val="center"/>
                </w:tcPr>
                <w:p w14:paraId="68D1610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污泥</w:t>
                  </w:r>
                </w:p>
              </w:tc>
              <w:tc>
                <w:tcPr>
                  <w:tcW w:w="696" w:type="pct"/>
                  <w:vAlign w:val="center"/>
                </w:tcPr>
                <w:p w14:paraId="4F7F0D6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c>
                <w:tcPr>
                  <w:tcW w:w="475" w:type="pct"/>
                  <w:vAlign w:val="center"/>
                </w:tcPr>
                <w:p w14:paraId="4EEC340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半</w:t>
                  </w:r>
                  <w:r>
                    <w:rPr>
                      <w:rFonts w:hint="default" w:ascii="Times New Roman" w:hAnsi="Times New Roman" w:eastAsia="宋体" w:cs="Times New Roman"/>
                      <w:color w:val="auto"/>
                      <w:sz w:val="21"/>
                      <w:szCs w:val="21"/>
                      <w:highlight w:val="none"/>
                      <w:lang w:val="en-US" w:eastAsia="zh-CN"/>
                    </w:rPr>
                    <w:t>固态</w:t>
                  </w:r>
                </w:p>
              </w:tc>
              <w:tc>
                <w:tcPr>
                  <w:tcW w:w="550" w:type="pct"/>
                  <w:vAlign w:val="center"/>
                </w:tcPr>
                <w:p w14:paraId="2631CD7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544" w:type="pct"/>
                  <w:vAlign w:val="center"/>
                </w:tcPr>
                <w:p w14:paraId="30E455D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451" w:type="pct"/>
                  <w:vAlign w:val="center"/>
                </w:tcPr>
                <w:p w14:paraId="17359C5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6374D92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22BF1E44">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r w14:paraId="1AC6E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0E17B74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702" w:type="pct"/>
                  <w:shd w:val="clear" w:color="auto" w:fill="auto"/>
                  <w:vAlign w:val="center"/>
                </w:tcPr>
                <w:p w14:paraId="43B26D5C">
                  <w:pPr>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污水处理站浓水</w:t>
                  </w:r>
                </w:p>
              </w:tc>
              <w:tc>
                <w:tcPr>
                  <w:tcW w:w="696" w:type="pct"/>
                  <w:vAlign w:val="center"/>
                </w:tcPr>
                <w:p w14:paraId="3CA5958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c>
                <w:tcPr>
                  <w:tcW w:w="475" w:type="pct"/>
                  <w:vAlign w:val="center"/>
                </w:tcPr>
                <w:p w14:paraId="6783605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w:t>
                  </w:r>
                </w:p>
              </w:tc>
              <w:tc>
                <w:tcPr>
                  <w:tcW w:w="550" w:type="pct"/>
                  <w:vAlign w:val="center"/>
                </w:tcPr>
                <w:p w14:paraId="113DD34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水、杂质</w:t>
                  </w:r>
                </w:p>
              </w:tc>
              <w:tc>
                <w:tcPr>
                  <w:tcW w:w="544" w:type="pct"/>
                  <w:vAlign w:val="center"/>
                </w:tcPr>
                <w:p w14:paraId="11BC63AB">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6.45</w:t>
                  </w:r>
                </w:p>
              </w:tc>
              <w:tc>
                <w:tcPr>
                  <w:tcW w:w="451" w:type="pct"/>
                  <w:vAlign w:val="center"/>
                </w:tcPr>
                <w:p w14:paraId="08F9136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5" w:type="pct"/>
                  <w:vAlign w:val="center"/>
                </w:tcPr>
                <w:p w14:paraId="6BD404D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70" w:type="pct"/>
                  <w:vMerge w:val="continue"/>
                  <w:vAlign w:val="center"/>
                </w:tcPr>
                <w:p w14:paraId="478A5B01">
                  <w:pPr>
                    <w:adjustRightInd w:val="0"/>
                    <w:snapToGrid w:val="0"/>
                    <w:ind w:left="-105" w:leftChars="-50" w:right="-105" w:rightChars="-50"/>
                    <w:jc w:val="center"/>
                    <w:rPr>
                      <w:rFonts w:hint="default" w:ascii="Times New Roman" w:hAnsi="Times New Roman" w:eastAsia="宋体" w:cs="Times New Roman"/>
                      <w:color w:val="auto"/>
                      <w:sz w:val="21"/>
                      <w:szCs w:val="21"/>
                      <w:highlight w:val="none"/>
                    </w:rPr>
                  </w:pPr>
                </w:p>
              </w:tc>
            </w:tr>
          </w:tbl>
          <w:p w14:paraId="1616B019">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3、固体废物产生情况汇总</w:t>
            </w:r>
          </w:p>
          <w:p w14:paraId="254E45A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eastAsia" w:ascii="Times New Roman" w:hAnsi="Times New Roman" w:eastAsia="宋体" w:cs="Times New Roman"/>
                <w:color w:val="auto"/>
                <w:sz w:val="24"/>
                <w:highlight w:val="none"/>
                <w:lang w:eastAsia="zh-CN"/>
              </w:rPr>
              <w:t>《国家危险废物名录》（2025年版）</w:t>
            </w:r>
            <w:r>
              <w:rPr>
                <w:rFonts w:hint="default" w:ascii="Times New Roman" w:hAnsi="Times New Roman" w:eastAsia="宋体" w:cs="Times New Roman"/>
                <w:color w:val="auto"/>
                <w:sz w:val="24"/>
                <w:highlight w:val="none"/>
              </w:rPr>
              <w:t>，判定建设项目固体废物是否属于危险固废。本项目固体废物产生情况汇总见表4-31。危险废物汇总见表4-</w:t>
            </w:r>
            <w:r>
              <w:rPr>
                <w:rFonts w:hint="eastAsia"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w:t>
            </w:r>
          </w:p>
          <w:p w14:paraId="1AD12C32">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25</w:t>
            </w:r>
            <w:r>
              <w:rPr>
                <w:rFonts w:hint="default" w:ascii="Times New Roman" w:hAnsi="Times New Roman" w:eastAsia="宋体" w:cs="Times New Roman"/>
                <w:b/>
                <w:color w:val="auto"/>
                <w:sz w:val="24"/>
                <w:highlight w:val="none"/>
              </w:rPr>
              <w:t xml:space="preserve">  固体废物类别判定表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007"/>
              <w:gridCol w:w="578"/>
              <w:gridCol w:w="779"/>
              <w:gridCol w:w="506"/>
              <w:gridCol w:w="1033"/>
              <w:gridCol w:w="904"/>
              <w:gridCol w:w="802"/>
              <w:gridCol w:w="1292"/>
              <w:gridCol w:w="904"/>
            </w:tblGrid>
            <w:tr w14:paraId="68504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vAlign w:val="center"/>
                </w:tcPr>
                <w:p w14:paraId="2947772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03" w:type="pct"/>
                  <w:tcBorders>
                    <w:tl2br w:val="nil"/>
                    <w:tr2bl w:val="nil"/>
                  </w:tcBorders>
                  <w:vAlign w:val="center"/>
                </w:tcPr>
                <w:p w14:paraId="5C56D7A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固废名称</w:t>
                  </w:r>
                </w:p>
              </w:tc>
              <w:tc>
                <w:tcPr>
                  <w:tcW w:w="346" w:type="pct"/>
                  <w:tcBorders>
                    <w:tl2br w:val="nil"/>
                    <w:tr2bl w:val="nil"/>
                  </w:tcBorders>
                  <w:vAlign w:val="center"/>
                </w:tcPr>
                <w:p w14:paraId="1DE568E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466" w:type="pct"/>
                  <w:tcBorders>
                    <w:tl2br w:val="nil"/>
                    <w:tr2bl w:val="nil"/>
                  </w:tcBorders>
                  <w:vAlign w:val="center"/>
                </w:tcPr>
                <w:p w14:paraId="314F492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产生工序</w:t>
                  </w:r>
                </w:p>
              </w:tc>
              <w:tc>
                <w:tcPr>
                  <w:tcW w:w="303" w:type="pct"/>
                  <w:tcBorders>
                    <w:tl2br w:val="nil"/>
                    <w:tr2bl w:val="nil"/>
                  </w:tcBorders>
                  <w:vAlign w:val="center"/>
                </w:tcPr>
                <w:p w14:paraId="4EEB5FA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618" w:type="pct"/>
                  <w:tcBorders>
                    <w:tl2br w:val="nil"/>
                    <w:tr2bl w:val="nil"/>
                  </w:tcBorders>
                  <w:vAlign w:val="center"/>
                </w:tcPr>
                <w:p w14:paraId="1728B8B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541" w:type="pct"/>
                  <w:tcBorders>
                    <w:tl2br w:val="nil"/>
                    <w:tr2bl w:val="nil"/>
                  </w:tcBorders>
                  <w:vAlign w:val="center"/>
                </w:tcPr>
                <w:p w14:paraId="7C9FA496">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危险特性</w:t>
                  </w:r>
                </w:p>
              </w:tc>
              <w:tc>
                <w:tcPr>
                  <w:tcW w:w="480" w:type="pct"/>
                  <w:tcBorders>
                    <w:tl2br w:val="nil"/>
                    <w:tr2bl w:val="nil"/>
                  </w:tcBorders>
                  <w:vAlign w:val="center"/>
                </w:tcPr>
                <w:p w14:paraId="5770113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废物类别</w:t>
                  </w:r>
                </w:p>
              </w:tc>
              <w:tc>
                <w:tcPr>
                  <w:tcW w:w="773" w:type="pct"/>
                  <w:tcBorders>
                    <w:tl2br w:val="nil"/>
                    <w:tr2bl w:val="nil"/>
                  </w:tcBorders>
                  <w:vAlign w:val="center"/>
                </w:tcPr>
                <w:p w14:paraId="7C47B96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废物代码</w:t>
                  </w:r>
                </w:p>
              </w:tc>
              <w:tc>
                <w:tcPr>
                  <w:tcW w:w="541" w:type="pct"/>
                  <w:tcBorders>
                    <w:tl2br w:val="nil"/>
                    <w:tr2bl w:val="nil"/>
                  </w:tcBorders>
                  <w:vAlign w:val="center"/>
                </w:tcPr>
                <w:p w14:paraId="56F8E82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估算产生量（t/a）</w:t>
                  </w:r>
                </w:p>
              </w:tc>
            </w:tr>
            <w:tr w14:paraId="1A6FA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vAlign w:val="center"/>
                </w:tcPr>
                <w:p w14:paraId="7C0421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03" w:type="pct"/>
                  <w:tcBorders>
                    <w:tl2br w:val="nil"/>
                    <w:tr2bl w:val="nil"/>
                  </w:tcBorders>
                  <w:shd w:val="clear" w:color="auto" w:fill="auto"/>
                  <w:vAlign w:val="center"/>
                </w:tcPr>
                <w:p w14:paraId="67C311B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含胶废物</w:t>
                  </w:r>
                </w:p>
              </w:tc>
              <w:tc>
                <w:tcPr>
                  <w:tcW w:w="346" w:type="pct"/>
                  <w:vMerge w:val="restart"/>
                  <w:tcBorders>
                    <w:tl2br w:val="nil"/>
                    <w:tr2bl w:val="nil"/>
                  </w:tcBorders>
                  <w:vAlign w:val="center"/>
                </w:tcPr>
                <w:p w14:paraId="7A80BA2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w:t>
                  </w:r>
                </w:p>
              </w:tc>
              <w:tc>
                <w:tcPr>
                  <w:tcW w:w="466" w:type="pct"/>
                  <w:tcBorders>
                    <w:tl2br w:val="nil"/>
                    <w:tr2bl w:val="nil"/>
                  </w:tcBorders>
                  <w:shd w:val="clear" w:color="auto" w:fill="auto"/>
                  <w:vAlign w:val="center"/>
                </w:tcPr>
                <w:p w14:paraId="676C10D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打胶</w:t>
                  </w:r>
                </w:p>
              </w:tc>
              <w:tc>
                <w:tcPr>
                  <w:tcW w:w="303" w:type="pct"/>
                  <w:tcBorders>
                    <w:tl2br w:val="nil"/>
                    <w:tr2bl w:val="nil"/>
                  </w:tcBorders>
                  <w:shd w:val="clear" w:color="auto" w:fill="auto"/>
                  <w:vAlign w:val="center"/>
                </w:tcPr>
                <w:p w14:paraId="7FB9DCB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7EC8532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塑料、有机物</w:t>
                  </w:r>
                </w:p>
              </w:tc>
              <w:tc>
                <w:tcPr>
                  <w:tcW w:w="541" w:type="pct"/>
                  <w:tcBorders>
                    <w:tl2br w:val="nil"/>
                    <w:tr2bl w:val="nil"/>
                  </w:tcBorders>
                  <w:shd w:val="clear" w:color="auto" w:fill="auto"/>
                  <w:vAlign w:val="center"/>
                </w:tcPr>
                <w:p w14:paraId="02651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T/In</w:t>
                  </w:r>
                </w:p>
              </w:tc>
              <w:tc>
                <w:tcPr>
                  <w:tcW w:w="480" w:type="pct"/>
                  <w:tcBorders>
                    <w:tl2br w:val="nil"/>
                    <w:tr2bl w:val="nil"/>
                  </w:tcBorders>
                  <w:shd w:val="clear" w:color="auto" w:fill="auto"/>
                  <w:vAlign w:val="center"/>
                </w:tcPr>
                <w:p w14:paraId="74E8A67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773" w:type="pct"/>
                  <w:tcBorders>
                    <w:tl2br w:val="nil"/>
                    <w:tr2bl w:val="nil"/>
                  </w:tcBorders>
                  <w:shd w:val="clear" w:color="auto" w:fill="auto"/>
                  <w:vAlign w:val="center"/>
                </w:tcPr>
                <w:p w14:paraId="4D73C06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41" w:type="pct"/>
                  <w:tcBorders>
                    <w:tl2br w:val="nil"/>
                    <w:tr2bl w:val="nil"/>
                  </w:tcBorders>
                  <w:shd w:val="clear" w:color="auto" w:fill="auto"/>
                  <w:vAlign w:val="center"/>
                </w:tcPr>
                <w:p w14:paraId="10E2527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r>
            <w:tr w14:paraId="26577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vAlign w:val="center"/>
                </w:tcPr>
                <w:p w14:paraId="657F06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03" w:type="pct"/>
                  <w:tcBorders>
                    <w:tl2br w:val="nil"/>
                    <w:tr2bl w:val="nil"/>
                  </w:tcBorders>
                  <w:shd w:val="clear" w:color="auto" w:fill="auto"/>
                  <w:vAlign w:val="center"/>
                </w:tcPr>
                <w:p w14:paraId="3132B01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废包装物</w:t>
                  </w:r>
                </w:p>
              </w:tc>
              <w:tc>
                <w:tcPr>
                  <w:tcW w:w="346" w:type="pct"/>
                  <w:vMerge w:val="continue"/>
                  <w:tcBorders>
                    <w:tl2br w:val="nil"/>
                    <w:tr2bl w:val="nil"/>
                  </w:tcBorders>
                  <w:vAlign w:val="center"/>
                </w:tcPr>
                <w:p w14:paraId="13E3FCE7">
                  <w:pPr>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tcBorders>
                    <w:tl2br w:val="nil"/>
                    <w:tr2bl w:val="nil"/>
                  </w:tcBorders>
                  <w:shd w:val="clear" w:color="auto" w:fill="auto"/>
                  <w:vAlign w:val="center"/>
                </w:tcPr>
                <w:p w14:paraId="4769117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原料包装</w:t>
                  </w:r>
                </w:p>
              </w:tc>
              <w:tc>
                <w:tcPr>
                  <w:tcW w:w="303" w:type="pct"/>
                  <w:tcBorders>
                    <w:tl2br w:val="nil"/>
                    <w:tr2bl w:val="nil"/>
                  </w:tcBorders>
                  <w:shd w:val="clear" w:color="auto" w:fill="auto"/>
                  <w:vAlign w:val="center"/>
                </w:tcPr>
                <w:p w14:paraId="131AD62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5F3B462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矿物油、金属</w:t>
                  </w:r>
                </w:p>
              </w:tc>
              <w:tc>
                <w:tcPr>
                  <w:tcW w:w="541" w:type="pct"/>
                  <w:tcBorders>
                    <w:tl2br w:val="nil"/>
                    <w:tr2bl w:val="nil"/>
                  </w:tcBorders>
                  <w:shd w:val="clear" w:color="auto" w:fill="auto"/>
                  <w:vAlign w:val="center"/>
                </w:tcPr>
                <w:p w14:paraId="7DE79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T/In</w:t>
                  </w:r>
                </w:p>
              </w:tc>
              <w:tc>
                <w:tcPr>
                  <w:tcW w:w="480" w:type="pct"/>
                  <w:tcBorders>
                    <w:tl2br w:val="nil"/>
                    <w:tr2bl w:val="nil"/>
                  </w:tcBorders>
                  <w:shd w:val="clear" w:color="auto" w:fill="auto"/>
                  <w:vAlign w:val="center"/>
                </w:tcPr>
                <w:p w14:paraId="049EECA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773" w:type="pct"/>
                  <w:tcBorders>
                    <w:tl2br w:val="nil"/>
                    <w:tr2bl w:val="nil"/>
                  </w:tcBorders>
                  <w:shd w:val="clear" w:color="auto" w:fill="auto"/>
                  <w:vAlign w:val="center"/>
                </w:tcPr>
                <w:p w14:paraId="351C96C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41" w:type="pct"/>
                  <w:tcBorders>
                    <w:tl2br w:val="nil"/>
                    <w:tr2bl w:val="nil"/>
                  </w:tcBorders>
                  <w:shd w:val="clear" w:color="auto" w:fill="auto"/>
                  <w:vAlign w:val="center"/>
                </w:tcPr>
                <w:p w14:paraId="02033AF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2.04</w:t>
                  </w:r>
                </w:p>
              </w:tc>
            </w:tr>
            <w:tr w14:paraId="0E185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vAlign w:val="center"/>
                </w:tcPr>
                <w:p w14:paraId="379F56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03" w:type="pct"/>
                  <w:tcBorders>
                    <w:tl2br w:val="nil"/>
                    <w:tr2bl w:val="nil"/>
                  </w:tcBorders>
                  <w:shd w:val="clear" w:color="auto" w:fill="auto"/>
                  <w:vAlign w:val="center"/>
                </w:tcPr>
                <w:p w14:paraId="1C42CE6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含油</w:t>
                  </w:r>
                  <w:r>
                    <w:rPr>
                      <w:rFonts w:hint="default" w:ascii="Times New Roman" w:hAnsi="Times New Roman" w:eastAsia="宋体" w:cs="Times New Roman"/>
                      <w:b w:val="0"/>
                      <w:bCs/>
                      <w:color w:val="auto"/>
                      <w:sz w:val="21"/>
                      <w:szCs w:val="21"/>
                      <w:highlight w:val="none"/>
                    </w:rPr>
                    <w:t>抹布</w:t>
                  </w:r>
                  <w:r>
                    <w:rPr>
                      <w:rFonts w:hint="eastAsia" w:ascii="Times New Roman" w:hAnsi="Times New Roman" w:eastAsia="宋体" w:cs="Times New Roman"/>
                      <w:b w:val="0"/>
                      <w:bCs/>
                      <w:color w:val="auto"/>
                      <w:sz w:val="21"/>
                      <w:szCs w:val="21"/>
                      <w:highlight w:val="none"/>
                      <w:lang w:val="en-US" w:eastAsia="zh-CN"/>
                    </w:rPr>
                    <w:t>手套</w:t>
                  </w:r>
                </w:p>
              </w:tc>
              <w:tc>
                <w:tcPr>
                  <w:tcW w:w="346" w:type="pct"/>
                  <w:vMerge w:val="continue"/>
                  <w:tcBorders>
                    <w:tl2br w:val="nil"/>
                    <w:tr2bl w:val="nil"/>
                  </w:tcBorders>
                  <w:vAlign w:val="center"/>
                </w:tcPr>
                <w:p w14:paraId="612913E3">
                  <w:pPr>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tcBorders>
                    <w:tl2br w:val="nil"/>
                    <w:tr2bl w:val="nil"/>
                  </w:tcBorders>
                  <w:shd w:val="clear" w:color="auto" w:fill="auto"/>
                  <w:vAlign w:val="center"/>
                </w:tcPr>
                <w:p w14:paraId="25D2734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设备保养</w:t>
                  </w:r>
                </w:p>
              </w:tc>
              <w:tc>
                <w:tcPr>
                  <w:tcW w:w="303" w:type="pct"/>
                  <w:tcBorders>
                    <w:tl2br w:val="nil"/>
                    <w:tr2bl w:val="nil"/>
                  </w:tcBorders>
                  <w:shd w:val="clear" w:color="auto" w:fill="auto"/>
                  <w:vAlign w:val="center"/>
                </w:tcPr>
                <w:p w14:paraId="75DC45F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27D6BFE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有机物</w:t>
                  </w:r>
                </w:p>
              </w:tc>
              <w:tc>
                <w:tcPr>
                  <w:tcW w:w="541" w:type="pct"/>
                  <w:tcBorders>
                    <w:tl2br w:val="nil"/>
                    <w:tr2bl w:val="nil"/>
                  </w:tcBorders>
                  <w:shd w:val="clear" w:color="auto" w:fill="auto"/>
                  <w:vAlign w:val="center"/>
                </w:tcPr>
                <w:p w14:paraId="10A04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T/In</w:t>
                  </w:r>
                </w:p>
              </w:tc>
              <w:tc>
                <w:tcPr>
                  <w:tcW w:w="480" w:type="pct"/>
                  <w:tcBorders>
                    <w:tl2br w:val="nil"/>
                    <w:tr2bl w:val="nil"/>
                  </w:tcBorders>
                  <w:shd w:val="clear" w:color="auto" w:fill="auto"/>
                  <w:vAlign w:val="center"/>
                </w:tcPr>
                <w:p w14:paraId="021AB74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773" w:type="pct"/>
                  <w:tcBorders>
                    <w:tl2br w:val="nil"/>
                    <w:tr2bl w:val="nil"/>
                  </w:tcBorders>
                  <w:shd w:val="clear" w:color="auto" w:fill="auto"/>
                  <w:vAlign w:val="center"/>
                </w:tcPr>
                <w:p w14:paraId="3B99F22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41" w:type="pct"/>
                  <w:tcBorders>
                    <w:tl2br w:val="nil"/>
                    <w:tr2bl w:val="nil"/>
                  </w:tcBorders>
                  <w:shd w:val="clear" w:color="auto" w:fill="auto"/>
                  <w:vAlign w:val="center"/>
                </w:tcPr>
                <w:p w14:paraId="6D458CB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r>
            <w:tr w14:paraId="0EA33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vAlign w:val="center"/>
                </w:tcPr>
                <w:p w14:paraId="330809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03" w:type="pct"/>
                  <w:tcBorders>
                    <w:tl2br w:val="nil"/>
                    <w:tr2bl w:val="nil"/>
                  </w:tcBorders>
                  <w:shd w:val="clear" w:color="auto" w:fill="auto"/>
                  <w:vAlign w:val="center"/>
                </w:tcPr>
                <w:p w14:paraId="53F432E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废活性炭</w:t>
                  </w:r>
                </w:p>
              </w:tc>
              <w:tc>
                <w:tcPr>
                  <w:tcW w:w="346" w:type="pct"/>
                  <w:vMerge w:val="continue"/>
                  <w:tcBorders>
                    <w:tl2br w:val="nil"/>
                    <w:tr2bl w:val="nil"/>
                  </w:tcBorders>
                  <w:vAlign w:val="center"/>
                </w:tcPr>
                <w:p w14:paraId="52F5DE1B">
                  <w:pPr>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tcBorders>
                    <w:tl2br w:val="nil"/>
                    <w:tr2bl w:val="nil"/>
                  </w:tcBorders>
                  <w:shd w:val="clear" w:color="auto" w:fill="auto"/>
                  <w:vAlign w:val="center"/>
                </w:tcPr>
                <w:p w14:paraId="6667DA6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303" w:type="pct"/>
                  <w:tcBorders>
                    <w:tl2br w:val="nil"/>
                    <w:tr2bl w:val="nil"/>
                  </w:tcBorders>
                  <w:shd w:val="clear" w:color="auto" w:fill="auto"/>
                  <w:vAlign w:val="center"/>
                </w:tcPr>
                <w:p w14:paraId="52CF1A0A">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0B5B700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碳、有机物</w:t>
                  </w:r>
                </w:p>
              </w:tc>
              <w:tc>
                <w:tcPr>
                  <w:tcW w:w="541" w:type="pct"/>
                  <w:tcBorders>
                    <w:tl2br w:val="nil"/>
                    <w:tr2bl w:val="nil"/>
                  </w:tcBorders>
                  <w:shd w:val="clear" w:color="auto" w:fill="auto"/>
                  <w:vAlign w:val="center"/>
                </w:tcPr>
                <w:p w14:paraId="080BA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T</w:t>
                  </w:r>
                </w:p>
              </w:tc>
              <w:tc>
                <w:tcPr>
                  <w:tcW w:w="480" w:type="pct"/>
                  <w:tcBorders>
                    <w:tl2br w:val="nil"/>
                    <w:tr2bl w:val="nil"/>
                  </w:tcBorders>
                  <w:shd w:val="clear" w:color="auto" w:fill="auto"/>
                  <w:vAlign w:val="center"/>
                </w:tcPr>
                <w:p w14:paraId="52F3590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773" w:type="pct"/>
                  <w:tcBorders>
                    <w:tl2br w:val="nil"/>
                    <w:tr2bl w:val="nil"/>
                  </w:tcBorders>
                  <w:shd w:val="clear" w:color="auto" w:fill="auto"/>
                  <w:vAlign w:val="center"/>
                </w:tcPr>
                <w:p w14:paraId="432260F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541" w:type="pct"/>
                  <w:tcBorders>
                    <w:tl2br w:val="nil"/>
                    <w:tr2bl w:val="nil"/>
                  </w:tcBorders>
                  <w:shd w:val="clear" w:color="auto" w:fill="auto"/>
                  <w:vAlign w:val="center"/>
                </w:tcPr>
                <w:p w14:paraId="5D0F695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6.638</w:t>
                  </w:r>
                </w:p>
              </w:tc>
            </w:tr>
            <w:tr w14:paraId="4B6E2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vAlign w:val="center"/>
                </w:tcPr>
                <w:p w14:paraId="726523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03" w:type="pct"/>
                  <w:tcBorders>
                    <w:tl2br w:val="nil"/>
                    <w:tr2bl w:val="nil"/>
                  </w:tcBorders>
                  <w:shd w:val="clear" w:color="auto" w:fill="auto"/>
                  <w:vAlign w:val="center"/>
                </w:tcPr>
                <w:p w14:paraId="3AB225C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污泥</w:t>
                  </w:r>
                </w:p>
              </w:tc>
              <w:tc>
                <w:tcPr>
                  <w:tcW w:w="346" w:type="pct"/>
                  <w:vMerge w:val="continue"/>
                  <w:tcBorders>
                    <w:tl2br w:val="nil"/>
                    <w:tr2bl w:val="nil"/>
                  </w:tcBorders>
                  <w:vAlign w:val="center"/>
                </w:tcPr>
                <w:p w14:paraId="4B2959E1">
                  <w:pPr>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tcBorders>
                    <w:tl2br w:val="nil"/>
                    <w:tr2bl w:val="nil"/>
                  </w:tcBorders>
                  <w:shd w:val="clear" w:color="auto" w:fill="auto"/>
                  <w:vAlign w:val="center"/>
                </w:tcPr>
                <w:p w14:paraId="4E9467D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废水处理</w:t>
                  </w:r>
                </w:p>
              </w:tc>
              <w:tc>
                <w:tcPr>
                  <w:tcW w:w="303" w:type="pct"/>
                  <w:tcBorders>
                    <w:tl2br w:val="nil"/>
                    <w:tr2bl w:val="nil"/>
                  </w:tcBorders>
                  <w:shd w:val="clear" w:color="auto" w:fill="auto"/>
                  <w:vAlign w:val="center"/>
                </w:tcPr>
                <w:p w14:paraId="05F37EC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半</w:t>
                  </w:r>
                  <w:r>
                    <w:rPr>
                      <w:rFonts w:hint="default" w:ascii="Times New Roman" w:hAnsi="Times New Roman" w:eastAsia="宋体" w:cs="Times New Roman"/>
                      <w:color w:val="auto"/>
                      <w:sz w:val="21"/>
                      <w:szCs w:val="21"/>
                      <w:highlight w:val="none"/>
                      <w:lang w:val="en-US" w:eastAsia="zh-CN"/>
                    </w:rPr>
                    <w:t>固态</w:t>
                  </w:r>
                </w:p>
              </w:tc>
              <w:tc>
                <w:tcPr>
                  <w:tcW w:w="618" w:type="pct"/>
                  <w:tcBorders>
                    <w:tl2br w:val="nil"/>
                    <w:tr2bl w:val="nil"/>
                  </w:tcBorders>
                  <w:shd w:val="clear" w:color="auto" w:fill="auto"/>
                  <w:vAlign w:val="center"/>
                </w:tcPr>
                <w:p w14:paraId="2E971FB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污泥</w:t>
                  </w:r>
                </w:p>
              </w:tc>
              <w:tc>
                <w:tcPr>
                  <w:tcW w:w="541" w:type="pct"/>
                  <w:tcBorders>
                    <w:tl2br w:val="nil"/>
                    <w:tr2bl w:val="nil"/>
                  </w:tcBorders>
                  <w:vAlign w:val="center"/>
                </w:tcPr>
                <w:p w14:paraId="199A3E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T</w:t>
                  </w:r>
                </w:p>
              </w:tc>
              <w:tc>
                <w:tcPr>
                  <w:tcW w:w="480" w:type="pct"/>
                  <w:tcBorders>
                    <w:tl2br w:val="nil"/>
                    <w:tr2bl w:val="nil"/>
                  </w:tcBorders>
                  <w:shd w:val="clear" w:color="auto" w:fill="auto"/>
                  <w:vAlign w:val="center"/>
                </w:tcPr>
                <w:p w14:paraId="34AB014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eastAsia" w:ascii="Times New Roman" w:hAnsi="Times New Roman" w:eastAsia="宋体" w:cs="Times New Roman"/>
                      <w:color w:val="auto"/>
                      <w:sz w:val="21"/>
                      <w:szCs w:val="21"/>
                      <w:highlight w:val="none"/>
                      <w:lang w:val="en-US" w:eastAsia="zh-CN"/>
                    </w:rPr>
                    <w:t>17</w:t>
                  </w:r>
                </w:p>
              </w:tc>
              <w:tc>
                <w:tcPr>
                  <w:tcW w:w="773" w:type="pct"/>
                  <w:tcBorders>
                    <w:tl2br w:val="nil"/>
                    <w:tr2bl w:val="nil"/>
                  </w:tcBorders>
                  <w:shd w:val="clear" w:color="auto" w:fill="auto"/>
                  <w:vAlign w:val="center"/>
                </w:tcPr>
                <w:p w14:paraId="54816AB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336</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17</w:t>
                  </w:r>
                </w:p>
              </w:tc>
              <w:tc>
                <w:tcPr>
                  <w:tcW w:w="541" w:type="pct"/>
                  <w:tcBorders>
                    <w:tl2br w:val="nil"/>
                    <w:tr2bl w:val="nil"/>
                  </w:tcBorders>
                  <w:shd w:val="clear" w:color="auto" w:fill="auto"/>
                  <w:vAlign w:val="center"/>
                </w:tcPr>
                <w:p w14:paraId="09A6234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w:t>
                  </w:r>
                </w:p>
              </w:tc>
            </w:tr>
            <w:tr w14:paraId="70882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vAlign w:val="center"/>
                </w:tcPr>
                <w:p w14:paraId="51103D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603" w:type="pct"/>
                  <w:tcBorders>
                    <w:tl2br w:val="nil"/>
                    <w:tr2bl w:val="nil"/>
                  </w:tcBorders>
                  <w:shd w:val="clear" w:color="auto" w:fill="auto"/>
                  <w:vAlign w:val="center"/>
                </w:tcPr>
                <w:p w14:paraId="71DEB82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污水处理站浓水</w:t>
                  </w:r>
                </w:p>
              </w:tc>
              <w:tc>
                <w:tcPr>
                  <w:tcW w:w="346" w:type="pct"/>
                  <w:vMerge w:val="continue"/>
                  <w:tcBorders>
                    <w:tl2br w:val="nil"/>
                    <w:tr2bl w:val="nil"/>
                  </w:tcBorders>
                  <w:vAlign w:val="center"/>
                </w:tcPr>
                <w:p w14:paraId="705C8A38">
                  <w:pPr>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tcBorders>
                    <w:tl2br w:val="nil"/>
                    <w:tr2bl w:val="nil"/>
                  </w:tcBorders>
                  <w:shd w:val="clear" w:color="auto" w:fill="auto"/>
                  <w:vAlign w:val="center"/>
                </w:tcPr>
                <w:p w14:paraId="18C6F43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废水处理</w:t>
                  </w:r>
                </w:p>
              </w:tc>
              <w:tc>
                <w:tcPr>
                  <w:tcW w:w="303" w:type="pct"/>
                  <w:tcBorders>
                    <w:tl2br w:val="nil"/>
                    <w:tr2bl w:val="nil"/>
                  </w:tcBorders>
                  <w:shd w:val="clear" w:color="auto" w:fill="auto"/>
                  <w:vAlign w:val="center"/>
                </w:tcPr>
                <w:p w14:paraId="4B83152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液态</w:t>
                  </w:r>
                </w:p>
              </w:tc>
              <w:tc>
                <w:tcPr>
                  <w:tcW w:w="618" w:type="pct"/>
                  <w:tcBorders>
                    <w:tl2br w:val="nil"/>
                    <w:tr2bl w:val="nil"/>
                  </w:tcBorders>
                  <w:shd w:val="clear" w:color="auto" w:fill="auto"/>
                  <w:vAlign w:val="center"/>
                </w:tcPr>
                <w:p w14:paraId="06EC56F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水、杂质</w:t>
                  </w:r>
                </w:p>
              </w:tc>
              <w:tc>
                <w:tcPr>
                  <w:tcW w:w="541" w:type="pct"/>
                  <w:tcBorders>
                    <w:tl2br w:val="nil"/>
                    <w:tr2bl w:val="nil"/>
                  </w:tcBorders>
                  <w:vAlign w:val="center"/>
                </w:tcPr>
                <w:p w14:paraId="498F7FD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480" w:type="pct"/>
                  <w:tcBorders>
                    <w:tl2br w:val="nil"/>
                    <w:tr2bl w:val="nil"/>
                  </w:tcBorders>
                  <w:vAlign w:val="center"/>
                </w:tcPr>
                <w:p w14:paraId="74B8968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773" w:type="pct"/>
                  <w:tcBorders>
                    <w:tl2br w:val="nil"/>
                    <w:tr2bl w:val="nil"/>
                  </w:tcBorders>
                  <w:vAlign w:val="center"/>
                </w:tcPr>
                <w:p w14:paraId="37E1C47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772-006-49</w:t>
                  </w:r>
                </w:p>
              </w:tc>
              <w:tc>
                <w:tcPr>
                  <w:tcW w:w="541" w:type="pct"/>
                  <w:tcBorders>
                    <w:tl2br w:val="nil"/>
                    <w:tr2bl w:val="nil"/>
                  </w:tcBorders>
                  <w:vAlign w:val="center"/>
                </w:tcPr>
                <w:p w14:paraId="69B96F8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6.45</w:t>
                  </w:r>
                </w:p>
              </w:tc>
            </w:tr>
            <w:tr w14:paraId="3A869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shd w:val="clear" w:color="auto" w:fill="auto"/>
                  <w:vAlign w:val="center"/>
                </w:tcPr>
                <w:p w14:paraId="4A121F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603" w:type="pct"/>
                  <w:tcBorders>
                    <w:tl2br w:val="nil"/>
                    <w:tr2bl w:val="nil"/>
                  </w:tcBorders>
                  <w:shd w:val="clear" w:color="auto" w:fill="auto"/>
                  <w:vAlign w:val="center"/>
                </w:tcPr>
                <w:p w14:paraId="53D9072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边角料</w:t>
                  </w:r>
                </w:p>
              </w:tc>
              <w:tc>
                <w:tcPr>
                  <w:tcW w:w="346" w:type="pct"/>
                  <w:vMerge w:val="restart"/>
                  <w:tcBorders>
                    <w:tl2br w:val="nil"/>
                    <w:tr2bl w:val="nil"/>
                  </w:tcBorders>
                  <w:vAlign w:val="center"/>
                </w:tcPr>
                <w:p w14:paraId="3EC557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466" w:type="pct"/>
                  <w:tcBorders>
                    <w:tl2br w:val="nil"/>
                    <w:tr2bl w:val="nil"/>
                  </w:tcBorders>
                  <w:shd w:val="clear" w:color="auto" w:fill="auto"/>
                  <w:vAlign w:val="center"/>
                </w:tcPr>
                <w:p w14:paraId="0037DA9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下料、造型</w:t>
                  </w:r>
                </w:p>
              </w:tc>
              <w:tc>
                <w:tcPr>
                  <w:tcW w:w="303" w:type="pct"/>
                  <w:tcBorders>
                    <w:tl2br w:val="nil"/>
                    <w:tr2bl w:val="nil"/>
                  </w:tcBorders>
                  <w:shd w:val="clear" w:color="auto" w:fill="auto"/>
                  <w:vAlign w:val="center"/>
                </w:tcPr>
                <w:p w14:paraId="37DC17B5">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26C24790">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金属</w:t>
                  </w:r>
                </w:p>
              </w:tc>
              <w:tc>
                <w:tcPr>
                  <w:tcW w:w="541" w:type="pct"/>
                  <w:tcBorders>
                    <w:tl2br w:val="nil"/>
                    <w:tr2bl w:val="nil"/>
                  </w:tcBorders>
                  <w:vAlign w:val="center"/>
                </w:tcPr>
                <w:p w14:paraId="4C85BF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0" w:type="pct"/>
                  <w:tcBorders>
                    <w:tl2br w:val="nil"/>
                    <w:tr2bl w:val="nil"/>
                  </w:tcBorders>
                  <w:vAlign w:val="center"/>
                </w:tcPr>
                <w:p w14:paraId="681325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SW17</w:t>
                  </w:r>
                </w:p>
                <w:p w14:paraId="4E86D09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可再生类废物</w:t>
                  </w:r>
                </w:p>
              </w:tc>
              <w:tc>
                <w:tcPr>
                  <w:tcW w:w="773" w:type="pct"/>
                  <w:tcBorders>
                    <w:tl2br w:val="nil"/>
                    <w:tr2bl w:val="nil"/>
                  </w:tcBorders>
                  <w:vAlign w:val="center"/>
                </w:tcPr>
                <w:p w14:paraId="3C9A889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-S17</w:t>
                  </w:r>
                </w:p>
              </w:tc>
              <w:tc>
                <w:tcPr>
                  <w:tcW w:w="541" w:type="pct"/>
                  <w:tcBorders>
                    <w:tl2br w:val="nil"/>
                    <w:tr2bl w:val="nil"/>
                  </w:tcBorders>
                  <w:shd w:val="clear" w:color="auto" w:fill="auto"/>
                  <w:vAlign w:val="center"/>
                </w:tcPr>
                <w:p w14:paraId="38893FB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r>
            <w:tr w14:paraId="0081E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shd w:val="clear" w:color="auto" w:fill="auto"/>
                  <w:vAlign w:val="center"/>
                </w:tcPr>
                <w:p w14:paraId="42974BE2">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03" w:type="pct"/>
                  <w:tcBorders>
                    <w:tl2br w:val="nil"/>
                    <w:tr2bl w:val="nil"/>
                  </w:tcBorders>
                  <w:shd w:val="clear" w:color="auto" w:fill="auto"/>
                  <w:vAlign w:val="center"/>
                </w:tcPr>
                <w:p w14:paraId="0D5D646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废包装纸</w:t>
                  </w:r>
                </w:p>
              </w:tc>
              <w:tc>
                <w:tcPr>
                  <w:tcW w:w="346" w:type="pct"/>
                  <w:vMerge w:val="continue"/>
                  <w:tcBorders>
                    <w:tl2br w:val="nil"/>
                    <w:tr2bl w:val="nil"/>
                  </w:tcBorders>
                  <w:vAlign w:val="center"/>
                </w:tcPr>
                <w:p w14:paraId="27A8F75C">
                  <w:pPr>
                    <w:jc w:val="center"/>
                    <w:rPr>
                      <w:rFonts w:hint="default" w:ascii="Times New Roman" w:hAnsi="Times New Roman" w:eastAsia="宋体" w:cs="Times New Roman"/>
                      <w:color w:val="auto"/>
                      <w:sz w:val="21"/>
                      <w:szCs w:val="21"/>
                      <w:highlight w:val="none"/>
                    </w:rPr>
                  </w:pPr>
                </w:p>
              </w:tc>
              <w:tc>
                <w:tcPr>
                  <w:tcW w:w="466" w:type="pct"/>
                  <w:tcBorders>
                    <w:tl2br w:val="nil"/>
                    <w:tr2bl w:val="nil"/>
                  </w:tcBorders>
                  <w:shd w:val="clear" w:color="auto" w:fill="auto"/>
                  <w:vAlign w:val="center"/>
                </w:tcPr>
                <w:p w14:paraId="5709363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原料包装</w:t>
                  </w:r>
                </w:p>
              </w:tc>
              <w:tc>
                <w:tcPr>
                  <w:tcW w:w="303" w:type="pct"/>
                  <w:tcBorders>
                    <w:tl2br w:val="nil"/>
                    <w:tr2bl w:val="nil"/>
                  </w:tcBorders>
                  <w:shd w:val="clear" w:color="auto" w:fill="auto"/>
                  <w:vAlign w:val="center"/>
                </w:tcPr>
                <w:p w14:paraId="62CA9636">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47EFBE36">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纸</w:t>
                  </w:r>
                </w:p>
              </w:tc>
              <w:tc>
                <w:tcPr>
                  <w:tcW w:w="541" w:type="pct"/>
                  <w:tcBorders>
                    <w:tl2br w:val="nil"/>
                    <w:tr2bl w:val="nil"/>
                  </w:tcBorders>
                  <w:vAlign w:val="center"/>
                </w:tcPr>
                <w:p w14:paraId="24AA675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0" w:type="pct"/>
                  <w:tcBorders>
                    <w:tl2br w:val="nil"/>
                    <w:tr2bl w:val="nil"/>
                  </w:tcBorders>
                  <w:shd w:val="clear" w:color="auto" w:fill="auto"/>
                  <w:vAlign w:val="center"/>
                </w:tcPr>
                <w:p w14:paraId="7A5A3C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SW17</w:t>
                  </w:r>
                </w:p>
                <w:p w14:paraId="4E0F16C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可再生类废物</w:t>
                  </w:r>
                </w:p>
              </w:tc>
              <w:tc>
                <w:tcPr>
                  <w:tcW w:w="773" w:type="pct"/>
                  <w:tcBorders>
                    <w:tl2br w:val="nil"/>
                    <w:tr2bl w:val="nil"/>
                  </w:tcBorders>
                  <w:shd w:val="clear" w:color="auto" w:fill="auto"/>
                  <w:vAlign w:val="center"/>
                </w:tcPr>
                <w:p w14:paraId="2D244B2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-S17</w:t>
                  </w:r>
                </w:p>
              </w:tc>
              <w:tc>
                <w:tcPr>
                  <w:tcW w:w="541" w:type="pct"/>
                  <w:tcBorders>
                    <w:tl2br w:val="nil"/>
                    <w:tr2bl w:val="nil"/>
                  </w:tcBorders>
                  <w:shd w:val="clear" w:color="auto" w:fill="auto"/>
                  <w:vAlign w:val="center"/>
                </w:tcPr>
                <w:p w14:paraId="5B59BC7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0.28</w:t>
                  </w:r>
                </w:p>
              </w:tc>
            </w:tr>
            <w:tr w14:paraId="58C20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shd w:val="clear" w:color="auto" w:fill="auto"/>
                  <w:vAlign w:val="center"/>
                </w:tcPr>
                <w:p w14:paraId="39108F4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603" w:type="pct"/>
                  <w:tcBorders>
                    <w:tl2br w:val="nil"/>
                    <w:tr2bl w:val="nil"/>
                  </w:tcBorders>
                  <w:shd w:val="clear" w:color="auto" w:fill="auto"/>
                  <w:vAlign w:val="center"/>
                </w:tcPr>
                <w:p w14:paraId="183F466E">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废滤芯</w:t>
                  </w:r>
                </w:p>
              </w:tc>
              <w:tc>
                <w:tcPr>
                  <w:tcW w:w="346" w:type="pct"/>
                  <w:vMerge w:val="continue"/>
                  <w:tcBorders>
                    <w:tl2br w:val="nil"/>
                    <w:tr2bl w:val="nil"/>
                  </w:tcBorders>
                  <w:vAlign w:val="center"/>
                </w:tcPr>
                <w:p w14:paraId="7E4F1338">
                  <w:pPr>
                    <w:jc w:val="center"/>
                    <w:rPr>
                      <w:rFonts w:hint="default" w:ascii="Times New Roman" w:hAnsi="Times New Roman" w:eastAsia="宋体" w:cs="Times New Roman"/>
                      <w:color w:val="auto"/>
                      <w:sz w:val="21"/>
                      <w:szCs w:val="21"/>
                      <w:highlight w:val="none"/>
                    </w:rPr>
                  </w:pPr>
                </w:p>
              </w:tc>
              <w:tc>
                <w:tcPr>
                  <w:tcW w:w="466" w:type="pct"/>
                  <w:tcBorders>
                    <w:tl2br w:val="nil"/>
                    <w:tr2bl w:val="nil"/>
                  </w:tcBorders>
                  <w:shd w:val="clear" w:color="auto" w:fill="auto"/>
                  <w:vAlign w:val="center"/>
                </w:tcPr>
                <w:p w14:paraId="587746D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303" w:type="pct"/>
                  <w:tcBorders>
                    <w:tl2br w:val="nil"/>
                    <w:tr2bl w:val="nil"/>
                  </w:tcBorders>
                  <w:shd w:val="clear" w:color="auto" w:fill="auto"/>
                  <w:vAlign w:val="center"/>
                </w:tcPr>
                <w:p w14:paraId="1EE83730">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20036027">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塑料、纤维</w:t>
                  </w:r>
                </w:p>
              </w:tc>
              <w:tc>
                <w:tcPr>
                  <w:tcW w:w="541" w:type="pct"/>
                  <w:tcBorders>
                    <w:tl2br w:val="nil"/>
                    <w:tr2bl w:val="nil"/>
                  </w:tcBorders>
                  <w:vAlign w:val="center"/>
                </w:tcPr>
                <w:p w14:paraId="78C34A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0" w:type="pct"/>
                  <w:tcBorders>
                    <w:tl2br w:val="nil"/>
                    <w:tr2bl w:val="nil"/>
                  </w:tcBorders>
                  <w:vAlign w:val="center"/>
                </w:tcPr>
                <w:p w14:paraId="164D3A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SW17</w:t>
                  </w:r>
                </w:p>
                <w:p w14:paraId="1F006E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可再生类废物</w:t>
                  </w:r>
                </w:p>
              </w:tc>
              <w:tc>
                <w:tcPr>
                  <w:tcW w:w="773" w:type="pct"/>
                  <w:tcBorders>
                    <w:tl2br w:val="nil"/>
                    <w:tr2bl w:val="nil"/>
                  </w:tcBorders>
                  <w:vAlign w:val="center"/>
                </w:tcPr>
                <w:p w14:paraId="62892CF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-S17</w:t>
                  </w:r>
                </w:p>
              </w:tc>
              <w:tc>
                <w:tcPr>
                  <w:tcW w:w="541" w:type="pct"/>
                  <w:tcBorders>
                    <w:tl2br w:val="nil"/>
                    <w:tr2bl w:val="nil"/>
                  </w:tcBorders>
                  <w:shd w:val="clear" w:color="auto" w:fill="auto"/>
                  <w:vAlign w:val="center"/>
                </w:tcPr>
                <w:p w14:paraId="277B7E71">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r>
            <w:tr w14:paraId="326FB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shd w:val="clear" w:color="auto" w:fill="auto"/>
                  <w:vAlign w:val="center"/>
                </w:tcPr>
                <w:p w14:paraId="5CF7DCFB">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03" w:type="pct"/>
                  <w:tcBorders>
                    <w:tl2br w:val="nil"/>
                    <w:tr2bl w:val="nil"/>
                  </w:tcBorders>
                  <w:shd w:val="clear" w:color="auto" w:fill="auto"/>
                  <w:vAlign w:val="center"/>
                </w:tcPr>
                <w:p w14:paraId="5F06114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废滤筒</w:t>
                  </w:r>
                </w:p>
              </w:tc>
              <w:tc>
                <w:tcPr>
                  <w:tcW w:w="346" w:type="pct"/>
                  <w:vMerge w:val="continue"/>
                  <w:tcBorders>
                    <w:tl2br w:val="nil"/>
                    <w:tr2bl w:val="nil"/>
                  </w:tcBorders>
                  <w:vAlign w:val="center"/>
                </w:tcPr>
                <w:p w14:paraId="4D6274D0">
                  <w:pPr>
                    <w:jc w:val="center"/>
                    <w:rPr>
                      <w:rFonts w:hint="default" w:ascii="Times New Roman" w:hAnsi="Times New Roman" w:eastAsia="宋体" w:cs="Times New Roman"/>
                      <w:color w:val="auto"/>
                      <w:sz w:val="21"/>
                      <w:szCs w:val="21"/>
                      <w:highlight w:val="none"/>
                    </w:rPr>
                  </w:pPr>
                </w:p>
              </w:tc>
              <w:tc>
                <w:tcPr>
                  <w:tcW w:w="466" w:type="pct"/>
                  <w:tcBorders>
                    <w:tl2br w:val="nil"/>
                    <w:tr2bl w:val="nil"/>
                  </w:tcBorders>
                  <w:shd w:val="clear" w:color="auto" w:fill="auto"/>
                  <w:vAlign w:val="center"/>
                </w:tcPr>
                <w:p w14:paraId="2F35102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303" w:type="pct"/>
                  <w:tcBorders>
                    <w:tl2br w:val="nil"/>
                    <w:tr2bl w:val="nil"/>
                  </w:tcBorders>
                  <w:shd w:val="clear" w:color="auto" w:fill="auto"/>
                  <w:vAlign w:val="center"/>
                </w:tcPr>
                <w:p w14:paraId="02530A94">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638924A6">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纤维</w:t>
                  </w:r>
                </w:p>
              </w:tc>
              <w:tc>
                <w:tcPr>
                  <w:tcW w:w="541" w:type="pct"/>
                  <w:tcBorders>
                    <w:tl2br w:val="nil"/>
                    <w:tr2bl w:val="nil"/>
                  </w:tcBorders>
                  <w:vAlign w:val="center"/>
                </w:tcPr>
                <w:p w14:paraId="0DA90C6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0" w:type="pct"/>
                  <w:tcBorders>
                    <w:tl2br w:val="nil"/>
                    <w:tr2bl w:val="nil"/>
                  </w:tcBorders>
                  <w:vAlign w:val="center"/>
                </w:tcPr>
                <w:p w14:paraId="5A58D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SW17</w:t>
                  </w:r>
                </w:p>
                <w:p w14:paraId="62C84F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可再生类废物</w:t>
                  </w:r>
                </w:p>
              </w:tc>
              <w:tc>
                <w:tcPr>
                  <w:tcW w:w="773" w:type="pct"/>
                  <w:tcBorders>
                    <w:tl2br w:val="nil"/>
                    <w:tr2bl w:val="nil"/>
                  </w:tcBorders>
                  <w:vAlign w:val="center"/>
                </w:tcPr>
                <w:p w14:paraId="37341A3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-S17</w:t>
                  </w:r>
                </w:p>
              </w:tc>
              <w:tc>
                <w:tcPr>
                  <w:tcW w:w="541" w:type="pct"/>
                  <w:tcBorders>
                    <w:tl2br w:val="nil"/>
                    <w:tr2bl w:val="nil"/>
                  </w:tcBorders>
                  <w:shd w:val="clear" w:color="auto" w:fill="auto"/>
                  <w:vAlign w:val="center"/>
                </w:tcPr>
                <w:p w14:paraId="21FC214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r>
            <w:tr w14:paraId="7F3A7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shd w:val="clear" w:color="auto" w:fill="auto"/>
                  <w:vAlign w:val="center"/>
                </w:tcPr>
                <w:p w14:paraId="46E530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603" w:type="pct"/>
                  <w:tcBorders>
                    <w:tl2br w:val="nil"/>
                    <w:tr2bl w:val="nil"/>
                  </w:tcBorders>
                  <w:shd w:val="clear" w:color="auto" w:fill="auto"/>
                  <w:vAlign w:val="center"/>
                </w:tcPr>
                <w:p w14:paraId="7BD9CE9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除尘灰</w:t>
                  </w:r>
                </w:p>
              </w:tc>
              <w:tc>
                <w:tcPr>
                  <w:tcW w:w="346" w:type="pct"/>
                  <w:vMerge w:val="continue"/>
                  <w:tcBorders>
                    <w:tl2br w:val="nil"/>
                    <w:tr2bl w:val="nil"/>
                  </w:tcBorders>
                  <w:vAlign w:val="center"/>
                </w:tcPr>
                <w:p w14:paraId="3052E091">
                  <w:pPr>
                    <w:jc w:val="center"/>
                    <w:rPr>
                      <w:rFonts w:hint="default" w:ascii="Times New Roman" w:hAnsi="Times New Roman" w:eastAsia="宋体" w:cs="Times New Roman"/>
                      <w:color w:val="auto"/>
                      <w:sz w:val="21"/>
                      <w:szCs w:val="21"/>
                      <w:highlight w:val="none"/>
                    </w:rPr>
                  </w:pPr>
                </w:p>
              </w:tc>
              <w:tc>
                <w:tcPr>
                  <w:tcW w:w="466" w:type="pct"/>
                  <w:tcBorders>
                    <w:tl2br w:val="nil"/>
                    <w:tr2bl w:val="nil"/>
                  </w:tcBorders>
                  <w:shd w:val="clear" w:color="auto" w:fill="auto"/>
                  <w:vAlign w:val="center"/>
                </w:tcPr>
                <w:p w14:paraId="47275D9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303" w:type="pct"/>
                  <w:tcBorders>
                    <w:tl2br w:val="nil"/>
                    <w:tr2bl w:val="nil"/>
                  </w:tcBorders>
                  <w:shd w:val="clear" w:color="auto" w:fill="auto"/>
                  <w:vAlign w:val="center"/>
                </w:tcPr>
                <w:p w14:paraId="3F93CC83">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固态</w:t>
                  </w:r>
                </w:p>
              </w:tc>
              <w:tc>
                <w:tcPr>
                  <w:tcW w:w="618" w:type="pct"/>
                  <w:tcBorders>
                    <w:tl2br w:val="nil"/>
                    <w:tr2bl w:val="nil"/>
                  </w:tcBorders>
                  <w:shd w:val="clear" w:color="auto" w:fill="auto"/>
                  <w:vAlign w:val="center"/>
                </w:tcPr>
                <w:p w14:paraId="51EBCDBA">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金属</w:t>
                  </w:r>
                </w:p>
              </w:tc>
              <w:tc>
                <w:tcPr>
                  <w:tcW w:w="541" w:type="pct"/>
                  <w:tcBorders>
                    <w:tl2br w:val="nil"/>
                    <w:tr2bl w:val="nil"/>
                  </w:tcBorders>
                  <w:shd w:val="clear" w:color="auto" w:fill="auto"/>
                  <w:vAlign w:val="center"/>
                </w:tcPr>
                <w:p w14:paraId="630ADBB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80" w:type="pct"/>
                  <w:tcBorders>
                    <w:tl2br w:val="nil"/>
                    <w:tr2bl w:val="nil"/>
                  </w:tcBorders>
                  <w:shd w:val="clear" w:color="auto" w:fill="auto"/>
                  <w:vAlign w:val="center"/>
                </w:tcPr>
                <w:p w14:paraId="67FE9927">
                  <w:pPr>
                    <w:keepNext w:val="0"/>
                    <w:keepLines w:val="0"/>
                    <w:pageBreakBefore w:val="0"/>
                    <w:widowControl/>
                    <w:kinsoku/>
                    <w:wordWrap/>
                    <w:overflowPunct/>
                    <w:topLinePunct w:val="0"/>
                    <w:autoSpaceDE/>
                    <w:autoSpaceDN/>
                    <w:bidi w:val="0"/>
                    <w:adjustRightIn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SW59</w:t>
                  </w:r>
                  <w:r>
                    <w:rPr>
                      <w:rFonts w:hint="eastAsia" w:ascii="宋体" w:hAnsi="宋体" w:eastAsia="宋体" w:cs="宋体"/>
                      <w:color w:val="auto"/>
                      <w:szCs w:val="21"/>
                      <w:highlight w:val="none"/>
                      <w:lang w:val="en-US" w:eastAsia="zh-CN"/>
                    </w:rPr>
                    <w:t>其他工业固体废物</w:t>
                  </w:r>
                </w:p>
              </w:tc>
              <w:tc>
                <w:tcPr>
                  <w:tcW w:w="773" w:type="pct"/>
                  <w:tcBorders>
                    <w:tl2br w:val="nil"/>
                    <w:tr2bl w:val="nil"/>
                  </w:tcBorders>
                  <w:shd w:val="clear" w:color="auto" w:fill="auto"/>
                  <w:vAlign w:val="center"/>
                </w:tcPr>
                <w:p w14:paraId="12AC7F9E">
                  <w:pPr>
                    <w:keepNext w:val="0"/>
                    <w:keepLines w:val="0"/>
                    <w:pageBreakBefore w:val="0"/>
                    <w:widowControl/>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900-0</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val="en-US" w:eastAsia="zh-CN"/>
                    </w:rPr>
                    <w:t>9-S59</w:t>
                  </w:r>
                </w:p>
              </w:tc>
              <w:tc>
                <w:tcPr>
                  <w:tcW w:w="541" w:type="pct"/>
                  <w:tcBorders>
                    <w:tl2br w:val="nil"/>
                    <w:tr2bl w:val="nil"/>
                  </w:tcBorders>
                  <w:shd w:val="clear" w:color="auto" w:fill="auto"/>
                  <w:vAlign w:val="center"/>
                </w:tcPr>
                <w:p w14:paraId="4B57045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2.8</w:t>
                  </w:r>
                </w:p>
              </w:tc>
            </w:tr>
            <w:tr w14:paraId="46C5E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dxa"/>
                  <w:tcBorders>
                    <w:tl2br w:val="nil"/>
                    <w:tr2bl w:val="nil"/>
                  </w:tcBorders>
                  <w:vAlign w:val="center"/>
                </w:tcPr>
                <w:p w14:paraId="64A7A4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03" w:type="pct"/>
                  <w:tcBorders>
                    <w:tl2br w:val="nil"/>
                    <w:tr2bl w:val="nil"/>
                  </w:tcBorders>
                  <w:vAlign w:val="center"/>
                </w:tcPr>
                <w:p w14:paraId="13FFB2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46" w:type="pct"/>
                  <w:tcBorders>
                    <w:tl2br w:val="nil"/>
                    <w:tr2bl w:val="nil"/>
                  </w:tcBorders>
                  <w:vAlign w:val="center"/>
                </w:tcPr>
                <w:p w14:paraId="7E906E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66" w:type="pct"/>
                  <w:tcBorders>
                    <w:tl2br w:val="nil"/>
                    <w:tr2bl w:val="nil"/>
                  </w:tcBorders>
                  <w:vAlign w:val="center"/>
                </w:tcPr>
                <w:p w14:paraId="716C848F">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员工生活、办公</w:t>
                  </w:r>
                </w:p>
              </w:tc>
              <w:tc>
                <w:tcPr>
                  <w:tcW w:w="303" w:type="pct"/>
                  <w:tcBorders>
                    <w:tl2br w:val="nil"/>
                    <w:tr2bl w:val="nil"/>
                  </w:tcBorders>
                  <w:vAlign w:val="center"/>
                </w:tcPr>
                <w:p w14:paraId="045904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w:t>
                  </w:r>
                </w:p>
              </w:tc>
              <w:tc>
                <w:tcPr>
                  <w:tcW w:w="618" w:type="pct"/>
                  <w:tcBorders>
                    <w:tl2br w:val="nil"/>
                    <w:tr2bl w:val="nil"/>
                  </w:tcBorders>
                  <w:vAlign w:val="center"/>
                </w:tcPr>
                <w:p w14:paraId="668F67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办公及生活废物</w:t>
                  </w:r>
                </w:p>
              </w:tc>
              <w:tc>
                <w:tcPr>
                  <w:tcW w:w="541" w:type="pct"/>
                  <w:tcBorders>
                    <w:tl2br w:val="nil"/>
                    <w:tr2bl w:val="nil"/>
                  </w:tcBorders>
                  <w:vAlign w:val="center"/>
                </w:tcPr>
                <w:p w14:paraId="69CC70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80" w:type="pct"/>
                  <w:tcBorders>
                    <w:tl2br w:val="nil"/>
                    <w:tr2bl w:val="nil"/>
                  </w:tcBorders>
                  <w:vAlign w:val="center"/>
                </w:tcPr>
                <w:p w14:paraId="7031E90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SW64其他垃圾</w:t>
                  </w:r>
                </w:p>
              </w:tc>
              <w:tc>
                <w:tcPr>
                  <w:tcW w:w="773" w:type="pct"/>
                  <w:tcBorders>
                    <w:tl2br w:val="nil"/>
                    <w:tr2bl w:val="nil"/>
                  </w:tcBorders>
                  <w:vAlign w:val="center"/>
                </w:tcPr>
                <w:p w14:paraId="23229144">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99</w:t>
                  </w:r>
                  <w:r>
                    <w:rPr>
                      <w:rFonts w:hint="default" w:ascii="Times New Roman" w:hAnsi="Times New Roman" w:eastAsia="宋体" w:cs="Times New Roman"/>
                      <w:color w:val="auto"/>
                      <w:sz w:val="21"/>
                      <w:szCs w:val="21"/>
                      <w:highlight w:val="none"/>
                    </w:rPr>
                    <w:t>-S64</w:t>
                  </w:r>
                </w:p>
              </w:tc>
              <w:tc>
                <w:tcPr>
                  <w:tcW w:w="541" w:type="pct"/>
                  <w:tcBorders>
                    <w:tl2br w:val="nil"/>
                    <w:tr2bl w:val="nil"/>
                  </w:tcBorders>
                  <w:vAlign w:val="center"/>
                </w:tcPr>
                <w:p w14:paraId="0DC44DB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6.75</w:t>
                  </w:r>
                </w:p>
              </w:tc>
            </w:tr>
          </w:tbl>
          <w:p w14:paraId="75BBF22F">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、固体废物贮存和处置方式</w:t>
            </w:r>
          </w:p>
          <w:p w14:paraId="0F3A270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生产的固体废物应分类收集、分类贮存、并张贴标签贮存在专门的场所内，危险固废、一般固废和生活垃圾分开，不得混放。本项目产生的危险废物纳入“江苏省危险废物全生命周期监控系统”管理，在项目营运期间按照相关要求进行管理计划申报，在危废产生后进行产废申报与贮存申报。本项目产生的固废经安全收集，都得到妥善处理，不会对周围环境产生二次污染。本项目危废库房建筑面积为</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，设置合理。实施危险废物转移时，应执行危险废物转移联单制度，并加强对运输单位及处置单位的跟踪检查，确保符合环保要求。</w:t>
            </w:r>
          </w:p>
          <w:p w14:paraId="4634EB8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本项目危险废物贮存场所基本情况详见下表：</w:t>
            </w:r>
          </w:p>
          <w:p w14:paraId="700BC4DF">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26</w:t>
            </w:r>
            <w:r>
              <w:rPr>
                <w:rFonts w:hint="default" w:ascii="Times New Roman" w:hAnsi="Times New Roman" w:eastAsia="宋体" w:cs="Times New Roman"/>
                <w:b/>
                <w:color w:val="auto"/>
                <w:sz w:val="24"/>
                <w:highlight w:val="none"/>
              </w:rPr>
              <w:t xml:space="preserve">  企业危险废物贮存场所（设施）基本情况表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9"/>
              <w:gridCol w:w="1084"/>
              <w:gridCol w:w="1223"/>
              <w:gridCol w:w="1258"/>
              <w:gridCol w:w="690"/>
              <w:gridCol w:w="866"/>
              <w:gridCol w:w="836"/>
              <w:gridCol w:w="964"/>
              <w:gridCol w:w="1008"/>
            </w:tblGrid>
            <w:tr w14:paraId="16ECCF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40C4FA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序号</w:t>
                  </w:r>
                </w:p>
              </w:tc>
              <w:tc>
                <w:tcPr>
                  <w:tcW w:w="649" w:type="pct"/>
                  <w:vAlign w:val="center"/>
                </w:tcPr>
                <w:p w14:paraId="00A3B1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贮存场所（设施）名称</w:t>
                  </w:r>
                </w:p>
              </w:tc>
              <w:tc>
                <w:tcPr>
                  <w:tcW w:w="732" w:type="pct"/>
                  <w:vAlign w:val="center"/>
                </w:tcPr>
                <w:p w14:paraId="277B52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危险废物</w:t>
                  </w:r>
                </w:p>
                <w:p w14:paraId="2032E9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名称</w:t>
                  </w:r>
                </w:p>
              </w:tc>
              <w:tc>
                <w:tcPr>
                  <w:tcW w:w="753" w:type="pct"/>
                  <w:vAlign w:val="center"/>
                </w:tcPr>
                <w:p w14:paraId="51B352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危废代码</w:t>
                  </w:r>
                </w:p>
              </w:tc>
              <w:tc>
                <w:tcPr>
                  <w:tcW w:w="413" w:type="pct"/>
                  <w:vAlign w:val="center"/>
                </w:tcPr>
                <w:p w14:paraId="7CDF29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位置</w:t>
                  </w:r>
                </w:p>
              </w:tc>
              <w:tc>
                <w:tcPr>
                  <w:tcW w:w="518" w:type="pct"/>
                  <w:shd w:val="clear" w:color="auto" w:fill="auto"/>
                  <w:vAlign w:val="center"/>
                </w:tcPr>
                <w:p w14:paraId="7148E6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占地</w:t>
                  </w:r>
                </w:p>
                <w:p w14:paraId="3B4E54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面积</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m</w:t>
                  </w:r>
                  <w:r>
                    <w:rPr>
                      <w:rFonts w:hint="default" w:ascii="Times New Roman" w:hAnsi="Times New Roman" w:eastAsia="宋体" w:cs="Times New Roman"/>
                      <w:b/>
                      <w:color w:val="auto"/>
                      <w:highlight w:val="none"/>
                      <w:vertAlign w:val="superscript"/>
                    </w:rPr>
                    <w:t>2</w:t>
                  </w:r>
                  <w:r>
                    <w:rPr>
                      <w:rFonts w:hint="default" w:ascii="Times New Roman" w:hAnsi="Times New Roman" w:eastAsia="宋体" w:cs="Times New Roman"/>
                      <w:b/>
                      <w:color w:val="auto"/>
                      <w:highlight w:val="none"/>
                      <w:lang w:eastAsia="zh-CN"/>
                    </w:rPr>
                    <w:t>）</w:t>
                  </w:r>
                </w:p>
              </w:tc>
              <w:tc>
                <w:tcPr>
                  <w:tcW w:w="500" w:type="pct"/>
                  <w:shd w:val="clear" w:color="auto" w:fill="auto"/>
                  <w:vAlign w:val="center"/>
                </w:tcPr>
                <w:p w14:paraId="562BA4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贮存能力</w:t>
                  </w:r>
                </w:p>
                <w:p w14:paraId="6577B8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吨</w:t>
                  </w:r>
                  <w:r>
                    <w:rPr>
                      <w:rFonts w:hint="default" w:ascii="Times New Roman" w:hAnsi="Times New Roman" w:eastAsia="宋体" w:cs="Times New Roman"/>
                      <w:b/>
                      <w:color w:val="auto"/>
                      <w:highlight w:val="none"/>
                      <w:lang w:eastAsia="zh-CN"/>
                    </w:rPr>
                    <w:t>）</w:t>
                  </w:r>
                </w:p>
              </w:tc>
              <w:tc>
                <w:tcPr>
                  <w:tcW w:w="577" w:type="pct"/>
                  <w:vAlign w:val="center"/>
                </w:tcPr>
                <w:p w14:paraId="154948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包装方式</w:t>
                  </w:r>
                </w:p>
              </w:tc>
              <w:tc>
                <w:tcPr>
                  <w:tcW w:w="603" w:type="pct"/>
                  <w:vAlign w:val="center"/>
                </w:tcPr>
                <w:p w14:paraId="20AD10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贮存</w:t>
                  </w:r>
                </w:p>
                <w:p w14:paraId="398C27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周期</w:t>
                  </w:r>
                </w:p>
              </w:tc>
            </w:tr>
            <w:tr w14:paraId="402C16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7D84857F">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9" w:type="pct"/>
                  <w:vMerge w:val="restart"/>
                  <w:vAlign w:val="center"/>
                </w:tcPr>
                <w:p w14:paraId="405293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危废仓库</w:t>
                  </w:r>
                </w:p>
              </w:tc>
              <w:tc>
                <w:tcPr>
                  <w:tcW w:w="732" w:type="pct"/>
                  <w:shd w:val="clear" w:color="auto" w:fill="auto"/>
                  <w:vAlign w:val="center"/>
                </w:tcPr>
                <w:p w14:paraId="69EAAFC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含胶废物</w:t>
                  </w:r>
                </w:p>
              </w:tc>
              <w:tc>
                <w:tcPr>
                  <w:tcW w:w="753" w:type="pct"/>
                  <w:shd w:val="clear" w:color="auto" w:fill="auto"/>
                  <w:vAlign w:val="center"/>
                </w:tcPr>
                <w:p w14:paraId="5AF49D3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6D359AC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13" w:type="pct"/>
                  <w:vMerge w:val="restart"/>
                  <w:vAlign w:val="center"/>
                </w:tcPr>
                <w:p w14:paraId="575226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本项目生产车间内</w:t>
                  </w:r>
                </w:p>
              </w:tc>
              <w:tc>
                <w:tcPr>
                  <w:tcW w:w="518" w:type="pct"/>
                  <w:shd w:val="clear" w:color="auto" w:fill="auto"/>
                  <w:vAlign w:val="center"/>
                </w:tcPr>
                <w:p w14:paraId="59D4601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1</w:t>
                  </w:r>
                </w:p>
              </w:tc>
              <w:tc>
                <w:tcPr>
                  <w:tcW w:w="500" w:type="pct"/>
                  <w:shd w:val="clear" w:color="auto" w:fill="auto"/>
                  <w:vAlign w:val="center"/>
                </w:tcPr>
                <w:p w14:paraId="04FE1B5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577" w:type="pct"/>
                  <w:vAlign w:val="center"/>
                </w:tcPr>
                <w:p w14:paraId="18C0A4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桶</w:t>
                  </w:r>
                </w:p>
              </w:tc>
              <w:tc>
                <w:tcPr>
                  <w:tcW w:w="603" w:type="pct"/>
                  <w:vAlign w:val="center"/>
                </w:tcPr>
                <w:p w14:paraId="797A44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3个月</w:t>
                  </w:r>
                </w:p>
              </w:tc>
            </w:tr>
            <w:tr w14:paraId="6002E3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494BCD92">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49" w:type="pct"/>
                  <w:vMerge w:val="continue"/>
                  <w:vAlign w:val="center"/>
                </w:tcPr>
                <w:p w14:paraId="4295A9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732" w:type="pct"/>
                  <w:shd w:val="clear" w:color="auto" w:fill="auto"/>
                  <w:vAlign w:val="center"/>
                </w:tcPr>
                <w:p w14:paraId="15E3872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废包装物</w:t>
                  </w:r>
                </w:p>
              </w:tc>
              <w:tc>
                <w:tcPr>
                  <w:tcW w:w="753" w:type="pct"/>
                  <w:shd w:val="clear" w:color="auto" w:fill="auto"/>
                  <w:vAlign w:val="center"/>
                </w:tcPr>
                <w:p w14:paraId="1B902AC1">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74904D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13" w:type="pct"/>
                  <w:vMerge w:val="continue"/>
                  <w:vAlign w:val="center"/>
                </w:tcPr>
                <w:p w14:paraId="6706FD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518" w:type="pct"/>
                  <w:shd w:val="clear" w:color="auto" w:fill="auto"/>
                  <w:vAlign w:val="center"/>
                </w:tcPr>
                <w:p w14:paraId="66F03B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w:t>
                  </w:r>
                </w:p>
              </w:tc>
              <w:tc>
                <w:tcPr>
                  <w:tcW w:w="500" w:type="pct"/>
                  <w:shd w:val="clear" w:color="auto" w:fill="auto"/>
                  <w:vAlign w:val="center"/>
                </w:tcPr>
                <w:p w14:paraId="3987B4D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2.04</w:t>
                  </w:r>
                </w:p>
              </w:tc>
              <w:tc>
                <w:tcPr>
                  <w:tcW w:w="577" w:type="pct"/>
                  <w:vAlign w:val="center"/>
                </w:tcPr>
                <w:p w14:paraId="3624B0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堆放</w:t>
                  </w:r>
                </w:p>
              </w:tc>
              <w:tc>
                <w:tcPr>
                  <w:tcW w:w="603" w:type="pct"/>
                  <w:vAlign w:val="center"/>
                </w:tcPr>
                <w:p w14:paraId="60F420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3个月</w:t>
                  </w:r>
                </w:p>
              </w:tc>
            </w:tr>
            <w:tr w14:paraId="4953B3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5B0E5236">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49" w:type="pct"/>
                  <w:vMerge w:val="continue"/>
                  <w:vAlign w:val="center"/>
                </w:tcPr>
                <w:p w14:paraId="5DB600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732" w:type="pct"/>
                  <w:shd w:val="clear" w:color="auto" w:fill="auto"/>
                  <w:vAlign w:val="center"/>
                </w:tcPr>
                <w:p w14:paraId="05D07BB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含油</w:t>
                  </w:r>
                  <w:r>
                    <w:rPr>
                      <w:rFonts w:hint="default" w:ascii="Times New Roman" w:hAnsi="Times New Roman" w:eastAsia="宋体" w:cs="Times New Roman"/>
                      <w:b w:val="0"/>
                      <w:bCs/>
                      <w:color w:val="auto"/>
                      <w:sz w:val="21"/>
                      <w:szCs w:val="21"/>
                      <w:highlight w:val="none"/>
                    </w:rPr>
                    <w:t>抹布</w:t>
                  </w:r>
                  <w:r>
                    <w:rPr>
                      <w:rFonts w:hint="eastAsia" w:ascii="Times New Roman" w:hAnsi="Times New Roman" w:eastAsia="宋体" w:cs="Times New Roman"/>
                      <w:b w:val="0"/>
                      <w:bCs/>
                      <w:color w:val="auto"/>
                      <w:sz w:val="21"/>
                      <w:szCs w:val="21"/>
                      <w:highlight w:val="none"/>
                      <w:lang w:val="en-US" w:eastAsia="zh-CN"/>
                    </w:rPr>
                    <w:t>手套</w:t>
                  </w:r>
                </w:p>
              </w:tc>
              <w:tc>
                <w:tcPr>
                  <w:tcW w:w="753" w:type="pct"/>
                  <w:shd w:val="clear" w:color="auto" w:fill="auto"/>
                  <w:vAlign w:val="center"/>
                </w:tcPr>
                <w:p w14:paraId="2881C63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343BBD9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13" w:type="pct"/>
                  <w:vMerge w:val="continue"/>
                  <w:vAlign w:val="center"/>
                </w:tcPr>
                <w:p w14:paraId="1ED986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518" w:type="pct"/>
                  <w:shd w:val="clear" w:color="auto" w:fill="auto"/>
                  <w:vAlign w:val="center"/>
                </w:tcPr>
                <w:p w14:paraId="01E99D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500" w:type="pct"/>
                  <w:shd w:val="clear" w:color="auto" w:fill="auto"/>
                  <w:vAlign w:val="center"/>
                </w:tcPr>
                <w:p w14:paraId="02C5FF7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577" w:type="pct"/>
                  <w:vAlign w:val="center"/>
                </w:tcPr>
                <w:p w14:paraId="4C80E2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w:t>
                  </w:r>
                </w:p>
              </w:tc>
              <w:tc>
                <w:tcPr>
                  <w:tcW w:w="603" w:type="pct"/>
                  <w:vAlign w:val="center"/>
                </w:tcPr>
                <w:p w14:paraId="5B0EB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3个月</w:t>
                  </w:r>
                </w:p>
              </w:tc>
            </w:tr>
            <w:tr w14:paraId="3FB51B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4D927474">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649" w:type="pct"/>
                  <w:vMerge w:val="continue"/>
                  <w:vAlign w:val="center"/>
                </w:tcPr>
                <w:p w14:paraId="20C028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732" w:type="pct"/>
                  <w:shd w:val="clear" w:color="auto" w:fill="auto"/>
                  <w:vAlign w:val="center"/>
                </w:tcPr>
                <w:p w14:paraId="4526371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废活性炭</w:t>
                  </w:r>
                </w:p>
              </w:tc>
              <w:tc>
                <w:tcPr>
                  <w:tcW w:w="753" w:type="pct"/>
                  <w:shd w:val="clear" w:color="auto" w:fill="auto"/>
                  <w:vAlign w:val="center"/>
                </w:tcPr>
                <w:p w14:paraId="3CF42FDB">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2E7BD9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413" w:type="pct"/>
                  <w:vMerge w:val="continue"/>
                  <w:vAlign w:val="center"/>
                </w:tcPr>
                <w:p w14:paraId="533F9F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518" w:type="pct"/>
                  <w:shd w:val="clear" w:color="auto" w:fill="auto"/>
                  <w:vAlign w:val="center"/>
                </w:tcPr>
                <w:p w14:paraId="6B01D6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500" w:type="pct"/>
                  <w:shd w:val="clear" w:color="auto" w:fill="auto"/>
                  <w:vAlign w:val="center"/>
                </w:tcPr>
                <w:p w14:paraId="6F866723">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6.638</w:t>
                  </w:r>
                </w:p>
              </w:tc>
              <w:tc>
                <w:tcPr>
                  <w:tcW w:w="577" w:type="pct"/>
                  <w:vAlign w:val="center"/>
                </w:tcPr>
                <w:p w14:paraId="72C089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w:t>
                  </w:r>
                </w:p>
              </w:tc>
              <w:tc>
                <w:tcPr>
                  <w:tcW w:w="603" w:type="pct"/>
                  <w:vAlign w:val="center"/>
                </w:tcPr>
                <w:p w14:paraId="685608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3个月</w:t>
                  </w:r>
                </w:p>
              </w:tc>
            </w:tr>
            <w:tr w14:paraId="170C60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216144B0">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649" w:type="pct"/>
                  <w:vMerge w:val="continue"/>
                  <w:vAlign w:val="center"/>
                </w:tcPr>
                <w:p w14:paraId="66FD48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732" w:type="pct"/>
                  <w:shd w:val="clear" w:color="auto" w:fill="auto"/>
                  <w:vAlign w:val="center"/>
                </w:tcPr>
                <w:p w14:paraId="3B44C6A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污泥</w:t>
                  </w:r>
                </w:p>
              </w:tc>
              <w:tc>
                <w:tcPr>
                  <w:tcW w:w="753" w:type="pct"/>
                  <w:shd w:val="clear" w:color="auto" w:fill="auto"/>
                  <w:vAlign w:val="center"/>
                </w:tcPr>
                <w:p w14:paraId="15F25E6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HW17</w:t>
                  </w:r>
                </w:p>
                <w:p w14:paraId="3ECAE357">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336</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17</w:t>
                  </w:r>
                </w:p>
              </w:tc>
              <w:tc>
                <w:tcPr>
                  <w:tcW w:w="413" w:type="pct"/>
                  <w:vMerge w:val="continue"/>
                  <w:vAlign w:val="center"/>
                </w:tcPr>
                <w:p w14:paraId="33E428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518" w:type="pct"/>
                  <w:shd w:val="clear" w:color="auto" w:fill="auto"/>
                  <w:vAlign w:val="center"/>
                </w:tcPr>
                <w:p w14:paraId="6754EA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500" w:type="pct"/>
                  <w:shd w:val="clear" w:color="auto" w:fill="auto"/>
                  <w:vAlign w:val="center"/>
                </w:tcPr>
                <w:p w14:paraId="77CBC7DF">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w:t>
                  </w:r>
                </w:p>
              </w:tc>
              <w:tc>
                <w:tcPr>
                  <w:tcW w:w="577" w:type="pct"/>
                  <w:vAlign w:val="center"/>
                </w:tcPr>
                <w:p w14:paraId="0B6BACB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袋</w:t>
                  </w:r>
                </w:p>
              </w:tc>
              <w:tc>
                <w:tcPr>
                  <w:tcW w:w="603" w:type="pct"/>
                  <w:vAlign w:val="center"/>
                </w:tcPr>
                <w:p w14:paraId="4502E7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3个月</w:t>
                  </w:r>
                </w:p>
              </w:tc>
            </w:tr>
            <w:tr w14:paraId="1AA86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6EC0AD11">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649" w:type="pct"/>
                  <w:vMerge w:val="continue"/>
                  <w:vAlign w:val="center"/>
                </w:tcPr>
                <w:p w14:paraId="2F1F0F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732" w:type="pct"/>
                  <w:shd w:val="clear" w:color="auto" w:fill="auto"/>
                  <w:vAlign w:val="center"/>
                </w:tcPr>
                <w:p w14:paraId="1DB1570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污水处理站浓水</w:t>
                  </w:r>
                </w:p>
              </w:tc>
              <w:tc>
                <w:tcPr>
                  <w:tcW w:w="753" w:type="pct"/>
                  <w:shd w:val="clear" w:color="auto" w:fill="auto"/>
                  <w:vAlign w:val="center"/>
                </w:tcPr>
                <w:p w14:paraId="5A6AAED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39CED43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772-006-49</w:t>
                  </w:r>
                </w:p>
              </w:tc>
              <w:tc>
                <w:tcPr>
                  <w:tcW w:w="413" w:type="pct"/>
                  <w:vMerge w:val="continue"/>
                  <w:vAlign w:val="center"/>
                </w:tcPr>
                <w:p w14:paraId="5BD6B0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518" w:type="pct"/>
                  <w:shd w:val="clear" w:color="auto" w:fill="auto"/>
                  <w:vAlign w:val="center"/>
                </w:tcPr>
                <w:p w14:paraId="0EA890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7</w:t>
                  </w:r>
                </w:p>
              </w:tc>
              <w:tc>
                <w:tcPr>
                  <w:tcW w:w="500" w:type="pct"/>
                  <w:shd w:val="clear" w:color="auto" w:fill="auto"/>
                  <w:vAlign w:val="center"/>
                </w:tcPr>
                <w:p w14:paraId="6437F53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6.45</w:t>
                  </w:r>
                </w:p>
              </w:tc>
              <w:tc>
                <w:tcPr>
                  <w:tcW w:w="577" w:type="pct"/>
                  <w:vAlign w:val="center"/>
                </w:tcPr>
                <w:p w14:paraId="460B32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桶</w:t>
                  </w:r>
                </w:p>
              </w:tc>
              <w:tc>
                <w:tcPr>
                  <w:tcW w:w="603" w:type="pct"/>
                  <w:vAlign w:val="center"/>
                </w:tcPr>
                <w:p w14:paraId="0D9D72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个月</w:t>
                  </w:r>
                </w:p>
              </w:tc>
            </w:tr>
          </w:tbl>
          <w:p w14:paraId="0A5DED9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本项目设</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en-US" w:eastAsia="zh-CN"/>
              </w:rPr>
              <w:t>危废暂存间</w:t>
            </w:r>
            <w:r>
              <w:rPr>
                <w:rFonts w:hint="default" w:ascii="Times New Roman" w:hAnsi="Times New Roman" w:eastAsia="宋体" w:cs="Times New Roman"/>
                <w:color w:val="auto"/>
                <w:sz w:val="24"/>
                <w:highlight w:val="none"/>
              </w:rPr>
              <w:t>，最多可容纳约</w:t>
            </w:r>
            <w:r>
              <w:rPr>
                <w:rFonts w:hint="eastAsia"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t危险废物，项目全厂一个贮存周期的危险废物的产生量约为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t，因此企业危废暂存场所可以满足项目产生的危废暂存需求。</w:t>
            </w:r>
          </w:p>
          <w:p w14:paraId="1F8DDDEC">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27</w:t>
            </w:r>
            <w:r>
              <w:rPr>
                <w:rFonts w:hint="default" w:ascii="Times New Roman" w:hAnsi="Times New Roman" w:eastAsia="宋体" w:cs="Times New Roman"/>
                <w:b/>
                <w:color w:val="auto"/>
                <w:sz w:val="24"/>
                <w:highlight w:val="none"/>
              </w:rPr>
              <w:t xml:space="preserve">  本项目固体废物利用处置方式评价表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0"/>
              <w:gridCol w:w="1664"/>
              <w:gridCol w:w="1109"/>
              <w:gridCol w:w="1109"/>
              <w:gridCol w:w="1423"/>
              <w:gridCol w:w="949"/>
              <w:gridCol w:w="1544"/>
            </w:tblGrid>
            <w:tr w14:paraId="1370E5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481A761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996" w:type="pct"/>
                  <w:vAlign w:val="center"/>
                </w:tcPr>
                <w:p w14:paraId="207A3E4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固废名称</w:t>
                  </w:r>
                </w:p>
              </w:tc>
              <w:tc>
                <w:tcPr>
                  <w:tcW w:w="664" w:type="pct"/>
                  <w:vAlign w:val="center"/>
                </w:tcPr>
                <w:p w14:paraId="110C8EE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产生工序</w:t>
                  </w:r>
                </w:p>
              </w:tc>
              <w:tc>
                <w:tcPr>
                  <w:tcW w:w="664" w:type="pct"/>
                  <w:vAlign w:val="center"/>
                </w:tcPr>
                <w:p w14:paraId="3EE8076D">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852" w:type="pct"/>
                  <w:vAlign w:val="center"/>
                </w:tcPr>
                <w:p w14:paraId="53D6BB02">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危废代码</w:t>
                  </w:r>
                </w:p>
              </w:tc>
              <w:tc>
                <w:tcPr>
                  <w:tcW w:w="568" w:type="pct"/>
                  <w:vAlign w:val="center"/>
                </w:tcPr>
                <w:p w14:paraId="4868006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924" w:type="pct"/>
                  <w:vAlign w:val="center"/>
                </w:tcPr>
                <w:p w14:paraId="17E048EF">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利用处置方式</w:t>
                  </w:r>
                </w:p>
              </w:tc>
            </w:tr>
            <w:tr w14:paraId="5BEA46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087036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96" w:type="pct"/>
                  <w:shd w:val="clear" w:color="auto" w:fill="auto"/>
                  <w:vAlign w:val="center"/>
                </w:tcPr>
                <w:p w14:paraId="2AF3CD5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含胶废物</w:t>
                  </w:r>
                </w:p>
              </w:tc>
              <w:tc>
                <w:tcPr>
                  <w:tcW w:w="664" w:type="pct"/>
                  <w:shd w:val="clear" w:color="auto" w:fill="auto"/>
                  <w:vAlign w:val="center"/>
                </w:tcPr>
                <w:p w14:paraId="2D8C6436">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打胶</w:t>
                  </w:r>
                </w:p>
              </w:tc>
              <w:tc>
                <w:tcPr>
                  <w:tcW w:w="664" w:type="pct"/>
                  <w:vMerge w:val="restart"/>
                  <w:vAlign w:val="center"/>
                </w:tcPr>
                <w:p w14:paraId="75C675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852" w:type="pct"/>
                  <w:shd w:val="clear" w:color="auto" w:fill="auto"/>
                  <w:vAlign w:val="center"/>
                </w:tcPr>
                <w:p w14:paraId="3EA42D8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1320A0E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68" w:type="pct"/>
                  <w:shd w:val="clear" w:color="auto" w:fill="auto"/>
                  <w:vAlign w:val="center"/>
                </w:tcPr>
                <w:p w14:paraId="1EFFAFC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924" w:type="pct"/>
                  <w:vAlign w:val="center"/>
                </w:tcPr>
                <w:p w14:paraId="44DB36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tr w14:paraId="110EE0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7569C78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96" w:type="pct"/>
                  <w:shd w:val="clear" w:color="auto" w:fill="auto"/>
                  <w:vAlign w:val="center"/>
                </w:tcPr>
                <w:p w14:paraId="492D56C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废包装物</w:t>
                  </w:r>
                </w:p>
              </w:tc>
              <w:tc>
                <w:tcPr>
                  <w:tcW w:w="664" w:type="pct"/>
                  <w:shd w:val="clear" w:color="auto" w:fill="auto"/>
                  <w:vAlign w:val="center"/>
                </w:tcPr>
                <w:p w14:paraId="41B0B4F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原料包装</w:t>
                  </w:r>
                </w:p>
              </w:tc>
              <w:tc>
                <w:tcPr>
                  <w:tcW w:w="664" w:type="pct"/>
                  <w:vMerge w:val="continue"/>
                  <w:vAlign w:val="center"/>
                </w:tcPr>
                <w:p w14:paraId="47AE3AFB">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2D5D971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565B23E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68" w:type="pct"/>
                  <w:shd w:val="clear" w:color="auto" w:fill="auto"/>
                  <w:vAlign w:val="center"/>
                </w:tcPr>
                <w:p w14:paraId="6AB4E6E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2.04</w:t>
                  </w:r>
                </w:p>
              </w:tc>
              <w:tc>
                <w:tcPr>
                  <w:tcW w:w="924" w:type="pct"/>
                  <w:vAlign w:val="center"/>
                </w:tcPr>
                <w:p w14:paraId="238A16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tr w14:paraId="054EF9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501D33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96" w:type="pct"/>
                  <w:shd w:val="clear" w:color="auto" w:fill="auto"/>
                  <w:vAlign w:val="center"/>
                </w:tcPr>
                <w:p w14:paraId="480BDFB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含油</w:t>
                  </w:r>
                  <w:r>
                    <w:rPr>
                      <w:rFonts w:hint="default" w:ascii="Times New Roman" w:hAnsi="Times New Roman" w:eastAsia="宋体" w:cs="Times New Roman"/>
                      <w:b w:val="0"/>
                      <w:bCs/>
                      <w:color w:val="auto"/>
                      <w:sz w:val="21"/>
                      <w:szCs w:val="21"/>
                      <w:highlight w:val="none"/>
                    </w:rPr>
                    <w:t>抹布</w:t>
                  </w:r>
                  <w:r>
                    <w:rPr>
                      <w:rFonts w:hint="eastAsia" w:ascii="Times New Roman" w:hAnsi="Times New Roman" w:eastAsia="宋体" w:cs="Times New Roman"/>
                      <w:b w:val="0"/>
                      <w:bCs/>
                      <w:color w:val="auto"/>
                      <w:sz w:val="21"/>
                      <w:szCs w:val="21"/>
                      <w:highlight w:val="none"/>
                      <w:lang w:val="en-US" w:eastAsia="zh-CN"/>
                    </w:rPr>
                    <w:t>手套</w:t>
                  </w:r>
                </w:p>
              </w:tc>
              <w:tc>
                <w:tcPr>
                  <w:tcW w:w="664" w:type="pct"/>
                  <w:shd w:val="clear" w:color="auto" w:fill="auto"/>
                  <w:vAlign w:val="center"/>
                </w:tcPr>
                <w:p w14:paraId="1D0C9EA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设备保养</w:t>
                  </w:r>
                </w:p>
              </w:tc>
              <w:tc>
                <w:tcPr>
                  <w:tcW w:w="664" w:type="pct"/>
                  <w:vMerge w:val="continue"/>
                  <w:vAlign w:val="center"/>
                </w:tcPr>
                <w:p w14:paraId="0ACF0F8E">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5049595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10E1710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68" w:type="pct"/>
                  <w:shd w:val="clear" w:color="auto" w:fill="auto"/>
                  <w:vAlign w:val="center"/>
                </w:tcPr>
                <w:p w14:paraId="6A4C7B3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924" w:type="pct"/>
                  <w:vAlign w:val="center"/>
                </w:tcPr>
                <w:p w14:paraId="6353A8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tr w14:paraId="13421C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06753F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996" w:type="pct"/>
                  <w:shd w:val="clear" w:color="auto" w:fill="auto"/>
                  <w:vAlign w:val="center"/>
                </w:tcPr>
                <w:p w14:paraId="2BD72A3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废活性炭</w:t>
                  </w:r>
                </w:p>
              </w:tc>
              <w:tc>
                <w:tcPr>
                  <w:tcW w:w="664" w:type="pct"/>
                  <w:shd w:val="clear" w:color="auto" w:fill="auto"/>
                  <w:vAlign w:val="center"/>
                </w:tcPr>
                <w:p w14:paraId="5530939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664" w:type="pct"/>
                  <w:vMerge w:val="continue"/>
                  <w:vAlign w:val="center"/>
                </w:tcPr>
                <w:p w14:paraId="40EE05CA">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05D379F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14EE11B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w:t>
                  </w:r>
                  <w:r>
                    <w:rPr>
                      <w:rFonts w:hint="eastAsia"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568" w:type="pct"/>
                  <w:shd w:val="clear" w:color="auto" w:fill="auto"/>
                  <w:vAlign w:val="center"/>
                </w:tcPr>
                <w:p w14:paraId="58AAEFD1">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6.638</w:t>
                  </w:r>
                </w:p>
              </w:tc>
              <w:tc>
                <w:tcPr>
                  <w:tcW w:w="924" w:type="pct"/>
                  <w:vAlign w:val="center"/>
                </w:tcPr>
                <w:p w14:paraId="4AE567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tr w14:paraId="1741F4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6FB57D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996" w:type="pct"/>
                  <w:shd w:val="clear" w:color="auto" w:fill="auto"/>
                  <w:vAlign w:val="center"/>
                </w:tcPr>
                <w:p w14:paraId="141B582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污泥</w:t>
                  </w:r>
                </w:p>
              </w:tc>
              <w:tc>
                <w:tcPr>
                  <w:tcW w:w="664" w:type="pct"/>
                  <w:shd w:val="clear" w:color="auto" w:fill="auto"/>
                  <w:vAlign w:val="center"/>
                </w:tcPr>
                <w:p w14:paraId="0EA5A6A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废水处理</w:t>
                  </w:r>
                </w:p>
              </w:tc>
              <w:tc>
                <w:tcPr>
                  <w:tcW w:w="664" w:type="pct"/>
                  <w:vMerge w:val="continue"/>
                  <w:vAlign w:val="center"/>
                </w:tcPr>
                <w:p w14:paraId="74B36E3E">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221B3D6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HW17</w:t>
                  </w:r>
                </w:p>
                <w:p w14:paraId="60868BF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336</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17</w:t>
                  </w:r>
                </w:p>
              </w:tc>
              <w:tc>
                <w:tcPr>
                  <w:tcW w:w="568" w:type="pct"/>
                  <w:shd w:val="clear" w:color="auto" w:fill="auto"/>
                  <w:vAlign w:val="center"/>
                </w:tcPr>
                <w:p w14:paraId="57C9406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w:t>
                  </w:r>
                </w:p>
              </w:tc>
              <w:tc>
                <w:tcPr>
                  <w:tcW w:w="924" w:type="pct"/>
                  <w:vAlign w:val="center"/>
                </w:tcPr>
                <w:p w14:paraId="67B8BA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委托有资质单位处置</w:t>
                  </w:r>
                </w:p>
              </w:tc>
            </w:tr>
            <w:tr w14:paraId="7D1F31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shd w:val="clear" w:color="auto" w:fill="auto"/>
                  <w:vAlign w:val="center"/>
                </w:tcPr>
                <w:p w14:paraId="027433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996" w:type="pct"/>
                  <w:shd w:val="clear" w:color="auto" w:fill="auto"/>
                  <w:vAlign w:val="center"/>
                </w:tcPr>
                <w:p w14:paraId="36311E2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污水处理站浓水</w:t>
                  </w:r>
                </w:p>
              </w:tc>
              <w:tc>
                <w:tcPr>
                  <w:tcW w:w="664" w:type="pct"/>
                  <w:shd w:val="clear" w:color="auto" w:fill="auto"/>
                  <w:vAlign w:val="center"/>
                </w:tcPr>
                <w:p w14:paraId="2B4C4BA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废水处理</w:t>
                  </w:r>
                </w:p>
              </w:tc>
              <w:tc>
                <w:tcPr>
                  <w:tcW w:w="664" w:type="pct"/>
                  <w:vMerge w:val="continue"/>
                  <w:vAlign w:val="center"/>
                </w:tcPr>
                <w:p w14:paraId="0A2CEF88">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7483A65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p w14:paraId="6C1F911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772-006-49</w:t>
                  </w:r>
                </w:p>
              </w:tc>
              <w:tc>
                <w:tcPr>
                  <w:tcW w:w="568" w:type="pct"/>
                  <w:shd w:val="clear" w:color="auto" w:fill="auto"/>
                  <w:vAlign w:val="center"/>
                </w:tcPr>
                <w:p w14:paraId="2BDC8F8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6.45</w:t>
                  </w:r>
                </w:p>
              </w:tc>
              <w:tc>
                <w:tcPr>
                  <w:tcW w:w="924" w:type="pct"/>
                  <w:shd w:val="clear" w:color="auto" w:fill="auto"/>
                  <w:vAlign w:val="center"/>
                </w:tcPr>
                <w:p w14:paraId="451517D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委托有资质单位处置</w:t>
                  </w:r>
                </w:p>
              </w:tc>
            </w:tr>
            <w:tr w14:paraId="5EADAF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shd w:val="clear" w:color="auto" w:fill="auto"/>
                  <w:vAlign w:val="center"/>
                </w:tcPr>
                <w:p w14:paraId="00F3366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996" w:type="pct"/>
                  <w:shd w:val="clear" w:color="auto" w:fill="auto"/>
                  <w:vAlign w:val="center"/>
                </w:tcPr>
                <w:p w14:paraId="5D223E2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边角料</w:t>
                  </w:r>
                </w:p>
              </w:tc>
              <w:tc>
                <w:tcPr>
                  <w:tcW w:w="664" w:type="pct"/>
                  <w:shd w:val="clear" w:color="auto" w:fill="auto"/>
                  <w:vAlign w:val="center"/>
                </w:tcPr>
                <w:p w14:paraId="683A748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下料、造型</w:t>
                  </w:r>
                </w:p>
              </w:tc>
              <w:tc>
                <w:tcPr>
                  <w:tcW w:w="664" w:type="pct"/>
                  <w:vMerge w:val="restart"/>
                  <w:vAlign w:val="center"/>
                </w:tcPr>
                <w:p w14:paraId="2E8D2A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852" w:type="pct"/>
                  <w:shd w:val="clear" w:color="auto" w:fill="auto"/>
                  <w:vAlign w:val="center"/>
                </w:tcPr>
                <w:p w14:paraId="14926F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S17</w:t>
                  </w:r>
                </w:p>
                <w:p w14:paraId="4655784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-S17</w:t>
                  </w:r>
                </w:p>
              </w:tc>
              <w:tc>
                <w:tcPr>
                  <w:tcW w:w="568" w:type="pct"/>
                  <w:shd w:val="clear" w:color="auto" w:fill="auto"/>
                  <w:vAlign w:val="center"/>
                </w:tcPr>
                <w:p w14:paraId="1C9E4CC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924" w:type="pct"/>
                  <w:vAlign w:val="center"/>
                </w:tcPr>
                <w:p w14:paraId="25CF82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14:paraId="6CC9C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317FB0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996" w:type="pct"/>
                  <w:shd w:val="clear" w:color="auto" w:fill="auto"/>
                  <w:vAlign w:val="center"/>
                </w:tcPr>
                <w:p w14:paraId="41608AD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废包装纸</w:t>
                  </w:r>
                </w:p>
              </w:tc>
              <w:tc>
                <w:tcPr>
                  <w:tcW w:w="664" w:type="pct"/>
                  <w:shd w:val="clear" w:color="auto" w:fill="auto"/>
                  <w:vAlign w:val="center"/>
                </w:tcPr>
                <w:p w14:paraId="277C608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原料包装</w:t>
                  </w:r>
                </w:p>
              </w:tc>
              <w:tc>
                <w:tcPr>
                  <w:tcW w:w="664" w:type="pct"/>
                  <w:vMerge w:val="continue"/>
                  <w:vAlign w:val="center"/>
                </w:tcPr>
                <w:p w14:paraId="69A28EFF">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3F5EDC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S17</w:t>
                  </w:r>
                </w:p>
                <w:p w14:paraId="0BB03D0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-S17</w:t>
                  </w:r>
                </w:p>
              </w:tc>
              <w:tc>
                <w:tcPr>
                  <w:tcW w:w="568" w:type="pct"/>
                  <w:shd w:val="clear" w:color="auto" w:fill="auto"/>
                  <w:vAlign w:val="center"/>
                </w:tcPr>
                <w:p w14:paraId="2B337A0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0.28</w:t>
                  </w:r>
                </w:p>
              </w:tc>
              <w:tc>
                <w:tcPr>
                  <w:tcW w:w="924" w:type="pct"/>
                  <w:shd w:val="clear" w:color="auto" w:fill="auto"/>
                  <w:vAlign w:val="center"/>
                </w:tcPr>
                <w:p w14:paraId="15CE71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外售综合利用</w:t>
                  </w:r>
                </w:p>
              </w:tc>
            </w:tr>
            <w:tr w14:paraId="1322F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23D520C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996" w:type="pct"/>
                  <w:shd w:val="clear" w:color="auto" w:fill="auto"/>
                  <w:vAlign w:val="center"/>
                </w:tcPr>
                <w:p w14:paraId="1798858A">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废滤芯</w:t>
                  </w:r>
                </w:p>
              </w:tc>
              <w:tc>
                <w:tcPr>
                  <w:tcW w:w="664" w:type="pct"/>
                  <w:shd w:val="clear" w:color="auto" w:fill="auto"/>
                  <w:vAlign w:val="center"/>
                </w:tcPr>
                <w:p w14:paraId="59E2DF4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664" w:type="pct"/>
                  <w:vMerge w:val="continue"/>
                  <w:vAlign w:val="center"/>
                </w:tcPr>
                <w:p w14:paraId="700EA8F5">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59170A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S17</w:t>
                  </w:r>
                </w:p>
                <w:p w14:paraId="0B702B1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-S17</w:t>
                  </w:r>
                </w:p>
              </w:tc>
              <w:tc>
                <w:tcPr>
                  <w:tcW w:w="568" w:type="pct"/>
                  <w:shd w:val="clear" w:color="auto" w:fill="auto"/>
                  <w:vAlign w:val="center"/>
                </w:tcPr>
                <w:p w14:paraId="33F9DD3C">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c>
                <w:tcPr>
                  <w:tcW w:w="924" w:type="pct"/>
                  <w:shd w:val="clear" w:color="auto" w:fill="auto"/>
                  <w:vAlign w:val="center"/>
                </w:tcPr>
                <w:p w14:paraId="0C68CA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14:paraId="49146F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305C373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96" w:type="pct"/>
                  <w:shd w:val="clear" w:color="auto" w:fill="auto"/>
                  <w:vAlign w:val="center"/>
                </w:tcPr>
                <w:p w14:paraId="4FD9301F">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废滤筒</w:t>
                  </w:r>
                </w:p>
              </w:tc>
              <w:tc>
                <w:tcPr>
                  <w:tcW w:w="664" w:type="pct"/>
                  <w:shd w:val="clear" w:color="auto" w:fill="auto"/>
                  <w:vAlign w:val="center"/>
                </w:tcPr>
                <w:p w14:paraId="411C964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664" w:type="pct"/>
                  <w:vMerge w:val="continue"/>
                  <w:vAlign w:val="center"/>
                </w:tcPr>
                <w:p w14:paraId="3A1E0D11">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5861FB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S17</w:t>
                  </w:r>
                </w:p>
                <w:p w14:paraId="3FB8584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-00</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-S17</w:t>
                  </w:r>
                </w:p>
              </w:tc>
              <w:tc>
                <w:tcPr>
                  <w:tcW w:w="568" w:type="pct"/>
                  <w:shd w:val="clear" w:color="auto" w:fill="auto"/>
                  <w:vAlign w:val="center"/>
                </w:tcPr>
                <w:p w14:paraId="66378432">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c>
                <w:tcPr>
                  <w:tcW w:w="924" w:type="pct"/>
                  <w:shd w:val="clear" w:color="auto" w:fill="auto"/>
                  <w:vAlign w:val="center"/>
                </w:tcPr>
                <w:p w14:paraId="7225EC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外售综合利用</w:t>
                  </w:r>
                </w:p>
              </w:tc>
            </w:tr>
            <w:tr w14:paraId="188BDF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6862DD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996" w:type="pct"/>
                  <w:shd w:val="clear" w:color="auto" w:fill="auto"/>
                  <w:vAlign w:val="center"/>
                </w:tcPr>
                <w:p w14:paraId="1D51F4F0">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除尘灰</w:t>
                  </w:r>
                </w:p>
              </w:tc>
              <w:tc>
                <w:tcPr>
                  <w:tcW w:w="664" w:type="pct"/>
                  <w:shd w:val="clear" w:color="auto" w:fill="auto"/>
                  <w:vAlign w:val="center"/>
                </w:tcPr>
                <w:p w14:paraId="3FFD3A7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废气处理</w:t>
                  </w:r>
                </w:p>
              </w:tc>
              <w:tc>
                <w:tcPr>
                  <w:tcW w:w="664" w:type="pct"/>
                  <w:vMerge w:val="continue"/>
                  <w:vAlign w:val="center"/>
                </w:tcPr>
                <w:p w14:paraId="62BA2EB4">
                  <w:pPr>
                    <w:jc w:val="center"/>
                    <w:rPr>
                      <w:rFonts w:hint="default" w:ascii="Times New Roman" w:hAnsi="Times New Roman" w:eastAsia="宋体" w:cs="Times New Roman"/>
                      <w:color w:val="auto"/>
                      <w:sz w:val="21"/>
                      <w:szCs w:val="21"/>
                      <w:highlight w:val="none"/>
                    </w:rPr>
                  </w:pPr>
                </w:p>
              </w:tc>
              <w:tc>
                <w:tcPr>
                  <w:tcW w:w="852" w:type="pct"/>
                  <w:shd w:val="clear" w:color="auto" w:fill="auto"/>
                  <w:vAlign w:val="center"/>
                </w:tcPr>
                <w:p w14:paraId="090606A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w:t>
                  </w:r>
                  <w:r>
                    <w:rPr>
                      <w:rFonts w:hint="eastAsia" w:ascii="Times New Roman" w:hAnsi="Times New Roman" w:eastAsia="宋体" w:cs="Times New Roman"/>
                      <w:color w:val="auto"/>
                      <w:sz w:val="21"/>
                      <w:szCs w:val="21"/>
                      <w:highlight w:val="none"/>
                      <w:lang w:val="en-US" w:eastAsia="zh-CN"/>
                    </w:rPr>
                    <w:t>59</w:t>
                  </w:r>
                </w:p>
                <w:p w14:paraId="4DA0D262">
                  <w:pPr>
                    <w:keepNext w:val="0"/>
                    <w:keepLines w:val="0"/>
                    <w:pageBreakBefore w:val="0"/>
                    <w:widowControl/>
                    <w:kinsoku/>
                    <w:wordWrap/>
                    <w:overflowPunct/>
                    <w:topLinePunct w:val="0"/>
                    <w:autoSpaceDE/>
                    <w:autoSpaceDN/>
                    <w:bidi w:val="0"/>
                    <w:adjustRightInd/>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900-0</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val="en-US" w:eastAsia="zh-CN"/>
                    </w:rPr>
                    <w:t>9-S59</w:t>
                  </w:r>
                </w:p>
              </w:tc>
              <w:tc>
                <w:tcPr>
                  <w:tcW w:w="568" w:type="pct"/>
                  <w:shd w:val="clear" w:color="auto" w:fill="auto"/>
                  <w:vAlign w:val="center"/>
                </w:tcPr>
                <w:p w14:paraId="275C709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2.8</w:t>
                  </w:r>
                </w:p>
              </w:tc>
              <w:tc>
                <w:tcPr>
                  <w:tcW w:w="924" w:type="pct"/>
                  <w:shd w:val="clear" w:color="auto" w:fill="auto"/>
                  <w:vAlign w:val="center"/>
                </w:tcPr>
                <w:p w14:paraId="4D8C284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外售综合利用</w:t>
                  </w:r>
                </w:p>
              </w:tc>
            </w:tr>
            <w:tr w14:paraId="0596DC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0" w:type="dxa"/>
                  <w:vAlign w:val="center"/>
                </w:tcPr>
                <w:p w14:paraId="6676F1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996" w:type="pct"/>
                  <w:vAlign w:val="center"/>
                </w:tcPr>
                <w:p w14:paraId="04E5BC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4" w:type="pct"/>
                  <w:vAlign w:val="center"/>
                </w:tcPr>
                <w:p w14:paraId="73C77589">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员工生活、办公</w:t>
                  </w:r>
                </w:p>
              </w:tc>
              <w:tc>
                <w:tcPr>
                  <w:tcW w:w="664" w:type="pct"/>
                  <w:vAlign w:val="center"/>
                </w:tcPr>
                <w:p w14:paraId="22F537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852" w:type="pct"/>
                  <w:vAlign w:val="center"/>
                </w:tcPr>
                <w:p w14:paraId="58EE40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8" w:type="pct"/>
                  <w:vAlign w:val="center"/>
                </w:tcPr>
                <w:p w14:paraId="22DD6F4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6.75</w:t>
                  </w:r>
                </w:p>
              </w:tc>
              <w:tc>
                <w:tcPr>
                  <w:tcW w:w="924" w:type="pct"/>
                  <w:vAlign w:val="center"/>
                </w:tcPr>
                <w:p w14:paraId="3C3B28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环卫部门统一清运</w:t>
                  </w:r>
                </w:p>
              </w:tc>
            </w:tr>
          </w:tbl>
          <w:p w14:paraId="7112261C">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5、固体废物污染防治措施</w:t>
            </w:r>
          </w:p>
          <w:p w14:paraId="5B2C056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（1）危险固体废物</w:t>
            </w:r>
          </w:p>
          <w:p w14:paraId="4167831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1）危险废物处置方式</w:t>
            </w:r>
          </w:p>
          <w:p w14:paraId="14AA2D4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eastAsia" w:ascii="Times New Roman" w:hAnsi="Times New Roman" w:eastAsia="宋体" w:cs="Times New Roman"/>
                <w:color w:val="auto"/>
                <w:sz w:val="24"/>
                <w:highlight w:val="none"/>
                <w:lang w:eastAsia="zh-CN"/>
              </w:rPr>
              <w:t>《国家危险废物名录》（2025年版）</w:t>
            </w:r>
            <w:r>
              <w:rPr>
                <w:rFonts w:hint="default" w:ascii="Times New Roman" w:hAnsi="Times New Roman" w:eastAsia="宋体" w:cs="Times New Roman"/>
                <w:color w:val="auto"/>
                <w:sz w:val="24"/>
                <w:highlight w:val="none"/>
              </w:rPr>
              <w:t>以及危险废物鉴别标准，本项目危险废物须委托具备处置资质和处置能力的单位进行无害化处置，并在本项目正式投产前落实危险废物处置途径，签订危废处置协议。</w:t>
            </w:r>
          </w:p>
          <w:p w14:paraId="3E66885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2）贮存场所（设施）污染防治措施</w:t>
            </w:r>
          </w:p>
          <w:p w14:paraId="535637C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本项目拟在生产车间</w:t>
            </w:r>
            <w:r>
              <w:rPr>
                <w:rFonts w:hint="eastAsia" w:ascii="Times New Roman" w:hAnsi="Times New Roman" w:eastAsia="宋体" w:cs="Times New Roman"/>
                <w:color w:val="auto"/>
                <w:sz w:val="24"/>
                <w:highlight w:val="none"/>
                <w:lang w:val="en-US" w:eastAsia="zh-CN"/>
              </w:rPr>
              <w:t>北</w:t>
            </w:r>
            <w:r>
              <w:rPr>
                <w:rFonts w:hint="default" w:ascii="Times New Roman" w:hAnsi="Times New Roman" w:eastAsia="宋体" w:cs="Times New Roman"/>
                <w:color w:val="auto"/>
                <w:sz w:val="24"/>
                <w:highlight w:val="none"/>
                <w:lang w:val="en-US" w:eastAsia="zh-CN"/>
              </w:rPr>
              <w:t>侧</w:t>
            </w:r>
            <w:r>
              <w:rPr>
                <w:rFonts w:hint="default" w:ascii="Times New Roman" w:hAnsi="Times New Roman" w:eastAsia="宋体" w:cs="Times New Roman"/>
                <w:color w:val="auto"/>
                <w:sz w:val="24"/>
                <w:highlight w:val="none"/>
              </w:rPr>
              <w:t>设置一个占地面积</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危废</w:t>
            </w:r>
            <w:r>
              <w:rPr>
                <w:rFonts w:hint="default" w:ascii="Times New Roman" w:hAnsi="Times New Roman" w:eastAsia="宋体" w:cs="Times New Roman"/>
                <w:color w:val="auto"/>
                <w:sz w:val="24"/>
                <w:highlight w:val="none"/>
                <w:lang w:val="en-US" w:eastAsia="zh-CN"/>
              </w:rPr>
              <w:t>仓库</w:t>
            </w:r>
            <w:r>
              <w:rPr>
                <w:rFonts w:hint="default" w:ascii="Times New Roman" w:hAnsi="Times New Roman" w:eastAsia="宋体" w:cs="Times New Roman"/>
                <w:color w:val="auto"/>
                <w:sz w:val="24"/>
                <w:highlight w:val="none"/>
              </w:rPr>
              <w:t>对各类危险废物进行安全暂存。危废仓库应按《危险废物贮存污染控制标准》（GB18597-2023）、《危险废物识别标志设置技术规范》（HJ1276-2022）、省生态环境厅关于印发《江苏省固体废物全过程环境监管工作意见》的通知&gt;（苏环办</w:t>
            </w:r>
            <w:r>
              <w:rPr>
                <w:rFonts w:hint="eastAsia" w:ascii="Times New Roman" w:hAnsi="Times New Roman" w:eastAsia="宋体" w:cs="Times New Roman"/>
                <w:color w:val="auto"/>
                <w:sz w:val="24"/>
                <w:highlight w:val="none"/>
                <w:lang w:eastAsia="zh-CN"/>
              </w:rPr>
              <w:t>〔2024〕16号</w:t>
            </w:r>
            <w:r>
              <w:rPr>
                <w:rFonts w:hint="default" w:ascii="Times New Roman" w:hAnsi="Times New Roman" w:eastAsia="宋体" w:cs="Times New Roman"/>
                <w:color w:val="auto"/>
                <w:sz w:val="24"/>
                <w:highlight w:val="none"/>
              </w:rPr>
              <w:t>）等要求进行设置</w:t>
            </w:r>
            <w:r>
              <w:rPr>
                <w:rFonts w:hint="default" w:ascii="Times New Roman" w:hAnsi="Times New Roman" w:eastAsia="宋体" w:cs="Times New Roman"/>
                <w:color w:val="auto"/>
                <w:sz w:val="24"/>
                <w:highlight w:val="none"/>
                <w:lang w:eastAsia="zh-CN"/>
              </w:rPr>
              <w:t>：</w:t>
            </w:r>
          </w:p>
          <w:p w14:paraId="3E85C59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①企业可根据实际情况选择采用危险废物贮存设施或贮存点两类方式进行贮存，符合相应的污染控制标准；不具备建设贮存设施条件、选用贮存点方式的， 除符合国家关于贮存点控制要求外，还要执行《江苏省危险废物集中收集体系建设工作方案（试行）》（苏环办〔2021〕290号）中关于贮存周期和贮存量的要求，I级</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II级、III级危险废物贮存时间分别不得超过30天、60天、90天，最大贮存量不得超过1吨。</w:t>
            </w:r>
          </w:p>
          <w:p w14:paraId="05DEF7B0">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按照《环境保护图形标志—固体废物贮存（处置）场》（GB15562.2-1995）（2023年修订）和《危险废物识别标志设置技术规范》（HJ1276-2022）设置标志，并配备通讯设备、照明设施和消防设施。</w:t>
            </w:r>
          </w:p>
          <w:p w14:paraId="337D82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③贮存设施应根据危险废物的形态、物理化学性质、包装形式和污染物迁移途径，采取必要的防风、防晒、防雨、防漏、防渗、防腐以及其他环境污染防治措施，不应露天堆放危险废物。</w:t>
            </w:r>
          </w:p>
          <w:p w14:paraId="4CB7C70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④贮存设施应根据危险废物的类别、数量、形态、物理化学性质和污染防治等要求设置必要的贮存分区，避免不相容的危险废物接触、混合。</w:t>
            </w:r>
          </w:p>
          <w:p w14:paraId="44CBB49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⑤贮存设施或贮存分区内地面、墙面</w:t>
            </w:r>
            <w:r>
              <w:rPr>
                <w:rFonts w:hint="eastAsia" w:ascii="Times New Roman" w:hAnsi="Times New Roman" w:eastAsia="宋体" w:cs="Times New Roman"/>
                <w:color w:val="auto"/>
                <w:sz w:val="24"/>
                <w:highlight w:val="none"/>
                <w:lang w:eastAsia="zh-CN"/>
              </w:rPr>
              <w:t>裙角</w:t>
            </w:r>
            <w:r>
              <w:rPr>
                <w:rFonts w:hint="default" w:ascii="Times New Roman" w:hAnsi="Times New Roman" w:eastAsia="宋体" w:cs="Times New Roman"/>
                <w:color w:val="auto"/>
                <w:sz w:val="24"/>
                <w:highlight w:val="none"/>
              </w:rPr>
              <w:t>、堵截泄漏的围堰、接触危险废物的隔板和墙体等应采用坚固的材料建造，表面无裂缝。</w:t>
            </w:r>
          </w:p>
          <w:p w14:paraId="6F3D5C8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cm/s)，或至少2mm厚高密度聚乙烯膜等人工防渗材料(渗透系数不大于10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cm/s），或其他防渗性能等效的材料。</w:t>
            </w:r>
          </w:p>
          <w:p w14:paraId="297B9D7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⑦同一贮存设施宜采用相同的防渗、防腐工艺（包括防渗、防腐结构或材料），防渗、防腐材料应覆盖所有可能与废物及其渗滤液、渗漏液等接触的构筑物表面；采用不同防渗、防腐工艺应分别建设贮存分区。</w:t>
            </w:r>
          </w:p>
          <w:p w14:paraId="0F8664F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⑧贮存设施应采取技术和管理措施防止无关人员进入。</w:t>
            </w:r>
          </w:p>
          <w:p w14:paraId="5DB2490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⑨贮存库内不同贮存分区之间应采取隔离措施。隔离措施可根据危险废物特性采用过道、隔板或隔墙等方式。</w:t>
            </w:r>
          </w:p>
          <w:p w14:paraId="60DAB96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⑩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2566E3E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⑪贮存易产生粉尘、VOCs、酸雾、有毒有害大气污染物和刺激性气味气体的危险废物贮存库，应设置气体收集装置和气体净化设施；气体净化设施的排气筒高度应符合GB 16297要求。</w:t>
            </w:r>
          </w:p>
          <w:p w14:paraId="06ADED6F">
            <w:pPr>
              <w:spacing w:line="360" w:lineRule="auto"/>
              <w:ind w:firstLine="420" w:firstLineChars="200"/>
              <w:rPr>
                <w:rFonts w:hint="default" w:ascii="Times New Roman" w:hAnsi="Times New Roman" w:eastAsia="宋体" w:cs="Times New Roman"/>
                <w:color w:val="auto"/>
                <w:sz w:val="24"/>
                <w:highlight w:val="none"/>
              </w:rPr>
            </w:pPr>
            <w:r>
              <w:rPr>
                <w:rFonts w:hint="eastAsia" w:ascii="微软雅黑" w:hAnsi="微软雅黑" w:eastAsia="微软雅黑" w:cs="微软雅黑"/>
                <w:b w:val="0"/>
                <w:bCs w:val="0"/>
                <w:color w:val="auto"/>
                <w:sz w:val="21"/>
                <w:szCs w:val="21"/>
                <w:highlight w:val="none"/>
                <w:vertAlign w:val="baseline"/>
                <w:lang w:val="en-US" w:eastAsia="zh-CN"/>
              </w:rPr>
              <w:t>⑫</w:t>
            </w:r>
            <w:r>
              <w:rPr>
                <w:rFonts w:hint="default" w:ascii="Times New Roman" w:hAnsi="Times New Roman" w:eastAsia="宋体" w:cs="Times New Roman"/>
                <w:color w:val="auto"/>
                <w:sz w:val="24"/>
                <w:highlight w:val="none"/>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77314695">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color w:val="auto"/>
                <w:spacing w:val="0"/>
                <w:sz w:val="24"/>
                <w:szCs w:val="24"/>
                <w:highlight w:val="none"/>
                <w:lang w:val="en-US" w:eastAsia="zh-CN"/>
              </w:rPr>
              <w:t>危废仓库</w:t>
            </w:r>
            <w:r>
              <w:rPr>
                <w:rFonts w:hint="eastAsia" w:ascii="Times New Roman" w:hAnsi="Times New Roman" w:eastAsia="宋体" w:cs="Times New Roman"/>
                <w:b/>
                <w:bCs/>
                <w:color w:val="auto"/>
                <w:sz w:val="24"/>
                <w:highlight w:val="none"/>
                <w:lang w:val="en-US" w:eastAsia="zh-CN"/>
              </w:rPr>
              <w:t>安全</w:t>
            </w:r>
            <w:r>
              <w:rPr>
                <w:rFonts w:hint="default" w:ascii="Times New Roman" w:hAnsi="Times New Roman" w:eastAsia="宋体" w:cs="Times New Roman"/>
                <w:b/>
                <w:bCs/>
                <w:color w:val="auto"/>
                <w:sz w:val="24"/>
                <w:highlight w:val="none"/>
                <w:lang w:val="en-US" w:eastAsia="zh-CN"/>
              </w:rPr>
              <w:t>设置要求：</w:t>
            </w:r>
          </w:p>
          <w:p w14:paraId="61794D98">
            <w:pPr>
              <w:pStyle w:val="43"/>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按照《危险废物收集、贮存、运输技术规范》（HJ2025-2012）</w:t>
            </w:r>
            <w:r>
              <w:rPr>
                <w:rFonts w:hint="eastAsia" w:ascii="Times New Roman" w:hAnsi="Times New Roman" w:eastAsia="宋体" w:cs="Times New Roman"/>
                <w:b w:val="0"/>
                <w:bCs w:val="0"/>
                <w:color w:val="auto"/>
                <w:sz w:val="24"/>
                <w:highlight w:val="none"/>
                <w:lang w:val="en-US" w:eastAsia="zh-CN"/>
              </w:rPr>
              <w:t>、《建筑防火设计规范》（GB50016-2014（2018年版））</w:t>
            </w:r>
            <w:r>
              <w:rPr>
                <w:rFonts w:hint="default" w:ascii="Times New Roman" w:hAnsi="Times New Roman" w:eastAsia="宋体" w:cs="Times New Roman"/>
                <w:b w:val="0"/>
                <w:bCs w:val="0"/>
                <w:color w:val="auto"/>
                <w:sz w:val="24"/>
                <w:highlight w:val="none"/>
                <w:lang w:val="en-US" w:eastAsia="zh-CN"/>
              </w:rPr>
              <w:t>安全设置规定，本项目对拟建</w:t>
            </w:r>
            <w:r>
              <w:rPr>
                <w:rFonts w:hint="eastAsia" w:ascii="Times New Roman" w:hAnsi="Times New Roman" w:eastAsia="宋体" w:cs="Times New Roman"/>
                <w:b w:val="0"/>
                <w:bCs w:val="0"/>
                <w:color w:val="auto"/>
                <w:sz w:val="24"/>
                <w:highlight w:val="none"/>
                <w:lang w:val="en-US" w:eastAsia="zh-CN"/>
              </w:rPr>
              <w:t>危废仓库</w:t>
            </w:r>
            <w:r>
              <w:rPr>
                <w:rFonts w:hint="default" w:ascii="Times New Roman" w:hAnsi="Times New Roman" w:eastAsia="宋体" w:cs="Times New Roman"/>
                <w:b w:val="0"/>
                <w:bCs w:val="0"/>
                <w:color w:val="auto"/>
                <w:sz w:val="24"/>
                <w:highlight w:val="none"/>
                <w:lang w:val="en-US" w:eastAsia="zh-CN"/>
              </w:rPr>
              <w:t>提出以下要求：</w:t>
            </w:r>
          </w:p>
          <w:p w14:paraId="57BC00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配电箱及开关应设置在仓库外</w:t>
            </w:r>
            <w:r>
              <w:rPr>
                <w:rFonts w:hint="eastAsia" w:ascii="Times New Roman" w:hAnsi="Times New Roman" w:eastAsia="宋体" w:cs="Times New Roman"/>
                <w:b w:val="0"/>
                <w:bCs w:val="0"/>
                <w:color w:val="auto"/>
                <w:sz w:val="24"/>
                <w:highlight w:val="none"/>
                <w:lang w:val="en-US" w:eastAsia="zh-CN"/>
              </w:rPr>
              <w:t>。</w:t>
            </w:r>
          </w:p>
          <w:p w14:paraId="6AA95E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lang w:val="en-US" w:eastAsia="zh-CN"/>
              </w:rPr>
              <w:t>在危险废物的收集和转运过程中，应采取相应的安全防护和污染防治措施，包括防爆、防火、防中毒、防感染、防</w:t>
            </w:r>
            <w:r>
              <w:rPr>
                <w:rFonts w:hint="eastAsia" w:ascii="Times New Roman" w:hAnsi="Times New Roman" w:eastAsia="宋体" w:cs="Times New Roman"/>
                <w:b w:val="0"/>
                <w:bCs w:val="0"/>
                <w:color w:val="auto"/>
                <w:sz w:val="24"/>
                <w:highlight w:val="none"/>
                <w:lang w:val="en-US" w:eastAsia="zh-CN"/>
              </w:rPr>
              <w:t>泄漏</w:t>
            </w:r>
            <w:r>
              <w:rPr>
                <w:rFonts w:hint="default" w:ascii="Times New Roman" w:hAnsi="Times New Roman" w:eastAsia="宋体" w:cs="Times New Roman"/>
                <w:b w:val="0"/>
                <w:bCs w:val="0"/>
                <w:color w:val="auto"/>
                <w:sz w:val="24"/>
                <w:highlight w:val="none"/>
                <w:lang w:val="en-US" w:eastAsia="zh-CN"/>
              </w:rPr>
              <w:t>、防飞扬、防雨或其它防止污染环境的措施。</w:t>
            </w:r>
          </w:p>
          <w:p w14:paraId="0DB0C117">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贮存能力可行性分析：</w:t>
            </w:r>
          </w:p>
          <w:p w14:paraId="081228F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本项目拟设置一个占地面积约为</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的危废</w:t>
            </w:r>
            <w:r>
              <w:rPr>
                <w:rFonts w:hint="default" w:ascii="Times New Roman" w:hAnsi="Times New Roman" w:eastAsia="宋体" w:cs="Times New Roman"/>
                <w:color w:val="auto"/>
                <w:sz w:val="24"/>
                <w:highlight w:val="none"/>
                <w:lang w:val="en-US" w:eastAsia="zh-CN"/>
              </w:rPr>
              <w:t>仓库</w:t>
            </w:r>
            <w:r>
              <w:rPr>
                <w:rFonts w:hint="default" w:ascii="Times New Roman" w:hAnsi="Times New Roman" w:eastAsia="宋体" w:cs="Times New Roman"/>
                <w:color w:val="auto"/>
                <w:sz w:val="24"/>
                <w:highlight w:val="none"/>
              </w:rPr>
              <w:t>对危废进行暂存，危废</w:t>
            </w:r>
            <w:r>
              <w:rPr>
                <w:rFonts w:hint="default" w:ascii="Times New Roman" w:hAnsi="Times New Roman" w:eastAsia="宋体" w:cs="Times New Roman"/>
                <w:color w:val="auto"/>
                <w:sz w:val="24"/>
                <w:highlight w:val="none"/>
                <w:lang w:val="en-US" w:eastAsia="zh-CN"/>
              </w:rPr>
              <w:t>仓库</w:t>
            </w:r>
            <w:r>
              <w:rPr>
                <w:rFonts w:hint="default" w:ascii="Times New Roman" w:hAnsi="Times New Roman" w:eastAsia="宋体" w:cs="Times New Roman"/>
                <w:color w:val="auto"/>
                <w:sz w:val="24"/>
                <w:highlight w:val="none"/>
              </w:rPr>
              <w:t>所应做到“四防”，即：防风、防雨、防晒、防渗漏，危废仓库地面与裙脚为坚固、防渗材料，建筑材料与危险废物相容。</w:t>
            </w:r>
          </w:p>
          <w:p w14:paraId="4EE5A46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本项目设</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en-US" w:eastAsia="zh-CN"/>
              </w:rPr>
              <w:t>危废暂存间</w:t>
            </w:r>
            <w:r>
              <w:rPr>
                <w:rFonts w:hint="default" w:ascii="Times New Roman" w:hAnsi="Times New Roman" w:eastAsia="宋体" w:cs="Times New Roman"/>
                <w:color w:val="auto"/>
                <w:sz w:val="24"/>
                <w:highlight w:val="none"/>
              </w:rPr>
              <w:t>，最多可容纳约</w:t>
            </w:r>
            <w:r>
              <w:rPr>
                <w:rFonts w:hint="eastAsia"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t危险废物，项目全厂一个贮存周期的危险废物的产生量约为</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t，因此企业危废暂存场所可以满足项目产生的危废暂存需求。</w:t>
            </w:r>
          </w:p>
          <w:p w14:paraId="0065D270">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贮存安全可行性分析：</w:t>
            </w:r>
          </w:p>
          <w:p w14:paraId="166431A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本项目产生并贮存于危废仓库的危险废物主要为</w:t>
            </w:r>
            <w:r>
              <w:rPr>
                <w:rFonts w:hint="eastAsia" w:ascii="Times New Roman" w:hAnsi="Times New Roman" w:eastAsia="宋体" w:cs="Times New Roman"/>
                <w:color w:val="auto"/>
                <w:sz w:val="24"/>
                <w:highlight w:val="none"/>
                <w:lang w:val="en-US" w:eastAsia="zh-CN"/>
              </w:rPr>
              <w:t>含胶废物、废包装物、含油废抹布手套、废活性炭、污泥、污水处理站浓水</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，企业根据各危险废物的形态和危险特性，用专用编织袋</w:t>
            </w:r>
            <w:r>
              <w:rPr>
                <w:rFonts w:hint="default" w:ascii="Times New Roman" w:hAnsi="Times New Roman" w:eastAsia="宋体" w:cs="Times New Roman"/>
                <w:color w:val="auto"/>
                <w:sz w:val="24"/>
                <w:highlight w:val="none"/>
                <w:lang w:val="en-US" w:eastAsia="zh-CN"/>
              </w:rPr>
              <w:t>和密封吨桶</w:t>
            </w:r>
            <w:r>
              <w:rPr>
                <w:rFonts w:hint="default" w:ascii="Times New Roman" w:hAnsi="Times New Roman" w:eastAsia="宋体" w:cs="Times New Roman"/>
                <w:color w:val="auto"/>
                <w:sz w:val="24"/>
                <w:highlight w:val="none"/>
              </w:rPr>
              <w:t>等包装容器盛装，并在盛装容器上粘贴标签，分开存放。贮存场所内设有隔离间隔断，并设置危险废物识别标志，且应满足“四防”。综上所述，本项目危废按上述要求贮存于该危废仓库可行。</w:t>
            </w:r>
          </w:p>
          <w:p w14:paraId="392705D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3）容器和包装物污染控制要求</w:t>
            </w:r>
          </w:p>
          <w:p w14:paraId="13CE78A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 18597-2023），危险废物容器和包装物污染控制要求如下：</w:t>
            </w:r>
          </w:p>
          <w:p w14:paraId="112C80F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①容器和包装物材质、内衬应与盛装的危险废物相容。</w:t>
            </w:r>
          </w:p>
          <w:p w14:paraId="1B8A7DC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②针对不同类别、形态、物理化学性质的危险废物，其容器和包装物应满足相应的防渗、防漏、防腐和强度等要求。</w:t>
            </w:r>
          </w:p>
          <w:p w14:paraId="332621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③硬质容器和包装物及其支护结构堆叠码放时不应有明显变形，无破损泄漏。</w:t>
            </w:r>
          </w:p>
          <w:p w14:paraId="63ABB07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④柔性容器和包装物堆叠码放时应封口严密，无破损泄漏。</w:t>
            </w:r>
          </w:p>
          <w:p w14:paraId="13F7C76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⑤使用容器盛装液态、半固态危险废物时，容器内部应留有适当的空间，以适应因温度变化等可能引发的收缩和膨胀，防止其导致容器渗漏或永久变形。</w:t>
            </w:r>
          </w:p>
          <w:p w14:paraId="6C494F6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⑥容器和包装物外表面应保持清洁。</w:t>
            </w:r>
          </w:p>
          <w:p w14:paraId="6AE6F09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4）贮存过程要求</w:t>
            </w:r>
          </w:p>
          <w:p w14:paraId="323A21F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根据《危险废物贮存污染控制标准》（GB 18597-2023），危险废物贮存过程污染控制要求如下：</w:t>
            </w:r>
          </w:p>
          <w:p w14:paraId="3384E1B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①在常温常压下不易水解、不易挥发的固态危险废物可分类堆放贮存，其他固态危险废物应装入容器或包装物内贮存。</w:t>
            </w:r>
          </w:p>
          <w:p w14:paraId="7193C45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②液态危险废物应装入容器内贮存，或直接采用贮存池、贮存罐区贮存。</w:t>
            </w:r>
          </w:p>
          <w:p w14:paraId="49BC59B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③半固态危险废物应装入容器或包装袋内贮存，或者采用贮存池贮存。</w:t>
            </w:r>
          </w:p>
          <w:p w14:paraId="3960764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④具有热塑性的危险废物应装入容器或包装袋内进行贮存。</w:t>
            </w:r>
          </w:p>
          <w:p w14:paraId="717C1E2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危险废物贮存过程中易产生粉尘等无组织排放的，应采取抑尘等有效措施。</w:t>
            </w:r>
          </w:p>
          <w:p w14:paraId="70A349E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5）运输过程的污染防治措施</w:t>
            </w:r>
          </w:p>
          <w:p w14:paraId="07233CB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危险废物运输必须按照《危险废物收集 贮存 运输技术规范》（HJ2025-2012）的要求并做到以下几点：</w:t>
            </w:r>
          </w:p>
          <w:p w14:paraId="7F38C37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①危险废物运输应由持有危险废物经营许可证的单位按照其许可证的经营范围组织实施，承担危险废物运输的单位应获得交通运输部门颁发的危险货物运输资质。</w:t>
            </w:r>
          </w:p>
          <w:p w14:paraId="0377A02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②危险废物公路运输应按照《道路危险货物运输管理规定》（交通部令[2015年]第9号）、JT617以及JT618执行。</w:t>
            </w:r>
          </w:p>
          <w:p w14:paraId="3235C97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③运输单位在承运危险废物时，应在危险废物包装上按照GB18597附录A设置标志。</w:t>
            </w:r>
          </w:p>
          <w:p w14:paraId="4B8547B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④危险废物公路运输时，运输车辆按GB13392设置车辆标志。铁路运输和水路运输危险废物时应在集装箱外按GB190规定悬挂标志。</w:t>
            </w:r>
          </w:p>
          <w:p w14:paraId="22D3721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⑤危险废物运输时的中转、装卸过程应遵守如下技术要求：</w:t>
            </w:r>
          </w:p>
          <w:p w14:paraId="484518E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装卸区的工作人员应熟悉废物的危险特性，并配备适当的个人防护装备，装卸剧毒废物应配备特殊的防护装备；</w:t>
            </w:r>
          </w:p>
          <w:p w14:paraId="41EB5B7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装卸区应配备必要的消防设备和设施，并设置明显的指示标志；</w:t>
            </w:r>
          </w:p>
          <w:p w14:paraId="3F93262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危险废物装卸区应设置隔离设施，液态废物装卸区应设置收集槽和缓冲罐。</w:t>
            </w:r>
          </w:p>
          <w:p w14:paraId="5A857C9C">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（2）一般工业固体废物</w:t>
            </w:r>
          </w:p>
          <w:p w14:paraId="0B0821B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本项目一般工业固废定期外卖综合利用。一般固废仓库应按照《一般工业固体废物贮存和填埋污染控制标准》（GB18599-2020）、《省生态环境厅关于进一步完善一般工业固体废物环境管理的通知》（苏环办</w:t>
            </w:r>
            <w:r>
              <w:rPr>
                <w:rFonts w:hint="eastAsia" w:ascii="Times New Roman" w:hAnsi="Times New Roman" w:eastAsia="宋体" w:cs="Times New Roman"/>
                <w:color w:val="auto"/>
                <w:sz w:val="24"/>
                <w:highlight w:val="none"/>
                <w:lang w:eastAsia="zh-CN"/>
              </w:rPr>
              <w:t>〔2023〕327号</w:t>
            </w:r>
            <w:r>
              <w:rPr>
                <w:rFonts w:hint="default" w:ascii="Times New Roman" w:hAnsi="Times New Roman" w:eastAsia="宋体" w:cs="Times New Roman"/>
                <w:color w:val="auto"/>
                <w:sz w:val="24"/>
                <w:highlight w:val="none"/>
              </w:rPr>
              <w:t>）要求建设，具体技术要求如下：</w:t>
            </w:r>
          </w:p>
          <w:p w14:paraId="15B1C1A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①根据建设、运行、封场等污染控制技术要求不同，贮存场、填埋场分为I类场和</w:t>
            </w:r>
            <w:r>
              <w:rPr>
                <w:rFonts w:hint="default" w:ascii="Times New Roman" w:hAnsi="Times New Roman" w:eastAsia="宋体" w:cs="Times New Roman"/>
                <w:color w:val="auto"/>
                <w:sz w:val="24"/>
                <w:highlight w:val="none"/>
                <w:lang w:eastAsia="zh-CN"/>
              </w:rPr>
              <w:t>Ⅱ类</w:t>
            </w:r>
            <w:r>
              <w:rPr>
                <w:rFonts w:hint="default" w:ascii="Times New Roman" w:hAnsi="Times New Roman" w:eastAsia="宋体" w:cs="Times New Roman"/>
                <w:color w:val="auto"/>
                <w:sz w:val="24"/>
                <w:highlight w:val="none"/>
              </w:rPr>
              <w:t>场。</w:t>
            </w:r>
          </w:p>
          <w:p w14:paraId="23EC05D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②贮存场、填埋场的防洪标准应按重现期不小于50年一遇的洪水位设计，国家已有标准提出更高要求的除外。</w:t>
            </w:r>
          </w:p>
          <w:p w14:paraId="32D842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③贮存场和填埋场一般应包括以下单元：</w:t>
            </w:r>
          </w:p>
          <w:p w14:paraId="7F62837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a)防渗系统、渗滤液收集和导排系统； </w:t>
            </w:r>
          </w:p>
          <w:p w14:paraId="32F8CCD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b)雨污分流系统； </w:t>
            </w:r>
          </w:p>
          <w:p w14:paraId="4002C1A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c)分析化验与环境监测系统； </w:t>
            </w:r>
          </w:p>
          <w:p w14:paraId="6DCBCF5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d)公用工程和配套设施； </w:t>
            </w:r>
          </w:p>
          <w:p w14:paraId="15A42D9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e)地下水导排系统和废水处理系统（根据具体情况选择设置）。</w:t>
            </w:r>
          </w:p>
          <w:p w14:paraId="530244A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④贮存场及填埋场施工方案中应包括施工质量保证和施工质量控制内容，明确环保条款和责任，作为项目竣工环境保护验收的依据，同时可作为建设环境监理的主要内容。</w:t>
            </w:r>
          </w:p>
          <w:p w14:paraId="1548E29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贮存场及填埋场在施工完毕后应保存施工报告、全套竣工图、所有材料的现场及实验室检测报告。采用高密度聚乙烯膜作为人工合成材料衬层的贮存场及填埋场还应提交人工防渗衬层完整性检测报告。上述材料连同施工质量保证书作为竣工环境保护验收的依据。</w:t>
            </w:r>
          </w:p>
          <w:p w14:paraId="6CC677C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⑥贮存场及填埋场渗滤液收集池的防渗要求应不低于对应贮存场、填埋场的防渗要求。</w:t>
            </w:r>
          </w:p>
          <w:p w14:paraId="6D46967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⑦贮存场除应符合标准规定污染控制技术要求之外，其设计、施工、运行、封场等还应符合相关行政法规规定、国家及行业标准要求。</w:t>
            </w:r>
          </w:p>
          <w:p w14:paraId="631E64A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⑧食品制造业、纺织服装和服饰业、造纸和纸制品业、农副食品加工业等为日常生活提供服务的活动中产生的与生活垃圾性质相近的一般工业固体废物，以及有机质含量超过5%的一般工业固体废物（煤矸石除外），其直接贮存、填埋处置应符合GB16889要求。</w:t>
            </w:r>
          </w:p>
          <w:p w14:paraId="37EF0BFA">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（3）生活垃圾</w:t>
            </w:r>
          </w:p>
          <w:p w14:paraId="4B00B35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职工生活垃圾</w:t>
            </w:r>
            <w:r>
              <w:rPr>
                <w:rFonts w:hint="eastAsia" w:ascii="Times New Roman" w:hAnsi="Times New Roman" w:eastAsia="宋体" w:cs="Times New Roman"/>
                <w:color w:val="auto"/>
                <w:sz w:val="24"/>
                <w:highlight w:val="none"/>
                <w:lang w:val="en-US" w:eastAsia="zh-CN"/>
              </w:rPr>
              <w:t>6.75</w:t>
            </w:r>
            <w:r>
              <w:rPr>
                <w:rFonts w:hint="default" w:ascii="Times New Roman" w:hAnsi="Times New Roman" w:eastAsia="宋体" w:cs="Times New Roman"/>
                <w:color w:val="auto"/>
                <w:sz w:val="24"/>
                <w:highlight w:val="none"/>
              </w:rPr>
              <w:t>t/a，由环卫部门定期清运，可得到有效处置。</w:t>
            </w:r>
          </w:p>
          <w:p w14:paraId="6A4A356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综上，本项目产生的各类固废均可得到有效处置，固废污染防治措施可行，对周围环境影响较小。</w:t>
            </w:r>
          </w:p>
          <w:p w14:paraId="2F127483">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五、地下水、土壤</w:t>
            </w:r>
          </w:p>
          <w:p w14:paraId="10F79B5B">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1、污染源、污染类型、污染途径</w:t>
            </w:r>
          </w:p>
          <w:p w14:paraId="55261D6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本项目土壤和地下水污染源主要为液态辅料（</w:t>
            </w:r>
            <w:r>
              <w:rPr>
                <w:rFonts w:hint="eastAsia" w:ascii="Times New Roman" w:hAnsi="Times New Roman" w:eastAsia="宋体" w:cs="Times New Roman"/>
                <w:color w:val="auto"/>
                <w:sz w:val="24"/>
                <w:highlight w:val="none"/>
                <w:lang w:val="en-US" w:eastAsia="zh-CN"/>
              </w:rPr>
              <w:t>水性胶、脱脂剂、硅烷处理剂</w:t>
            </w:r>
            <w:r>
              <w:rPr>
                <w:rFonts w:hint="default" w:ascii="Times New Roman" w:hAnsi="Times New Roman" w:eastAsia="宋体" w:cs="Times New Roman"/>
                <w:color w:val="auto"/>
                <w:sz w:val="24"/>
                <w:highlight w:val="none"/>
              </w:rPr>
              <w:t>）、液态危险废物（</w:t>
            </w:r>
            <w:r>
              <w:rPr>
                <w:rFonts w:hint="eastAsia" w:ascii="Times New Roman" w:hAnsi="Times New Roman" w:eastAsia="宋体" w:cs="Times New Roman"/>
                <w:color w:val="auto"/>
                <w:sz w:val="24"/>
                <w:highlight w:val="none"/>
                <w:lang w:eastAsia="zh-CN"/>
              </w:rPr>
              <w:t>污水处理站浓水</w:t>
            </w:r>
            <w:r>
              <w:rPr>
                <w:rFonts w:hint="default" w:ascii="Times New Roman" w:hAnsi="Times New Roman" w:eastAsia="宋体" w:cs="Times New Roman"/>
                <w:color w:val="auto"/>
                <w:sz w:val="24"/>
                <w:highlight w:val="none"/>
              </w:rPr>
              <w:t>）；可能产生土壤和地下水污染的设施、设备主要为</w:t>
            </w:r>
            <w:r>
              <w:rPr>
                <w:rFonts w:hint="eastAsia" w:ascii="Times New Roman" w:hAnsi="Times New Roman" w:eastAsia="宋体" w:cs="Times New Roman"/>
                <w:color w:val="auto"/>
                <w:sz w:val="24"/>
                <w:highlight w:val="none"/>
                <w:lang w:val="en-US" w:eastAsia="zh-CN"/>
              </w:rPr>
              <w:t>原辅料</w:t>
            </w:r>
            <w:r>
              <w:rPr>
                <w:rFonts w:hint="default" w:ascii="Times New Roman" w:hAnsi="Times New Roman" w:eastAsia="宋体" w:cs="Times New Roman"/>
                <w:color w:val="auto"/>
                <w:sz w:val="24"/>
                <w:highlight w:val="none"/>
              </w:rPr>
              <w:t>仓库和危废仓库。</w:t>
            </w:r>
          </w:p>
          <w:p w14:paraId="11FCBC0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本项目废水主要为生活污水</w:t>
            </w:r>
            <w:r>
              <w:rPr>
                <w:rFonts w:hint="eastAsia" w:ascii="Times New Roman" w:hAnsi="Times New Roman" w:eastAsia="宋体" w:cs="Times New Roman"/>
                <w:color w:val="auto"/>
                <w:sz w:val="24"/>
                <w:highlight w:val="none"/>
                <w:lang w:val="en-US" w:eastAsia="zh-CN"/>
              </w:rPr>
              <w:t>、生产废水</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生产废水经污水处理站处理后</w:t>
            </w:r>
            <w:r>
              <w:rPr>
                <w:rFonts w:hint="default" w:ascii="Times New Roman" w:hAnsi="Times New Roman" w:eastAsia="宋体" w:cs="Times New Roman"/>
                <w:color w:val="auto"/>
                <w:sz w:val="24"/>
                <w:highlight w:val="none"/>
                <w:lang w:val="en-US" w:eastAsia="zh-CN"/>
              </w:rPr>
              <w:t>污染物浓度较低</w:t>
            </w:r>
            <w:r>
              <w:rPr>
                <w:rFonts w:hint="default" w:ascii="Times New Roman" w:hAnsi="Times New Roman" w:eastAsia="宋体" w:cs="Times New Roman"/>
                <w:color w:val="auto"/>
                <w:sz w:val="24"/>
                <w:highlight w:val="none"/>
              </w:rPr>
              <w:t>，不会对土壤和地下水造成不利影响。</w:t>
            </w:r>
          </w:p>
          <w:p w14:paraId="469030D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本项目运营期间可能出现的土壤和地下水污染情况分析：</w:t>
            </w:r>
          </w:p>
          <w:p w14:paraId="583FBED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①本项目</w:t>
            </w:r>
            <w:r>
              <w:rPr>
                <w:rFonts w:hint="eastAsia" w:ascii="Times New Roman" w:hAnsi="Times New Roman" w:eastAsia="宋体" w:cs="Times New Roman"/>
                <w:color w:val="auto"/>
                <w:sz w:val="24"/>
                <w:highlight w:val="none"/>
                <w:lang w:val="en-US" w:eastAsia="zh-CN"/>
              </w:rPr>
              <w:t>水性胶、脱脂剂、硅烷处理剂</w:t>
            </w:r>
            <w:r>
              <w:rPr>
                <w:rFonts w:hint="default" w:ascii="Times New Roman" w:hAnsi="Times New Roman" w:eastAsia="宋体" w:cs="Times New Roman"/>
                <w:color w:val="auto"/>
                <w:sz w:val="24"/>
                <w:highlight w:val="none"/>
              </w:rPr>
              <w:t>的单桶包装规格均较小，全厂地面均设置防腐水泥、防渗漏涂层等措施；液体物料一旦发生泄漏均可控制在厂界范围内，不存在可能造成土壤和地下水污染的途径。</w:t>
            </w:r>
          </w:p>
          <w:p w14:paraId="6A613C6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②厂内若发生火灾、爆炸事故，事故状态下事故废水外溢，通过地表漫流途径及地下水渗流途径导致项目周边土壤和地下水的污染。</w:t>
            </w:r>
          </w:p>
          <w:p w14:paraId="7D51B5B6">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2、土壤、地下水环境保护污染防控措施</w:t>
            </w:r>
          </w:p>
          <w:p w14:paraId="6257141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18F1AA0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①源头控制</w:t>
            </w:r>
          </w:p>
          <w:p w14:paraId="259FE2D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2B03119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②过程控制措施</w:t>
            </w:r>
          </w:p>
          <w:p w14:paraId="1DACE4E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w:t>
            </w:r>
            <w:r>
              <w:rPr>
                <w:rFonts w:hint="eastAsia" w:ascii="Times New Roman" w:hAnsi="Times New Roman" w:eastAsia="宋体" w:cs="Times New Roman"/>
                <w:color w:val="auto"/>
                <w:sz w:val="24"/>
                <w:highlight w:val="none"/>
                <w:lang w:eastAsia="zh-CN"/>
              </w:rPr>
              <w:t>泄漏</w:t>
            </w:r>
            <w:r>
              <w:rPr>
                <w:rFonts w:hint="default" w:ascii="Times New Roman" w:hAnsi="Times New Roman" w:eastAsia="宋体" w:cs="Times New Roman"/>
                <w:color w:val="auto"/>
                <w:sz w:val="24"/>
                <w:highlight w:val="none"/>
              </w:rPr>
              <w:t>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69DCD70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③分区防控</w:t>
            </w:r>
          </w:p>
          <w:p w14:paraId="5CB833B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根据防渗参照的标准和规范，结合目前施工过程中的可操作性和技术水平，针对不同的防渗区域采用典型防渗措施，在具体设计中将根据实际情况在满足防渗标准的前提下做必要的调整。</w:t>
            </w:r>
          </w:p>
          <w:p w14:paraId="161FC9B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本项目针对污染特点设置土壤、地下水一般污染防渗区和重点防渗区，防渗分区情况下表。</w:t>
            </w:r>
          </w:p>
          <w:p w14:paraId="4E5971F6">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-28</w:t>
            </w:r>
            <w:r>
              <w:rPr>
                <w:rFonts w:hint="default" w:ascii="Times New Roman" w:hAnsi="Times New Roman" w:eastAsia="宋体" w:cs="Times New Roman"/>
                <w:b/>
                <w:color w:val="auto"/>
                <w:sz w:val="24"/>
                <w:highlight w:val="none"/>
              </w:rPr>
              <w:t xml:space="preserve">  本项目污染防渗区划分</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9"/>
              <w:gridCol w:w="952"/>
              <w:gridCol w:w="1987"/>
              <w:gridCol w:w="2554"/>
              <w:gridCol w:w="2293"/>
            </w:tblGrid>
            <w:tr w14:paraId="2F3E31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5" w:type="pct"/>
                  <w:gridSpan w:val="2"/>
                  <w:vAlign w:val="center"/>
                </w:tcPr>
                <w:p w14:paraId="44519004">
                  <w:pPr>
                    <w:pStyle w:val="24"/>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分区</w:t>
                  </w:r>
                </w:p>
              </w:tc>
              <w:tc>
                <w:tcPr>
                  <w:tcW w:w="1190" w:type="pct"/>
                  <w:vAlign w:val="center"/>
                </w:tcPr>
                <w:p w14:paraId="2DB2E4B7">
                  <w:pPr>
                    <w:pStyle w:val="24"/>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定义</w:t>
                  </w:r>
                </w:p>
              </w:tc>
              <w:tc>
                <w:tcPr>
                  <w:tcW w:w="1530" w:type="pct"/>
                  <w:vAlign w:val="center"/>
                </w:tcPr>
                <w:p w14:paraId="03E99AFE">
                  <w:pPr>
                    <w:pStyle w:val="24"/>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厂内分区</w:t>
                  </w:r>
                </w:p>
              </w:tc>
              <w:tc>
                <w:tcPr>
                  <w:tcW w:w="1373" w:type="pct"/>
                  <w:vAlign w:val="center"/>
                </w:tcPr>
                <w:p w14:paraId="742A82A8">
                  <w:pPr>
                    <w:pStyle w:val="24"/>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防渗等级</w:t>
                  </w:r>
                </w:p>
              </w:tc>
            </w:tr>
            <w:tr w14:paraId="25174B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restart"/>
                  <w:vAlign w:val="center"/>
                </w:tcPr>
                <w:p w14:paraId="6EC7BB59">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污染区</w:t>
                  </w:r>
                </w:p>
              </w:tc>
              <w:tc>
                <w:tcPr>
                  <w:tcW w:w="569" w:type="pct"/>
                  <w:vAlign w:val="center"/>
                </w:tcPr>
                <w:p w14:paraId="24EEDB30">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重点防渗区</w:t>
                  </w:r>
                </w:p>
              </w:tc>
              <w:tc>
                <w:tcPr>
                  <w:tcW w:w="1190" w:type="pct"/>
                  <w:vAlign w:val="center"/>
                </w:tcPr>
                <w:p w14:paraId="02E944E1">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危害性大，污染物较大的生产装置区，污染控制难度较难</w:t>
                  </w:r>
                </w:p>
              </w:tc>
              <w:tc>
                <w:tcPr>
                  <w:tcW w:w="1530" w:type="pct"/>
                  <w:vAlign w:val="center"/>
                </w:tcPr>
                <w:p w14:paraId="2DB96D3F">
                  <w:pPr>
                    <w:pStyle w:val="24"/>
                    <w:jc w:val="center"/>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原辅料仓库</w:t>
                  </w:r>
                  <w:r>
                    <w:rPr>
                      <w:rFonts w:hint="default" w:ascii="Times New Roman" w:hAnsi="Times New Roman" w:cs="Times New Roman"/>
                      <w:b w:val="0"/>
                      <w:color w:val="auto"/>
                      <w:sz w:val="21"/>
                      <w:szCs w:val="21"/>
                      <w:highlight w:val="none"/>
                    </w:rPr>
                    <w:t>、危废仓库、</w:t>
                  </w:r>
                  <w:r>
                    <w:rPr>
                      <w:rFonts w:hint="default" w:ascii="Times New Roman" w:hAnsi="Times New Roman" w:cs="Times New Roman"/>
                      <w:b w:val="0"/>
                      <w:color w:val="auto"/>
                      <w:sz w:val="21"/>
                      <w:szCs w:val="21"/>
                      <w:highlight w:val="none"/>
                      <w:lang w:val="en-US" w:eastAsia="zh-CN"/>
                    </w:rPr>
                    <w:t>生产区</w:t>
                  </w:r>
                  <w:r>
                    <w:rPr>
                      <w:rFonts w:hint="eastAsia"/>
                      <w:b w:val="0"/>
                      <w:bCs/>
                      <w:color w:val="auto"/>
                      <w:sz w:val="21"/>
                      <w:szCs w:val="21"/>
                      <w:highlight w:val="none"/>
                      <w:lang w:eastAsia="zh-CN"/>
                    </w:rPr>
                    <w:t>、</w:t>
                  </w:r>
                  <w:r>
                    <w:rPr>
                      <w:rFonts w:hint="eastAsia"/>
                      <w:b w:val="0"/>
                      <w:bCs/>
                      <w:color w:val="auto"/>
                      <w:sz w:val="21"/>
                      <w:szCs w:val="21"/>
                      <w:highlight w:val="none"/>
                      <w:lang w:val="en-US" w:eastAsia="zh-CN"/>
                    </w:rPr>
                    <w:t>前处理线、污水处理站</w:t>
                  </w:r>
                </w:p>
              </w:tc>
              <w:tc>
                <w:tcPr>
                  <w:tcW w:w="1373" w:type="pct"/>
                  <w:vAlign w:val="center"/>
                </w:tcPr>
                <w:p w14:paraId="7F77D403">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设计渗透系数≤1.0</w:t>
                  </w:r>
                  <w:r>
                    <w:rPr>
                      <w:rFonts w:hint="default" w:ascii="Times New Roman" w:hAnsi="Times New Roman" w:cs="Times New Roman"/>
                      <w:b w:val="0"/>
                      <w:color w:val="auto"/>
                      <w:highlight w:val="none"/>
                      <w:lang w:eastAsia="zh-CN"/>
                    </w:rPr>
                    <w:t>（</w:t>
                  </w:r>
                  <w:r>
                    <w:rPr>
                      <w:rFonts w:hint="default" w:ascii="Times New Roman" w:hAnsi="Times New Roman" w:cs="Times New Roman"/>
                      <w:b w:val="0"/>
                      <w:color w:val="auto"/>
                      <w:sz w:val="21"/>
                      <w:szCs w:val="21"/>
                      <w:highlight w:val="none"/>
                    </w:rPr>
                    <w:t>10</w:t>
                  </w:r>
                  <w:r>
                    <w:rPr>
                      <w:rFonts w:hint="default" w:ascii="Times New Roman" w:hAnsi="Times New Roman" w:cs="Times New Roman"/>
                      <w:b w:val="0"/>
                      <w:color w:val="auto"/>
                      <w:sz w:val="21"/>
                      <w:szCs w:val="21"/>
                      <w:highlight w:val="none"/>
                      <w:vertAlign w:val="superscript"/>
                    </w:rPr>
                    <w:t>-10</w:t>
                  </w:r>
                  <w:r>
                    <w:rPr>
                      <w:rFonts w:hint="default" w:ascii="Times New Roman" w:hAnsi="Times New Roman" w:cs="Times New Roman"/>
                      <w:b w:val="0"/>
                      <w:color w:val="auto"/>
                      <w:sz w:val="21"/>
                      <w:szCs w:val="21"/>
                      <w:highlight w:val="none"/>
                    </w:rPr>
                    <w:t>cm/s，等效黏土防渗层Mb≥6.0m</w:t>
                  </w:r>
                </w:p>
              </w:tc>
            </w:tr>
            <w:tr w14:paraId="74462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continue"/>
                  <w:vAlign w:val="center"/>
                </w:tcPr>
                <w:p w14:paraId="4A129CD6">
                  <w:pPr>
                    <w:pStyle w:val="24"/>
                    <w:jc w:val="center"/>
                    <w:rPr>
                      <w:rFonts w:hint="default" w:ascii="Times New Roman" w:hAnsi="Times New Roman" w:cs="Times New Roman"/>
                      <w:b w:val="0"/>
                      <w:color w:val="auto"/>
                      <w:sz w:val="21"/>
                      <w:szCs w:val="21"/>
                      <w:highlight w:val="none"/>
                    </w:rPr>
                  </w:pPr>
                </w:p>
              </w:tc>
              <w:tc>
                <w:tcPr>
                  <w:tcW w:w="569" w:type="pct"/>
                  <w:vAlign w:val="center"/>
                </w:tcPr>
                <w:p w14:paraId="34126D22">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一般防渗区</w:t>
                  </w:r>
                </w:p>
              </w:tc>
              <w:tc>
                <w:tcPr>
                  <w:tcW w:w="1190" w:type="pct"/>
                  <w:vAlign w:val="center"/>
                </w:tcPr>
                <w:p w14:paraId="411A32E7">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无毒性或毒性小的生产装置区、装置区外管廊区，污染控制难度较易</w:t>
                  </w:r>
                </w:p>
              </w:tc>
              <w:tc>
                <w:tcPr>
                  <w:tcW w:w="1530" w:type="pct"/>
                  <w:vAlign w:val="center"/>
                </w:tcPr>
                <w:p w14:paraId="50FD4470">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除重点防渗区以外</w:t>
                  </w:r>
                </w:p>
              </w:tc>
              <w:tc>
                <w:tcPr>
                  <w:tcW w:w="1373" w:type="pct"/>
                  <w:vAlign w:val="center"/>
                </w:tcPr>
                <w:p w14:paraId="491F6164">
                  <w:pPr>
                    <w:pStyle w:val="24"/>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设计渗透系数＜1.0</w:t>
                  </w:r>
                  <w:r>
                    <w:rPr>
                      <w:rFonts w:hint="default" w:ascii="Times New Roman" w:hAnsi="Times New Roman" w:cs="Times New Roman"/>
                      <w:b w:val="0"/>
                      <w:color w:val="auto"/>
                      <w:sz w:val="21"/>
                      <w:szCs w:val="21"/>
                      <w:highlight w:val="none"/>
                      <w:lang w:eastAsia="zh-CN"/>
                    </w:rPr>
                    <w:t>（</w:t>
                  </w:r>
                  <w:r>
                    <w:rPr>
                      <w:rFonts w:hint="default" w:ascii="Times New Roman" w:hAnsi="Times New Roman" w:cs="Times New Roman"/>
                      <w:b w:val="0"/>
                      <w:color w:val="auto"/>
                      <w:sz w:val="21"/>
                      <w:szCs w:val="21"/>
                      <w:highlight w:val="none"/>
                    </w:rPr>
                    <w:t>10</w:t>
                  </w:r>
                  <w:r>
                    <w:rPr>
                      <w:rFonts w:hint="default" w:ascii="Times New Roman" w:hAnsi="Times New Roman" w:cs="Times New Roman"/>
                      <w:b w:val="0"/>
                      <w:color w:val="auto"/>
                      <w:sz w:val="21"/>
                      <w:szCs w:val="21"/>
                      <w:highlight w:val="none"/>
                      <w:vertAlign w:val="superscript"/>
                    </w:rPr>
                    <w:t>-7</w:t>
                  </w:r>
                  <w:r>
                    <w:rPr>
                      <w:rFonts w:hint="default" w:ascii="Times New Roman" w:hAnsi="Times New Roman" w:cs="Times New Roman"/>
                      <w:b w:val="0"/>
                      <w:color w:val="auto"/>
                      <w:sz w:val="21"/>
                      <w:szCs w:val="21"/>
                      <w:highlight w:val="none"/>
                    </w:rPr>
                    <w:t>cm/s，等效黏土防渗层Mb≥1.5m</w:t>
                  </w:r>
                </w:p>
              </w:tc>
            </w:tr>
          </w:tbl>
          <w:p w14:paraId="48F5A42F">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一般防渗区自上而下采用人工大理石或水泥防渗结构，车间地面全部进行</w:t>
            </w:r>
            <w:r>
              <w:rPr>
                <w:rFonts w:hint="eastAsia" w:ascii="Times New Roman" w:hAnsi="Times New Roman" w:eastAsia="宋体" w:cs="Times New Roman"/>
                <w:color w:val="auto"/>
                <w:sz w:val="24"/>
                <w:highlight w:val="none"/>
                <w:lang w:eastAsia="zh-CN"/>
              </w:rPr>
              <w:t>黏土</w:t>
            </w:r>
            <w:r>
              <w:rPr>
                <w:rFonts w:hint="default" w:ascii="Times New Roman" w:hAnsi="Times New Roman" w:eastAsia="宋体" w:cs="Times New Roman"/>
                <w:color w:val="auto"/>
                <w:sz w:val="24"/>
                <w:highlight w:val="none"/>
              </w:rPr>
              <w:t>夯实、混凝硬化。如采取粘土铺底，再在上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防渗剖面见图4.4-1。</w:t>
            </w:r>
          </w:p>
          <w:p w14:paraId="33664326">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drawing>
                <wp:inline distT="0" distB="0" distL="0" distR="0">
                  <wp:extent cx="5170805" cy="188531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171429" cy="1885714"/>
                          </a:xfrm>
                          <a:prstGeom prst="rect">
                            <a:avLst/>
                          </a:prstGeom>
                        </pic:spPr>
                      </pic:pic>
                    </a:graphicData>
                  </a:graphic>
                </wp:inline>
              </w:drawing>
            </w:r>
          </w:p>
          <w:p w14:paraId="1F4AAD80">
            <w:pPr>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图4-</w:t>
            </w: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重点区域防渗层剖面图</w:t>
            </w:r>
          </w:p>
          <w:p w14:paraId="3872C3A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④应急响应措施</w:t>
            </w:r>
          </w:p>
          <w:p w14:paraId="5456D4E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36FC3235">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六、环境风险</w:t>
            </w:r>
          </w:p>
          <w:p w14:paraId="7FC6159B">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1、建设项目风险源调查</w:t>
            </w:r>
          </w:p>
          <w:p w14:paraId="566BBE0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参照《建设项目环境风险评价技术导则》（HJ169-2018）及其附录B，本项目所涉及的危险物质主要为原辅料中的</w:t>
            </w:r>
            <w:r>
              <w:rPr>
                <w:rFonts w:hint="eastAsia" w:ascii="Times New Roman" w:hAnsi="Times New Roman" w:eastAsia="宋体" w:cs="Times New Roman"/>
                <w:color w:val="auto"/>
                <w:sz w:val="24"/>
                <w:highlight w:val="none"/>
                <w:lang w:val="en-US" w:eastAsia="zh-CN"/>
              </w:rPr>
              <w:t>塑粉、水性胶、脱脂剂、硅烷处理剂、天然气以及危险废物</w:t>
            </w:r>
            <w:r>
              <w:rPr>
                <w:rFonts w:hint="default" w:ascii="Times New Roman" w:hAnsi="Times New Roman" w:eastAsia="宋体" w:cs="Times New Roman"/>
                <w:color w:val="auto"/>
                <w:sz w:val="24"/>
                <w:highlight w:val="none"/>
              </w:rPr>
              <w:t>。危险物质危险性识别见下表。</w:t>
            </w:r>
          </w:p>
          <w:p w14:paraId="3AA8BBE1">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-29</w:t>
            </w:r>
            <w:r>
              <w:rPr>
                <w:rFonts w:hint="default" w:ascii="Times New Roman" w:hAnsi="Times New Roman" w:eastAsia="宋体" w:cs="Times New Roman"/>
                <w:b/>
                <w:color w:val="auto"/>
                <w:sz w:val="24"/>
                <w:highlight w:val="none"/>
              </w:rPr>
              <w:t xml:space="preserve">  危险物质危险性识别表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4"/>
              <w:gridCol w:w="1971"/>
              <w:gridCol w:w="3103"/>
              <w:gridCol w:w="2020"/>
            </w:tblGrid>
            <w:tr w14:paraId="24BC26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4981501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物质类别</w:t>
                  </w:r>
                </w:p>
              </w:tc>
              <w:tc>
                <w:tcPr>
                  <w:tcW w:w="1180" w:type="pct"/>
                  <w:vAlign w:val="center"/>
                </w:tcPr>
                <w:p w14:paraId="1A38C3F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物质名称</w:t>
                  </w:r>
                </w:p>
              </w:tc>
              <w:tc>
                <w:tcPr>
                  <w:tcW w:w="1858" w:type="pct"/>
                  <w:vAlign w:val="center"/>
                </w:tcPr>
                <w:p w14:paraId="596A6D8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毒理性质</w:t>
                  </w:r>
                </w:p>
              </w:tc>
              <w:tc>
                <w:tcPr>
                  <w:tcW w:w="1209" w:type="pct"/>
                  <w:vAlign w:val="center"/>
                </w:tcPr>
                <w:p w14:paraId="45DA2BD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燃爆性质</w:t>
                  </w:r>
                </w:p>
              </w:tc>
            </w:tr>
            <w:tr w14:paraId="3900F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restart"/>
                  <w:vAlign w:val="center"/>
                </w:tcPr>
                <w:p w14:paraId="46F50A46">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原辅材料</w:t>
                  </w:r>
                </w:p>
              </w:tc>
              <w:tc>
                <w:tcPr>
                  <w:tcW w:w="1180" w:type="pct"/>
                  <w:vAlign w:val="center"/>
                </w:tcPr>
                <w:p w14:paraId="28A59324">
                  <w:pPr>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水性胶</w:t>
                  </w:r>
                </w:p>
              </w:tc>
              <w:tc>
                <w:tcPr>
                  <w:tcW w:w="1858" w:type="pct"/>
                  <w:vAlign w:val="center"/>
                </w:tcPr>
                <w:p w14:paraId="72AA7090">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209" w:type="pct"/>
                  <w:vAlign w:val="center"/>
                </w:tcPr>
                <w:p w14:paraId="52827A14">
                  <w:pPr>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不易燃</w:t>
                  </w:r>
                </w:p>
              </w:tc>
            </w:tr>
            <w:tr w14:paraId="56934E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48E9EC78">
                  <w:pPr>
                    <w:jc w:val="center"/>
                    <w:rPr>
                      <w:rFonts w:hint="default" w:ascii="Times New Roman" w:hAnsi="Times New Roman" w:eastAsia="宋体" w:cs="Times New Roman"/>
                      <w:bCs/>
                      <w:color w:val="auto"/>
                      <w:sz w:val="21"/>
                      <w:szCs w:val="21"/>
                      <w:highlight w:val="none"/>
                    </w:rPr>
                  </w:pPr>
                </w:p>
              </w:tc>
              <w:tc>
                <w:tcPr>
                  <w:tcW w:w="1180" w:type="pct"/>
                  <w:vAlign w:val="center"/>
                </w:tcPr>
                <w:p w14:paraId="2F933889">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塑粉</w:t>
                  </w:r>
                </w:p>
              </w:tc>
              <w:tc>
                <w:tcPr>
                  <w:tcW w:w="1858" w:type="pct"/>
                  <w:shd w:val="clear" w:color="auto" w:fill="auto"/>
                  <w:vAlign w:val="center"/>
                </w:tcPr>
                <w:p w14:paraId="0DC549C8">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1209" w:type="pct"/>
                  <w:shd w:val="clear" w:color="auto" w:fill="auto"/>
                  <w:vAlign w:val="center"/>
                </w:tcPr>
                <w:p w14:paraId="08D42CF8">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可燃</w:t>
                  </w:r>
                </w:p>
              </w:tc>
            </w:tr>
            <w:tr w14:paraId="1BB4EA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785EEA51">
                  <w:pPr>
                    <w:jc w:val="center"/>
                    <w:rPr>
                      <w:rFonts w:hint="default" w:ascii="Times New Roman" w:hAnsi="Times New Roman" w:eastAsia="宋体" w:cs="Times New Roman"/>
                      <w:bCs/>
                      <w:color w:val="auto"/>
                      <w:sz w:val="21"/>
                      <w:szCs w:val="21"/>
                      <w:highlight w:val="none"/>
                    </w:rPr>
                  </w:pPr>
                </w:p>
              </w:tc>
              <w:tc>
                <w:tcPr>
                  <w:tcW w:w="1180" w:type="pct"/>
                  <w:vAlign w:val="center"/>
                </w:tcPr>
                <w:p w14:paraId="28589031">
                  <w:pPr>
                    <w:pStyle w:val="8"/>
                    <w:bidi w:val="0"/>
                    <w:ind w:left="0" w:leftChars="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脱脂剂</w:t>
                  </w:r>
                </w:p>
              </w:tc>
              <w:tc>
                <w:tcPr>
                  <w:tcW w:w="1858" w:type="pct"/>
                  <w:shd w:val="clear" w:color="auto" w:fill="auto"/>
                  <w:vAlign w:val="center"/>
                </w:tcPr>
                <w:p w14:paraId="77DCC5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LD50&lt; 350mg/kg（兔皮试）；LD50&lt;150mg/kg（大鼠经吞噬）</w:t>
                  </w:r>
                </w:p>
              </w:tc>
              <w:tc>
                <w:tcPr>
                  <w:tcW w:w="1209" w:type="pct"/>
                  <w:vAlign w:val="center"/>
                </w:tcPr>
                <w:p w14:paraId="611E948E">
                  <w:pPr>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不燃</w:t>
                  </w:r>
                </w:p>
              </w:tc>
            </w:tr>
            <w:tr w14:paraId="2A588F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6055C7EA">
                  <w:pPr>
                    <w:jc w:val="center"/>
                    <w:rPr>
                      <w:rFonts w:hint="default" w:ascii="Times New Roman" w:hAnsi="Times New Roman" w:eastAsia="宋体" w:cs="Times New Roman"/>
                      <w:bCs/>
                      <w:color w:val="auto"/>
                      <w:sz w:val="21"/>
                      <w:szCs w:val="21"/>
                      <w:highlight w:val="none"/>
                    </w:rPr>
                  </w:pPr>
                </w:p>
              </w:tc>
              <w:tc>
                <w:tcPr>
                  <w:tcW w:w="1180" w:type="pct"/>
                  <w:vAlign w:val="center"/>
                </w:tcPr>
                <w:p w14:paraId="328248AE">
                  <w:pPr>
                    <w:pStyle w:val="8"/>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硅烷处理剂</w:t>
                  </w:r>
                </w:p>
              </w:tc>
              <w:tc>
                <w:tcPr>
                  <w:tcW w:w="1858" w:type="pct"/>
                  <w:shd w:val="clear" w:color="auto" w:fill="auto"/>
                  <w:vAlign w:val="center"/>
                </w:tcPr>
                <w:p w14:paraId="2271DB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LD50&lt; 350mg/kg（兔皮试）；LD50&lt; 150mg/kg（大鼠经吞噬）</w:t>
                  </w:r>
                </w:p>
              </w:tc>
              <w:tc>
                <w:tcPr>
                  <w:tcW w:w="1209" w:type="pct"/>
                  <w:vAlign w:val="center"/>
                </w:tcPr>
                <w:p w14:paraId="47645DAC">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r>
            <w:tr w14:paraId="68A908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58AFDBE0">
                  <w:pPr>
                    <w:jc w:val="center"/>
                    <w:rPr>
                      <w:rFonts w:hint="default" w:ascii="Times New Roman" w:hAnsi="Times New Roman" w:eastAsia="宋体" w:cs="Times New Roman"/>
                      <w:bCs/>
                      <w:color w:val="auto"/>
                      <w:sz w:val="21"/>
                      <w:szCs w:val="21"/>
                      <w:highlight w:val="none"/>
                    </w:rPr>
                  </w:pPr>
                </w:p>
              </w:tc>
              <w:tc>
                <w:tcPr>
                  <w:tcW w:w="1180" w:type="pct"/>
                  <w:vAlign w:val="center"/>
                </w:tcPr>
                <w:p w14:paraId="66F50345">
                  <w:pPr>
                    <w:pStyle w:val="8"/>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天然气</w:t>
                  </w:r>
                </w:p>
              </w:tc>
              <w:tc>
                <w:tcPr>
                  <w:tcW w:w="1858" w:type="pct"/>
                  <w:shd w:val="clear" w:color="auto" w:fill="auto"/>
                  <w:vAlign w:val="center"/>
                </w:tcPr>
                <w:p w14:paraId="01C64310">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1209" w:type="pct"/>
                  <w:shd w:val="clear" w:color="auto" w:fill="auto"/>
                  <w:vAlign w:val="center"/>
                </w:tcPr>
                <w:p w14:paraId="13A302D3">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易燃易爆炸</w:t>
                  </w:r>
                </w:p>
              </w:tc>
            </w:tr>
            <w:tr w14:paraId="65FE98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17270234">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危险废物</w:t>
                  </w:r>
                </w:p>
              </w:tc>
              <w:tc>
                <w:tcPr>
                  <w:tcW w:w="1180" w:type="pct"/>
                  <w:vAlign w:val="center"/>
                </w:tcPr>
                <w:p w14:paraId="64E28EF1">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58" w:type="pct"/>
                  <w:vAlign w:val="center"/>
                </w:tcPr>
                <w:p w14:paraId="000B034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shd w:val="clear" w:color="auto" w:fill="auto"/>
                  <w:vAlign w:val="center"/>
                </w:tcPr>
                <w:p w14:paraId="287C5C72">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可燃</w:t>
                  </w:r>
                </w:p>
              </w:tc>
            </w:tr>
          </w:tbl>
          <w:p w14:paraId="473918A1">
            <w:pPr>
              <w:spacing w:before="156" w:beforeLines="50"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2、危险物质数量与临界量比值</w:t>
            </w:r>
          </w:p>
          <w:p w14:paraId="2E6174A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参照《建设项目环境风险评价技术导则》（HJ169-2018）附录C，计算所涉及的每种危险物质在厂界内的最大存在总量与其在附录B中对应临界量的比值Q。</w:t>
            </w:r>
          </w:p>
          <w:p w14:paraId="6900B8C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当存在多种危险物质时，使用以下公式计算物质总量与临界量的比值Q：</w:t>
            </w:r>
          </w:p>
          <w:p w14:paraId="65FFADBC">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drawing>
                <wp:inline distT="0" distB="0" distL="0" distR="0">
                  <wp:extent cx="1657350" cy="428625"/>
                  <wp:effectExtent l="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8"/>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7DDF58F9">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w:t>
            </w:r>
          </w:p>
          <w:p w14:paraId="30269FAC">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1</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n</w:t>
            </w:r>
            <w:r>
              <w:rPr>
                <w:rFonts w:hint="default" w:ascii="Times New Roman" w:hAnsi="Times New Roman" w:eastAsia="宋体" w:cs="Times New Roman"/>
                <w:bCs/>
                <w:color w:val="auto"/>
                <w:sz w:val="24"/>
                <w:highlight w:val="none"/>
              </w:rPr>
              <w:t>——每种危险物质的最大存在总量，t；</w:t>
            </w:r>
          </w:p>
          <w:p w14:paraId="34E662DD">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1</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n</w:t>
            </w:r>
            <w:r>
              <w:rPr>
                <w:rFonts w:hint="default" w:ascii="Times New Roman" w:hAnsi="Times New Roman" w:eastAsia="宋体" w:cs="Times New Roman"/>
                <w:bCs/>
                <w:color w:val="auto"/>
                <w:sz w:val="24"/>
                <w:highlight w:val="none"/>
              </w:rPr>
              <w:t>——每种危险物质的临界量，t。</w:t>
            </w:r>
          </w:p>
          <w:p w14:paraId="59A50E0B">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当Q＜1时，该项目环境风险潜势为Ⅰ。</w:t>
            </w:r>
          </w:p>
          <w:p w14:paraId="501C243B">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当Q≥1时，将Q值划分为：（1）1≤Q＜10；（2）10≤Q＜100；（3）Q≥100。</w:t>
            </w:r>
          </w:p>
          <w:p w14:paraId="20F17D5F">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本项目Q值计算结果见下表。</w:t>
            </w:r>
          </w:p>
          <w:p w14:paraId="63B459E6">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-30</w:t>
            </w:r>
            <w:r>
              <w:rPr>
                <w:rFonts w:hint="default" w:ascii="Times New Roman" w:hAnsi="Times New Roman" w:eastAsia="宋体" w:cs="Times New Roman"/>
                <w:b/>
                <w:bCs/>
                <w:color w:val="auto"/>
                <w:sz w:val="24"/>
                <w:highlight w:val="none"/>
              </w:rPr>
              <w:t xml:space="preserve">  危险物质数量与临界量比值结果表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477"/>
              <w:gridCol w:w="1311"/>
              <w:gridCol w:w="2603"/>
              <w:gridCol w:w="1338"/>
            </w:tblGrid>
            <w:tr w14:paraId="07F23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vAlign w:val="center"/>
                </w:tcPr>
                <w:p w14:paraId="2598D54D">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危险物质名称</w:t>
                  </w:r>
                </w:p>
              </w:tc>
              <w:tc>
                <w:tcPr>
                  <w:tcW w:w="884" w:type="pct"/>
                  <w:tcBorders>
                    <w:tl2br w:val="nil"/>
                    <w:tr2bl w:val="nil"/>
                  </w:tcBorders>
                  <w:vAlign w:val="center"/>
                </w:tcPr>
                <w:p w14:paraId="7FE93468">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最大储存量 t</w:t>
                  </w:r>
                </w:p>
              </w:tc>
              <w:tc>
                <w:tcPr>
                  <w:tcW w:w="785" w:type="pct"/>
                  <w:tcBorders>
                    <w:tl2br w:val="nil"/>
                    <w:tr2bl w:val="nil"/>
                  </w:tcBorders>
                  <w:vAlign w:val="center"/>
                </w:tcPr>
                <w:p w14:paraId="6C3401C8">
                  <w:pPr>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
                      <w:bCs/>
                      <w:color w:val="auto"/>
                      <w:highlight w:val="none"/>
                    </w:rPr>
                    <w:t>临界量 t</w:t>
                  </w:r>
                </w:p>
              </w:tc>
              <w:tc>
                <w:tcPr>
                  <w:tcW w:w="1559" w:type="pct"/>
                  <w:tcBorders>
                    <w:tl2br w:val="nil"/>
                    <w:tr2bl w:val="nil"/>
                  </w:tcBorders>
                  <w:vAlign w:val="center"/>
                </w:tcPr>
                <w:p w14:paraId="1BFF49CA">
                  <w:pPr>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
                      <w:bCs/>
                      <w:color w:val="auto"/>
                      <w:highlight w:val="none"/>
                    </w:rPr>
                    <w:t>临界量依据</w:t>
                  </w:r>
                </w:p>
              </w:tc>
              <w:tc>
                <w:tcPr>
                  <w:tcW w:w="801" w:type="pct"/>
                  <w:tcBorders>
                    <w:tl2br w:val="nil"/>
                    <w:tr2bl w:val="nil"/>
                  </w:tcBorders>
                  <w:vAlign w:val="center"/>
                </w:tcPr>
                <w:p w14:paraId="36DDF04E">
                  <w:pPr>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
                      <w:bCs/>
                      <w:color w:val="auto"/>
                      <w:highlight w:val="none"/>
                    </w:rPr>
                    <w:t>q/Q</w:t>
                  </w:r>
                </w:p>
              </w:tc>
            </w:tr>
            <w:tr w14:paraId="4B08B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387E443E">
                  <w:pPr>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水性胶</w:t>
                  </w:r>
                </w:p>
              </w:tc>
              <w:tc>
                <w:tcPr>
                  <w:tcW w:w="884" w:type="pct"/>
                  <w:tcBorders>
                    <w:tl2br w:val="nil"/>
                    <w:tr2bl w:val="nil"/>
                  </w:tcBorders>
                  <w:vAlign w:val="center"/>
                </w:tcPr>
                <w:p w14:paraId="23CEF1D7">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0.1</w:t>
                  </w:r>
                </w:p>
              </w:tc>
              <w:tc>
                <w:tcPr>
                  <w:tcW w:w="785" w:type="pct"/>
                  <w:tcBorders>
                    <w:tl2br w:val="nil"/>
                    <w:tr2bl w:val="nil"/>
                  </w:tcBorders>
                  <w:vAlign w:val="center"/>
                </w:tcPr>
                <w:p w14:paraId="358A4F12">
                  <w:pPr>
                    <w:jc w:val="center"/>
                    <w:rPr>
                      <w:rFonts w:hint="default" w:ascii="Times New Roman" w:hAnsi="Times New Roman" w:eastAsia="宋体" w:cs="Times New Roman"/>
                      <w:bCs/>
                      <w:color w:val="auto"/>
                      <w:kern w:val="2"/>
                      <w:sz w:val="21"/>
                      <w:szCs w:val="22"/>
                      <w:highlight w:val="none"/>
                      <w:lang w:val="en-US" w:eastAsia="zh-CN" w:bidi="ar-SA"/>
                    </w:rPr>
                  </w:pPr>
                  <w:r>
                    <w:rPr>
                      <w:rFonts w:hint="eastAsia" w:ascii="Times New Roman" w:hAnsi="Times New Roman" w:eastAsia="宋体" w:cs="Times New Roman"/>
                      <w:bCs/>
                      <w:color w:val="auto"/>
                      <w:highlight w:val="none"/>
                      <w:lang w:val="en-US" w:eastAsia="zh-CN"/>
                    </w:rPr>
                    <w:t>50</w:t>
                  </w:r>
                </w:p>
              </w:tc>
              <w:tc>
                <w:tcPr>
                  <w:tcW w:w="1559" w:type="pct"/>
                  <w:vMerge w:val="restart"/>
                  <w:tcBorders>
                    <w:tl2br w:val="nil"/>
                    <w:tr2bl w:val="nil"/>
                  </w:tcBorders>
                  <w:vAlign w:val="center"/>
                </w:tcPr>
                <w:p w14:paraId="1D85A6BE">
                  <w:pPr>
                    <w:jc w:val="center"/>
                    <w:rPr>
                      <w:rFonts w:hint="default" w:ascii="Times New Roman" w:hAnsi="Times New Roman" w:eastAsia="宋体" w:cs="Times New Roman"/>
                      <w:bCs/>
                      <w:color w:val="auto"/>
                      <w:kern w:val="2"/>
                      <w:sz w:val="21"/>
                      <w:szCs w:val="22"/>
                      <w:highlight w:val="none"/>
                      <w:lang w:val="en-US" w:eastAsia="zh-CN" w:bidi="ar-SA"/>
                    </w:rPr>
                  </w:pPr>
                  <w:r>
                    <w:rPr>
                      <w:rFonts w:hint="default" w:ascii="Times New Roman" w:hAnsi="Times New Roman" w:eastAsia="宋体" w:cs="Times New Roman"/>
                      <w:color w:val="auto"/>
                      <w:sz w:val="21"/>
                      <w:szCs w:val="21"/>
                      <w:highlight w:val="none"/>
                      <w:lang w:val="en-US" w:eastAsia="zh-CN"/>
                    </w:rPr>
                    <w:t>HJ169-2018附录</w:t>
                  </w:r>
                </w:p>
              </w:tc>
              <w:tc>
                <w:tcPr>
                  <w:tcW w:w="1338" w:type="dxa"/>
                  <w:tcBorders>
                    <w:tl2br w:val="nil"/>
                    <w:tr2bl w:val="nil"/>
                  </w:tcBorders>
                  <w:shd w:val="clear" w:color="auto" w:fill="auto"/>
                  <w:vAlign w:val="center"/>
                </w:tcPr>
                <w:p w14:paraId="1F3A3DF8">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0.002</w:t>
                  </w:r>
                </w:p>
              </w:tc>
            </w:tr>
            <w:tr w14:paraId="53512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1EE4C771">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塑粉</w:t>
                  </w:r>
                </w:p>
              </w:tc>
              <w:tc>
                <w:tcPr>
                  <w:tcW w:w="884" w:type="pct"/>
                  <w:tcBorders>
                    <w:tl2br w:val="nil"/>
                    <w:tr2bl w:val="nil"/>
                  </w:tcBorders>
                  <w:vAlign w:val="center"/>
                </w:tcPr>
                <w:p w14:paraId="34DB9725">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10</w:t>
                  </w:r>
                </w:p>
              </w:tc>
              <w:tc>
                <w:tcPr>
                  <w:tcW w:w="785" w:type="pct"/>
                  <w:tcBorders>
                    <w:tl2br w:val="nil"/>
                    <w:tr2bl w:val="nil"/>
                  </w:tcBorders>
                  <w:vAlign w:val="center"/>
                </w:tcPr>
                <w:p w14:paraId="6B6B6B85">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200</w:t>
                  </w:r>
                </w:p>
              </w:tc>
              <w:tc>
                <w:tcPr>
                  <w:tcW w:w="1559" w:type="pct"/>
                  <w:vMerge w:val="continue"/>
                  <w:tcBorders>
                    <w:tl2br w:val="nil"/>
                    <w:tr2bl w:val="nil"/>
                  </w:tcBorders>
                  <w:vAlign w:val="center"/>
                </w:tcPr>
                <w:p w14:paraId="2F494C28">
                  <w:pPr>
                    <w:jc w:val="center"/>
                    <w:rPr>
                      <w:rFonts w:hint="default" w:ascii="Times New Roman" w:hAnsi="Times New Roman" w:eastAsia="宋体" w:cs="Times New Roman"/>
                      <w:color w:val="auto"/>
                      <w:sz w:val="21"/>
                      <w:szCs w:val="21"/>
                      <w:highlight w:val="none"/>
                      <w:lang w:val="en-US" w:eastAsia="zh-CN"/>
                    </w:rPr>
                  </w:pPr>
                </w:p>
              </w:tc>
              <w:tc>
                <w:tcPr>
                  <w:tcW w:w="1338" w:type="dxa"/>
                  <w:tcBorders>
                    <w:tl2br w:val="nil"/>
                    <w:tr2bl w:val="nil"/>
                  </w:tcBorders>
                  <w:shd w:val="clear" w:color="auto" w:fill="auto"/>
                  <w:vAlign w:val="center"/>
                </w:tcPr>
                <w:p w14:paraId="4938109E">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0.05</w:t>
                  </w:r>
                </w:p>
              </w:tc>
            </w:tr>
            <w:tr w14:paraId="0D44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4BFACE69">
                  <w:pPr>
                    <w:pStyle w:val="8"/>
                    <w:bidi w:val="0"/>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脱脂剂</w:t>
                  </w:r>
                </w:p>
              </w:tc>
              <w:tc>
                <w:tcPr>
                  <w:tcW w:w="884" w:type="pct"/>
                  <w:tcBorders>
                    <w:tl2br w:val="nil"/>
                    <w:tr2bl w:val="nil"/>
                  </w:tcBorders>
                  <w:vAlign w:val="center"/>
                </w:tcPr>
                <w:p w14:paraId="6DAFC17B">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4</w:t>
                  </w:r>
                </w:p>
              </w:tc>
              <w:tc>
                <w:tcPr>
                  <w:tcW w:w="785" w:type="pct"/>
                  <w:tcBorders>
                    <w:tl2br w:val="nil"/>
                    <w:tr2bl w:val="nil"/>
                  </w:tcBorders>
                  <w:vAlign w:val="center"/>
                </w:tcPr>
                <w:p w14:paraId="09257568">
                  <w:pPr>
                    <w:jc w:val="center"/>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50</w:t>
                  </w:r>
                </w:p>
              </w:tc>
              <w:tc>
                <w:tcPr>
                  <w:tcW w:w="1559" w:type="pct"/>
                  <w:vMerge w:val="continue"/>
                  <w:tcBorders>
                    <w:tl2br w:val="nil"/>
                    <w:tr2bl w:val="nil"/>
                  </w:tcBorders>
                  <w:vAlign w:val="center"/>
                </w:tcPr>
                <w:p w14:paraId="444BCB6E">
                  <w:pPr>
                    <w:jc w:val="center"/>
                    <w:rPr>
                      <w:rFonts w:hint="default" w:ascii="Times New Roman" w:hAnsi="Times New Roman" w:eastAsia="宋体" w:cs="Times New Roman"/>
                      <w:bCs/>
                      <w:color w:val="auto"/>
                      <w:highlight w:val="none"/>
                    </w:rPr>
                  </w:pPr>
                </w:p>
              </w:tc>
              <w:tc>
                <w:tcPr>
                  <w:tcW w:w="1338" w:type="dxa"/>
                  <w:tcBorders>
                    <w:tl2br w:val="nil"/>
                    <w:tr2bl w:val="nil"/>
                  </w:tcBorders>
                  <w:shd w:val="clear" w:color="auto" w:fill="auto"/>
                  <w:vAlign w:val="center"/>
                </w:tcPr>
                <w:p w14:paraId="0EA0ED9B">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0.08</w:t>
                  </w:r>
                </w:p>
              </w:tc>
            </w:tr>
            <w:tr w14:paraId="7816C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65C58A27">
                  <w:pPr>
                    <w:pStyle w:val="8"/>
                    <w:bidi w:val="0"/>
                    <w:ind w:left="0" w:leftChars="0"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硅烷处理剂</w:t>
                  </w:r>
                </w:p>
              </w:tc>
              <w:tc>
                <w:tcPr>
                  <w:tcW w:w="884" w:type="pct"/>
                  <w:tcBorders>
                    <w:tl2br w:val="nil"/>
                    <w:tr2bl w:val="nil"/>
                  </w:tcBorders>
                  <w:vAlign w:val="center"/>
                </w:tcPr>
                <w:p w14:paraId="3BFAA09A">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1</w:t>
                  </w:r>
                </w:p>
              </w:tc>
              <w:tc>
                <w:tcPr>
                  <w:tcW w:w="785" w:type="pct"/>
                  <w:tcBorders>
                    <w:tl2br w:val="nil"/>
                    <w:tr2bl w:val="nil"/>
                  </w:tcBorders>
                  <w:vAlign w:val="center"/>
                </w:tcPr>
                <w:p w14:paraId="58A3F7C5">
                  <w:pPr>
                    <w:jc w:val="center"/>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50</w:t>
                  </w:r>
                </w:p>
              </w:tc>
              <w:tc>
                <w:tcPr>
                  <w:tcW w:w="1559" w:type="pct"/>
                  <w:vMerge w:val="continue"/>
                  <w:tcBorders>
                    <w:tl2br w:val="nil"/>
                    <w:tr2bl w:val="nil"/>
                  </w:tcBorders>
                  <w:vAlign w:val="center"/>
                </w:tcPr>
                <w:p w14:paraId="77BE4074">
                  <w:pPr>
                    <w:jc w:val="center"/>
                    <w:rPr>
                      <w:rFonts w:hint="default" w:ascii="Times New Roman" w:hAnsi="Times New Roman" w:eastAsia="宋体" w:cs="Times New Roman"/>
                      <w:bCs/>
                      <w:color w:val="auto"/>
                      <w:highlight w:val="none"/>
                    </w:rPr>
                  </w:pPr>
                </w:p>
              </w:tc>
              <w:tc>
                <w:tcPr>
                  <w:tcW w:w="1338" w:type="dxa"/>
                  <w:tcBorders>
                    <w:tl2br w:val="nil"/>
                    <w:tr2bl w:val="nil"/>
                  </w:tcBorders>
                  <w:shd w:val="clear" w:color="auto" w:fill="auto"/>
                  <w:vAlign w:val="center"/>
                </w:tcPr>
                <w:p w14:paraId="0EDB9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0.02</w:t>
                  </w:r>
                </w:p>
              </w:tc>
            </w:tr>
            <w:tr w14:paraId="7FEFF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445FFAD1">
                  <w:pPr>
                    <w:pStyle w:val="8"/>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天然气</w:t>
                  </w:r>
                </w:p>
              </w:tc>
              <w:tc>
                <w:tcPr>
                  <w:tcW w:w="884" w:type="pct"/>
                  <w:tcBorders>
                    <w:tl2br w:val="nil"/>
                    <w:tr2bl w:val="nil"/>
                  </w:tcBorders>
                  <w:vAlign w:val="center"/>
                </w:tcPr>
                <w:p w14:paraId="4F4A7240">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0.2</w:t>
                  </w:r>
                </w:p>
              </w:tc>
              <w:tc>
                <w:tcPr>
                  <w:tcW w:w="785" w:type="pct"/>
                  <w:tcBorders>
                    <w:tl2br w:val="nil"/>
                    <w:tr2bl w:val="nil"/>
                  </w:tcBorders>
                  <w:vAlign w:val="center"/>
                </w:tcPr>
                <w:p w14:paraId="49EA9805">
                  <w:pPr>
                    <w:jc w:val="center"/>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10</w:t>
                  </w:r>
                </w:p>
              </w:tc>
              <w:tc>
                <w:tcPr>
                  <w:tcW w:w="1559" w:type="pct"/>
                  <w:vMerge w:val="continue"/>
                  <w:tcBorders>
                    <w:tl2br w:val="nil"/>
                    <w:tr2bl w:val="nil"/>
                  </w:tcBorders>
                  <w:vAlign w:val="center"/>
                </w:tcPr>
                <w:p w14:paraId="5760F57E">
                  <w:pPr>
                    <w:jc w:val="center"/>
                    <w:rPr>
                      <w:rFonts w:hint="default" w:ascii="Times New Roman" w:hAnsi="Times New Roman" w:eastAsia="宋体" w:cs="Times New Roman"/>
                      <w:bCs/>
                      <w:color w:val="auto"/>
                      <w:highlight w:val="none"/>
                    </w:rPr>
                  </w:pPr>
                </w:p>
              </w:tc>
              <w:tc>
                <w:tcPr>
                  <w:tcW w:w="1338" w:type="dxa"/>
                  <w:tcBorders>
                    <w:tl2br w:val="nil"/>
                    <w:tr2bl w:val="nil"/>
                  </w:tcBorders>
                  <w:shd w:val="clear" w:color="auto" w:fill="auto"/>
                  <w:vAlign w:val="center"/>
                </w:tcPr>
                <w:p w14:paraId="612EAA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0.02</w:t>
                  </w:r>
                </w:p>
              </w:tc>
            </w:tr>
            <w:tr w14:paraId="54A8F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4599C9D3">
                  <w:pPr>
                    <w:pStyle w:val="8"/>
                    <w:bidi w:val="0"/>
                    <w:ind w:left="0" w:lef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机油</w:t>
                  </w:r>
                </w:p>
              </w:tc>
              <w:tc>
                <w:tcPr>
                  <w:tcW w:w="884" w:type="pct"/>
                  <w:tcBorders>
                    <w:tl2br w:val="nil"/>
                    <w:tr2bl w:val="nil"/>
                  </w:tcBorders>
                  <w:vAlign w:val="center"/>
                </w:tcPr>
                <w:p w14:paraId="5A51B0CB">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0.2</w:t>
                  </w:r>
                </w:p>
              </w:tc>
              <w:tc>
                <w:tcPr>
                  <w:tcW w:w="785" w:type="pct"/>
                  <w:tcBorders>
                    <w:tl2br w:val="nil"/>
                    <w:tr2bl w:val="nil"/>
                  </w:tcBorders>
                  <w:vAlign w:val="center"/>
                </w:tcPr>
                <w:p w14:paraId="6C7787CA">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2500</w:t>
                  </w:r>
                </w:p>
              </w:tc>
              <w:tc>
                <w:tcPr>
                  <w:tcW w:w="1559" w:type="pct"/>
                  <w:vMerge w:val="continue"/>
                  <w:tcBorders>
                    <w:tl2br w:val="nil"/>
                    <w:tr2bl w:val="nil"/>
                  </w:tcBorders>
                  <w:vAlign w:val="center"/>
                </w:tcPr>
                <w:p w14:paraId="095C8845">
                  <w:pPr>
                    <w:jc w:val="center"/>
                    <w:rPr>
                      <w:rFonts w:hint="default" w:ascii="Times New Roman" w:hAnsi="Times New Roman" w:eastAsia="宋体" w:cs="Times New Roman"/>
                      <w:bCs/>
                      <w:color w:val="auto"/>
                      <w:highlight w:val="none"/>
                      <w:lang w:val="en-US" w:eastAsia="zh-CN"/>
                    </w:rPr>
                  </w:pPr>
                </w:p>
              </w:tc>
              <w:tc>
                <w:tcPr>
                  <w:tcW w:w="1338" w:type="dxa"/>
                  <w:tcBorders>
                    <w:tl2br w:val="nil"/>
                    <w:tr2bl w:val="nil"/>
                  </w:tcBorders>
                  <w:shd w:val="clear" w:color="auto" w:fill="auto"/>
                  <w:vAlign w:val="center"/>
                </w:tcPr>
                <w:p w14:paraId="3224D3A9">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0.00008</w:t>
                  </w:r>
                </w:p>
              </w:tc>
            </w:tr>
            <w:tr w14:paraId="5DBC5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45FC5A7C">
                  <w:pPr>
                    <w:pStyle w:val="8"/>
                    <w:bidi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884" w:type="pct"/>
                  <w:tcBorders>
                    <w:tl2br w:val="nil"/>
                    <w:tr2bl w:val="nil"/>
                  </w:tcBorders>
                  <w:vAlign w:val="center"/>
                </w:tcPr>
                <w:p w14:paraId="290A95DB">
                  <w:pPr>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4</w:t>
                  </w:r>
                </w:p>
              </w:tc>
              <w:tc>
                <w:tcPr>
                  <w:tcW w:w="785" w:type="pct"/>
                  <w:tcBorders>
                    <w:tl2br w:val="nil"/>
                    <w:tr2bl w:val="nil"/>
                  </w:tcBorders>
                  <w:shd w:val="clear" w:color="auto" w:fill="auto"/>
                  <w:vAlign w:val="center"/>
                </w:tcPr>
                <w:p w14:paraId="5AAC1EAB">
                  <w:pPr>
                    <w:jc w:val="center"/>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50</w:t>
                  </w:r>
                </w:p>
              </w:tc>
              <w:tc>
                <w:tcPr>
                  <w:tcW w:w="1559" w:type="pct"/>
                  <w:vMerge w:val="continue"/>
                  <w:tcBorders>
                    <w:tl2br w:val="nil"/>
                    <w:tr2bl w:val="nil"/>
                  </w:tcBorders>
                  <w:shd w:val="clear" w:color="auto" w:fill="auto"/>
                  <w:vAlign w:val="center"/>
                </w:tcPr>
                <w:p w14:paraId="130DFDFF">
                  <w:pPr>
                    <w:jc w:val="center"/>
                    <w:rPr>
                      <w:rFonts w:hint="default" w:ascii="Times New Roman" w:hAnsi="Times New Roman" w:eastAsia="宋体" w:cs="Times New Roman"/>
                      <w:bCs/>
                      <w:color w:val="auto"/>
                      <w:kern w:val="2"/>
                      <w:sz w:val="21"/>
                      <w:szCs w:val="22"/>
                      <w:highlight w:val="none"/>
                      <w:lang w:val="en-US" w:eastAsia="zh-CN" w:bidi="ar-SA"/>
                    </w:rPr>
                  </w:pPr>
                </w:p>
              </w:tc>
              <w:tc>
                <w:tcPr>
                  <w:tcW w:w="1338" w:type="dxa"/>
                  <w:tcBorders>
                    <w:tl2br w:val="nil"/>
                    <w:tr2bl w:val="nil"/>
                  </w:tcBorders>
                  <w:shd w:val="clear" w:color="auto" w:fill="auto"/>
                  <w:vAlign w:val="center"/>
                </w:tcPr>
                <w:p w14:paraId="38F10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w:t>
                  </w:r>
                  <w:r>
                    <w:rPr>
                      <w:rFonts w:hint="eastAsia" w:ascii="Times New Roman" w:hAnsi="Times New Roman" w:eastAsia="宋体" w:cs="Times New Roman"/>
                      <w:i w:val="0"/>
                      <w:iCs w:val="0"/>
                      <w:color w:val="auto"/>
                      <w:kern w:val="0"/>
                      <w:sz w:val="22"/>
                      <w:szCs w:val="22"/>
                      <w:highlight w:val="none"/>
                      <w:u w:val="none"/>
                      <w:lang w:val="en-US" w:eastAsia="zh-CN" w:bidi="ar"/>
                    </w:rPr>
                    <w:t>08</w:t>
                  </w:r>
                </w:p>
              </w:tc>
            </w:tr>
            <w:tr w14:paraId="12BF1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8" w:type="pct"/>
                  <w:gridSpan w:val="4"/>
                  <w:tcBorders>
                    <w:tl2br w:val="nil"/>
                    <w:tr2bl w:val="nil"/>
                  </w:tcBorders>
                  <w:vAlign w:val="center"/>
                </w:tcPr>
                <w:p w14:paraId="2D337781">
                  <w:pPr>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合计</w:t>
                  </w:r>
                </w:p>
              </w:tc>
              <w:tc>
                <w:tcPr>
                  <w:tcW w:w="1338" w:type="dxa"/>
                  <w:tcBorders>
                    <w:tl2br w:val="nil"/>
                    <w:tr2bl w:val="nil"/>
                  </w:tcBorders>
                  <w:shd w:val="clear" w:color="auto" w:fill="auto"/>
                  <w:vAlign w:val="center"/>
                </w:tcPr>
                <w:p w14:paraId="7D09250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0.</w:t>
                  </w:r>
                  <w:r>
                    <w:rPr>
                      <w:rFonts w:hint="eastAsia" w:ascii="Times New Roman" w:hAnsi="Times New Roman" w:eastAsia="宋体" w:cs="Times New Roman"/>
                      <w:i w:val="0"/>
                      <w:iCs w:val="0"/>
                      <w:color w:val="auto"/>
                      <w:kern w:val="0"/>
                      <w:sz w:val="22"/>
                      <w:szCs w:val="22"/>
                      <w:highlight w:val="none"/>
                      <w:u w:val="none"/>
                      <w:lang w:val="en-US" w:eastAsia="zh-CN" w:bidi="ar"/>
                    </w:rPr>
                    <w:t>25</w:t>
                  </w:r>
                  <w:r>
                    <w:rPr>
                      <w:rFonts w:hint="default" w:ascii="Times New Roman" w:hAnsi="Times New Roman" w:eastAsia="宋体" w:cs="Times New Roman"/>
                      <w:i w:val="0"/>
                      <w:iCs w:val="0"/>
                      <w:color w:val="auto"/>
                      <w:kern w:val="0"/>
                      <w:sz w:val="22"/>
                      <w:szCs w:val="22"/>
                      <w:highlight w:val="none"/>
                      <w:u w:val="none"/>
                      <w:lang w:val="en-US" w:eastAsia="zh-CN" w:bidi="ar"/>
                    </w:rPr>
                    <w:t>208</w:t>
                  </w:r>
                </w:p>
              </w:tc>
            </w:tr>
          </w:tbl>
          <w:p w14:paraId="7F52683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由上表可知，本项目Q=</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25208</w:t>
            </w:r>
            <w:r>
              <w:rPr>
                <w:rFonts w:hint="default" w:ascii="Times New Roman" w:hAnsi="Times New Roman" w:eastAsia="宋体" w:cs="Times New Roman"/>
                <w:color w:val="auto"/>
                <w:sz w:val="24"/>
                <w:highlight w:val="none"/>
              </w:rPr>
              <w:t>＜1，故不设置风险专项。</w:t>
            </w:r>
          </w:p>
          <w:p w14:paraId="21DBA038">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3、风险源分布情况分析</w:t>
            </w:r>
          </w:p>
          <w:p w14:paraId="68FEC90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本项目风险源识别结果见下表。</w:t>
            </w:r>
          </w:p>
          <w:p w14:paraId="0ABB7201">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-31</w:t>
            </w:r>
            <w:r>
              <w:rPr>
                <w:rFonts w:hint="default" w:ascii="Times New Roman" w:hAnsi="Times New Roman" w:eastAsia="宋体" w:cs="Times New Roman"/>
                <w:b/>
                <w:color w:val="auto"/>
                <w:sz w:val="24"/>
                <w:highlight w:val="none"/>
              </w:rPr>
              <w:t xml:space="preserve">  环境风险源识别结果及影响途径汇总表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9"/>
              <w:gridCol w:w="1134"/>
              <w:gridCol w:w="1559"/>
              <w:gridCol w:w="1848"/>
              <w:gridCol w:w="1574"/>
              <w:gridCol w:w="1574"/>
            </w:tblGrid>
            <w:tr w14:paraId="2604BA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94" w:type="pct"/>
                  <w:vAlign w:val="center"/>
                </w:tcPr>
                <w:p w14:paraId="1E2C508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679" w:type="pct"/>
                  <w:vAlign w:val="center"/>
                </w:tcPr>
                <w:p w14:paraId="6B96E43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位置</w:t>
                  </w:r>
                </w:p>
              </w:tc>
              <w:tc>
                <w:tcPr>
                  <w:tcW w:w="933" w:type="pct"/>
                  <w:vAlign w:val="center"/>
                </w:tcPr>
                <w:p w14:paraId="6C9B2A77">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风险源</w:t>
                  </w:r>
                </w:p>
              </w:tc>
              <w:tc>
                <w:tcPr>
                  <w:tcW w:w="1106" w:type="pct"/>
                  <w:vAlign w:val="center"/>
                </w:tcPr>
                <w:p w14:paraId="04915BF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主要危险物质</w:t>
                  </w:r>
                </w:p>
              </w:tc>
              <w:tc>
                <w:tcPr>
                  <w:tcW w:w="942" w:type="pct"/>
                  <w:vAlign w:val="center"/>
                </w:tcPr>
                <w:p w14:paraId="369D5292">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环境风险类型</w:t>
                  </w:r>
                </w:p>
              </w:tc>
              <w:tc>
                <w:tcPr>
                  <w:tcW w:w="942" w:type="pct"/>
                  <w:vAlign w:val="center"/>
                </w:tcPr>
                <w:p w14:paraId="3D593F3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环境影响途径</w:t>
                  </w:r>
                </w:p>
              </w:tc>
            </w:tr>
            <w:tr w14:paraId="564B4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94" w:type="pct"/>
                  <w:vAlign w:val="center"/>
                </w:tcPr>
                <w:p w14:paraId="311A702B">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679" w:type="pct"/>
                  <w:vAlign w:val="center"/>
                </w:tcPr>
                <w:p w14:paraId="458BE112">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生产车间</w:t>
                  </w:r>
                </w:p>
              </w:tc>
              <w:tc>
                <w:tcPr>
                  <w:tcW w:w="933" w:type="pct"/>
                  <w:vAlign w:val="center"/>
                </w:tcPr>
                <w:p w14:paraId="20FF2378">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原辅料仓库</w:t>
                  </w:r>
                </w:p>
              </w:tc>
              <w:tc>
                <w:tcPr>
                  <w:tcW w:w="1106" w:type="pct"/>
                  <w:vAlign w:val="center"/>
                </w:tcPr>
                <w:p w14:paraId="395B1068">
                  <w:pPr>
                    <w:jc w:val="center"/>
                    <w:rPr>
                      <w:rFonts w:hint="default" w:ascii="Times New Roman" w:hAnsi="Times New Roman" w:eastAsia="宋体" w:cs="Times New Roman"/>
                      <w:bCs/>
                      <w:color w:val="auto"/>
                      <w:szCs w:val="21"/>
                      <w:highlight w:val="none"/>
                      <w:lang w:val="en-US"/>
                    </w:rPr>
                  </w:pPr>
                  <w:r>
                    <w:rPr>
                      <w:rFonts w:hint="eastAsia" w:ascii="Times New Roman" w:hAnsi="Times New Roman" w:eastAsia="宋体" w:cs="Times New Roman"/>
                      <w:bCs/>
                      <w:color w:val="auto"/>
                      <w:szCs w:val="21"/>
                      <w:highlight w:val="none"/>
                      <w:lang w:val="en-US" w:eastAsia="zh-CN"/>
                    </w:rPr>
                    <w:t>水性胶、脱脂剂、硅烷处理剂、塑粉、天然气</w:t>
                  </w:r>
                </w:p>
              </w:tc>
              <w:tc>
                <w:tcPr>
                  <w:tcW w:w="942" w:type="pct"/>
                  <w:vAlign w:val="center"/>
                </w:tcPr>
                <w:p w14:paraId="68C62FB9">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泄漏、火灾、爆炸、中毒</w:t>
                  </w:r>
                </w:p>
              </w:tc>
              <w:tc>
                <w:tcPr>
                  <w:tcW w:w="942" w:type="pct"/>
                  <w:vAlign w:val="center"/>
                </w:tcPr>
                <w:p w14:paraId="00D6428F">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大气、地表水、地下水、土壤</w:t>
                  </w:r>
                </w:p>
              </w:tc>
            </w:tr>
            <w:tr w14:paraId="086B81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53EB5F65">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c>
                <w:tcPr>
                  <w:tcW w:w="679" w:type="pct"/>
                  <w:vAlign w:val="center"/>
                </w:tcPr>
                <w:p w14:paraId="5CE37C4F">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危废库</w:t>
                  </w:r>
                </w:p>
              </w:tc>
              <w:tc>
                <w:tcPr>
                  <w:tcW w:w="933" w:type="pct"/>
                  <w:vAlign w:val="center"/>
                </w:tcPr>
                <w:p w14:paraId="137E019C">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危险废物</w:t>
                  </w:r>
                </w:p>
              </w:tc>
              <w:tc>
                <w:tcPr>
                  <w:tcW w:w="1106" w:type="pct"/>
                  <w:vAlign w:val="center"/>
                </w:tcPr>
                <w:p w14:paraId="671FA0CC">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含胶废物、废包装物、含油废抹布手套、废活性炭、污泥、污水处理站浓水等</w:t>
                  </w:r>
                </w:p>
              </w:tc>
              <w:tc>
                <w:tcPr>
                  <w:tcW w:w="942" w:type="pct"/>
                  <w:vAlign w:val="center"/>
                </w:tcPr>
                <w:p w14:paraId="30B41BA3">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泄漏、火灾、爆炸</w:t>
                  </w:r>
                </w:p>
              </w:tc>
              <w:tc>
                <w:tcPr>
                  <w:tcW w:w="942" w:type="pct"/>
                  <w:vAlign w:val="center"/>
                </w:tcPr>
                <w:p w14:paraId="4369E4AD">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大气、地表水、地下水、土壤</w:t>
                  </w:r>
                </w:p>
              </w:tc>
            </w:tr>
          </w:tbl>
          <w:p w14:paraId="3425DE96">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4、风险事故影响途径分析</w:t>
            </w:r>
          </w:p>
          <w:p w14:paraId="61E356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①火灾</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爆炸</w:t>
            </w:r>
            <w:r>
              <w:rPr>
                <w:rFonts w:hint="default" w:ascii="Times New Roman" w:hAnsi="Times New Roman" w:eastAsia="宋体" w:cs="Times New Roman"/>
                <w:color w:val="auto"/>
                <w:kern w:val="0"/>
                <w:sz w:val="24"/>
                <w:szCs w:val="24"/>
                <w:highlight w:val="none"/>
              </w:rPr>
              <w:t>影响</w:t>
            </w:r>
          </w:p>
          <w:p w14:paraId="369CEA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本项目部分原辅材料是</w:t>
            </w:r>
            <w:r>
              <w:rPr>
                <w:rFonts w:hint="eastAsia" w:ascii="Times New Roman" w:hAnsi="Times New Roman" w:eastAsia="宋体" w:cs="Times New Roman"/>
                <w:color w:val="auto"/>
                <w:kern w:val="0"/>
                <w:sz w:val="24"/>
                <w:szCs w:val="24"/>
                <w:highlight w:val="none"/>
                <w:lang w:val="en-US" w:eastAsia="zh-CN"/>
              </w:rPr>
              <w:t>可燃</w:t>
            </w:r>
            <w:r>
              <w:rPr>
                <w:rFonts w:hint="default" w:ascii="Times New Roman" w:hAnsi="Times New Roman" w:eastAsia="宋体" w:cs="Times New Roman"/>
                <w:color w:val="auto"/>
                <w:kern w:val="0"/>
                <w:sz w:val="24"/>
                <w:szCs w:val="24"/>
                <w:highlight w:val="none"/>
                <w:lang w:val="en-US" w:eastAsia="zh-CN"/>
              </w:rPr>
              <w:t>物质。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ABE61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②</w:t>
            </w:r>
            <w:r>
              <w:rPr>
                <w:rFonts w:hint="eastAsia" w:ascii="Times New Roman" w:hAnsi="Times New Roman" w:eastAsia="宋体" w:cs="Times New Roman"/>
                <w:color w:val="auto"/>
                <w:kern w:val="0"/>
                <w:sz w:val="24"/>
                <w:szCs w:val="24"/>
                <w:highlight w:val="none"/>
                <w:lang w:val="en-US" w:eastAsia="zh-CN"/>
              </w:rPr>
              <w:t>粉尘爆炸影响</w:t>
            </w:r>
          </w:p>
          <w:p w14:paraId="53CA29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根据《国家安全监管总局办公厅关于印发&lt;工贸行业重点可燃性粉尘目录（2015版）&gt;和&lt;工贸行业可燃性粉尘作业场所工艺设施防爆技术指南(试行)&gt;的通知》(安监总厅管四(2015)84号)，本项目</w:t>
            </w:r>
            <w:r>
              <w:rPr>
                <w:rFonts w:hint="default" w:ascii="Times New Roman" w:hAnsi="Times New Roman" w:eastAsia="宋体" w:cs="Times New Roman"/>
                <w:color w:val="auto"/>
                <w:kern w:val="0"/>
                <w:sz w:val="24"/>
                <w:szCs w:val="24"/>
                <w:highlight w:val="none"/>
                <w:lang w:val="en-US" w:eastAsia="zh-CN"/>
              </w:rPr>
              <w:t>原辅材料</w:t>
            </w:r>
            <w:r>
              <w:rPr>
                <w:rFonts w:hint="eastAsia" w:ascii="Times New Roman" w:hAnsi="Times New Roman" w:eastAsia="宋体" w:cs="Times New Roman"/>
                <w:color w:val="auto"/>
                <w:kern w:val="0"/>
                <w:sz w:val="24"/>
                <w:szCs w:val="24"/>
                <w:highlight w:val="none"/>
                <w:lang w:val="en-US" w:eastAsia="zh-CN"/>
              </w:rPr>
              <w:t>中的塑粉属于可燃性粉尘。若长期未清理喷粉室周围的沉积粉尘，除尘系统故障或滤网堵塞，导致车间内悬浮粉尘浓度逐渐升高，一旦遇到点火源会引发爆炸，具有瞬间性、连锁性和高致死率的特点。</w:t>
            </w:r>
          </w:p>
          <w:p w14:paraId="045EA4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rPr>
              <w:t>③</w:t>
            </w:r>
            <w:r>
              <w:rPr>
                <w:rFonts w:hint="default" w:ascii="Times New Roman" w:hAnsi="Times New Roman" w:eastAsia="宋体" w:cs="Times New Roman"/>
                <w:color w:val="auto"/>
                <w:kern w:val="0"/>
                <w:sz w:val="24"/>
                <w:szCs w:val="24"/>
                <w:highlight w:val="none"/>
                <w:lang w:eastAsia="zh-CN"/>
              </w:rPr>
              <w:t>泄露影响</w:t>
            </w:r>
          </w:p>
          <w:p w14:paraId="66BA1D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本项目使用</w:t>
            </w:r>
            <w:r>
              <w:rPr>
                <w:rFonts w:hint="default" w:ascii="Times New Roman" w:hAnsi="Times New Roman" w:eastAsia="宋体" w:cs="Times New Roman"/>
                <w:color w:val="auto"/>
                <w:kern w:val="0"/>
                <w:sz w:val="24"/>
                <w:szCs w:val="24"/>
                <w:highlight w:val="none"/>
                <w:lang w:val="en-US" w:eastAsia="zh-CN"/>
              </w:rPr>
              <w:t>各类</w:t>
            </w:r>
            <w:r>
              <w:rPr>
                <w:rFonts w:hint="default" w:ascii="Times New Roman" w:hAnsi="Times New Roman" w:eastAsia="宋体" w:cs="Times New Roman"/>
                <w:color w:val="auto"/>
                <w:kern w:val="0"/>
                <w:sz w:val="24"/>
                <w:szCs w:val="24"/>
                <w:highlight w:val="none"/>
                <w:lang w:eastAsia="zh-CN"/>
              </w:rPr>
              <w:t>原料</w:t>
            </w:r>
            <w:r>
              <w:rPr>
                <w:rFonts w:hint="default" w:ascii="Times New Roman" w:hAnsi="Times New Roman" w:eastAsia="宋体" w:cs="Times New Roman"/>
                <w:color w:val="auto"/>
                <w:kern w:val="0"/>
                <w:sz w:val="24"/>
                <w:szCs w:val="24"/>
                <w:highlight w:val="none"/>
                <w:lang w:val="en-US" w:eastAsia="zh-CN"/>
              </w:rPr>
              <w:t>存放</w:t>
            </w:r>
            <w:r>
              <w:rPr>
                <w:rFonts w:hint="default" w:ascii="Times New Roman" w:hAnsi="Times New Roman" w:eastAsia="宋体" w:cs="Times New Roman"/>
                <w:color w:val="auto"/>
                <w:kern w:val="0"/>
                <w:sz w:val="24"/>
                <w:szCs w:val="24"/>
                <w:highlight w:val="none"/>
              </w:rPr>
              <w:t>于</w:t>
            </w:r>
            <w:r>
              <w:rPr>
                <w:rFonts w:hint="default" w:ascii="Times New Roman" w:hAnsi="Times New Roman" w:eastAsia="宋体" w:cs="Times New Roman"/>
                <w:color w:val="auto"/>
                <w:kern w:val="0"/>
                <w:sz w:val="24"/>
                <w:szCs w:val="24"/>
                <w:highlight w:val="none"/>
                <w:lang w:eastAsia="zh-CN"/>
              </w:rPr>
              <w:t>生产车间内的</w:t>
            </w:r>
            <w:r>
              <w:rPr>
                <w:rFonts w:hint="eastAsia" w:ascii="Times New Roman" w:hAnsi="Times New Roman" w:eastAsia="宋体" w:cs="Times New Roman"/>
                <w:color w:val="auto"/>
                <w:kern w:val="0"/>
                <w:sz w:val="24"/>
                <w:szCs w:val="24"/>
                <w:highlight w:val="none"/>
                <w:lang w:val="en-US" w:eastAsia="zh-CN"/>
              </w:rPr>
              <w:t>原辅料仓库</w:t>
            </w:r>
            <w:r>
              <w:rPr>
                <w:rFonts w:hint="default" w:ascii="Times New Roman" w:hAnsi="Times New Roman" w:eastAsia="宋体" w:cs="Times New Roman"/>
                <w:color w:val="auto"/>
                <w:kern w:val="0"/>
                <w:sz w:val="24"/>
                <w:szCs w:val="24"/>
                <w:highlight w:val="none"/>
                <w:lang w:eastAsia="zh-CN"/>
              </w:rPr>
              <w:t>，危废存放于危废仓库</w:t>
            </w:r>
            <w:r>
              <w:rPr>
                <w:rFonts w:hint="default" w:ascii="Times New Roman" w:hAnsi="Times New Roman" w:eastAsia="宋体" w:cs="Times New Roman"/>
                <w:color w:val="auto"/>
                <w:kern w:val="0"/>
                <w:sz w:val="24"/>
                <w:szCs w:val="24"/>
                <w:highlight w:val="none"/>
              </w:rPr>
              <w:t>，包装桶破损易导致各类液体原料或危废</w:t>
            </w:r>
            <w:r>
              <w:rPr>
                <w:rFonts w:hint="eastAsia" w:ascii="Times New Roman" w:hAnsi="Times New Roman" w:eastAsia="宋体" w:cs="Times New Roman"/>
                <w:color w:val="auto"/>
                <w:kern w:val="0"/>
                <w:sz w:val="24"/>
                <w:szCs w:val="24"/>
                <w:highlight w:val="none"/>
                <w:lang w:eastAsia="zh-CN"/>
              </w:rPr>
              <w:t>泄漏</w:t>
            </w:r>
            <w:r>
              <w:rPr>
                <w:rFonts w:hint="default" w:ascii="Times New Roman" w:hAnsi="Times New Roman" w:eastAsia="宋体" w:cs="Times New Roman"/>
                <w:color w:val="auto"/>
                <w:kern w:val="0"/>
                <w:sz w:val="24"/>
                <w:szCs w:val="24"/>
                <w:highlight w:val="none"/>
              </w:rPr>
              <w:t>，通过地表径流，影响地表水、地下水以及土壤影响环境</w:t>
            </w:r>
            <w:r>
              <w:rPr>
                <w:rFonts w:hint="default" w:ascii="Times New Roman" w:hAnsi="Times New Roman" w:eastAsia="宋体" w:cs="Times New Roman"/>
                <w:color w:val="auto"/>
                <w:kern w:val="0"/>
                <w:sz w:val="24"/>
                <w:szCs w:val="24"/>
                <w:highlight w:val="none"/>
                <w:lang w:eastAsia="zh-CN"/>
              </w:rPr>
              <w:t>。</w:t>
            </w:r>
          </w:p>
          <w:p w14:paraId="76162C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w:t>
            </w:r>
            <w:r>
              <w:rPr>
                <w:rFonts w:hint="default" w:ascii="Times New Roman" w:hAnsi="Times New Roman" w:eastAsia="宋体" w:cs="Times New Roman"/>
                <w:color w:val="auto"/>
                <w:kern w:val="0"/>
                <w:sz w:val="24"/>
                <w:szCs w:val="24"/>
                <w:highlight w:val="none"/>
                <w:lang w:val="en-US" w:eastAsia="zh-CN"/>
              </w:rPr>
              <w:t>火灾爆炸事故次生/伴生影响分析</w:t>
            </w:r>
          </w:p>
          <w:p w14:paraId="681370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发生火灾、爆炸也必须具备如下三个条件：一是爆炸性气体、液体蒸汽和空气混合后达到爆炸极限范围；二是场所内有足以激发混合物爆炸的能量；三是要有足够的助燃物。</w:t>
            </w:r>
          </w:p>
          <w:p w14:paraId="161A01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火灾爆炸事故发生有如下几种类型：</w:t>
            </w:r>
          </w:p>
          <w:p w14:paraId="212DB5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立即起火：如果泄漏点处存在引火源，易燃气体从容器中往外泄出时即被点燃，发生扩散燃烧，产生喷射性火焰或形成火球，它能迅速地危及泄漏现场，但很少会影响到厂区的外部。</w:t>
            </w:r>
          </w:p>
          <w:p w14:paraId="43653F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滞后起火：如果泄漏点处无引火源，易燃气体泄出后与空气混合形成可燃蒸气云团，并随风飘移，遇火源发生爆炸或爆轰，能引起较大范围的破坏。</w:t>
            </w:r>
          </w:p>
          <w:p w14:paraId="0AEA93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常温常压下液体泄漏后聚集在防护堤内或地势低洼处形成液池，液体由于池表面风的对流而缓慢蒸发，若遇引火源就会发生池火灾。</w:t>
            </w:r>
          </w:p>
          <w:p w14:paraId="1E99AF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本项目中有可能存在的点火源为：</w:t>
            </w:r>
          </w:p>
          <w:p w14:paraId="0753EF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明火：如违章使用的明火、吸烟、打火机火种等；</w:t>
            </w:r>
          </w:p>
          <w:p w14:paraId="725A62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3E0C54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c.静电火花；</w:t>
            </w:r>
          </w:p>
          <w:p w14:paraId="3793D9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d.车辆火花：由于机动车辆未安装防火罩产生的火花；</w:t>
            </w:r>
          </w:p>
          <w:p w14:paraId="6B9325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e.工具火花：工具为易产生火花型，由于敲击而产生的火花；</w:t>
            </w:r>
          </w:p>
          <w:p w14:paraId="170FD8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f.雷击；</w:t>
            </w:r>
          </w:p>
          <w:p w14:paraId="44CA53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g.外部散发进入的火种（如烟花爆竹、锅炉飞灰火星等）;</w:t>
            </w:r>
          </w:p>
          <w:p w14:paraId="600A53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26B210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本项目火灾事故主要为①电气设备操作不当引起的；②原辅料存储不当引起的</w:t>
            </w:r>
            <w:r>
              <w:rPr>
                <w:rFonts w:hint="eastAsia" w:ascii="Times New Roman" w:hAnsi="Times New Roman" w:eastAsia="宋体" w:cs="Times New Roman"/>
                <w:color w:val="auto"/>
                <w:kern w:val="0"/>
                <w:sz w:val="24"/>
                <w:szCs w:val="24"/>
                <w:highlight w:val="none"/>
                <w:lang w:val="en-US" w:eastAsia="zh-CN"/>
              </w:rPr>
              <w:t>；③可燃性粉尘在工艺、设备、管理等方面未做好防爆工作引起的</w:t>
            </w:r>
            <w:r>
              <w:rPr>
                <w:rFonts w:hint="default" w:ascii="Times New Roman" w:hAnsi="Times New Roman" w:eastAsia="宋体" w:cs="Times New Roman"/>
                <w:color w:val="auto"/>
                <w:kern w:val="0"/>
                <w:sz w:val="24"/>
                <w:szCs w:val="24"/>
                <w:highlight w:val="none"/>
                <w:lang w:val="en-US" w:eastAsia="zh-CN"/>
              </w:rPr>
              <w:t>。</w:t>
            </w:r>
          </w:p>
          <w:p w14:paraId="1B2413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本项目有潜在</w:t>
            </w:r>
            <w:r>
              <w:rPr>
                <w:rFonts w:hint="eastAsia" w:ascii="Times New Roman" w:hAnsi="Times New Roman" w:eastAsia="宋体" w:cs="Times New Roman"/>
                <w:color w:val="auto"/>
                <w:kern w:val="0"/>
                <w:sz w:val="24"/>
                <w:szCs w:val="24"/>
                <w:highlight w:val="none"/>
                <w:lang w:val="en-US" w:eastAsia="zh-CN"/>
              </w:rPr>
              <w:t>可燃</w:t>
            </w:r>
            <w:r>
              <w:rPr>
                <w:rFonts w:hint="default" w:ascii="Times New Roman" w:hAnsi="Times New Roman" w:eastAsia="宋体" w:cs="Times New Roman"/>
                <w:color w:val="auto"/>
                <w:kern w:val="0"/>
                <w:sz w:val="24"/>
                <w:szCs w:val="24"/>
                <w:highlight w:val="none"/>
                <w:lang w:val="en-US" w:eastAsia="zh-CN"/>
              </w:rPr>
              <w:t>物料（如</w:t>
            </w:r>
            <w:r>
              <w:rPr>
                <w:rFonts w:hint="eastAsia" w:ascii="Times New Roman" w:hAnsi="Times New Roman" w:eastAsia="宋体" w:cs="Times New Roman"/>
                <w:color w:val="auto"/>
                <w:kern w:val="0"/>
                <w:sz w:val="24"/>
                <w:szCs w:val="24"/>
                <w:highlight w:val="none"/>
                <w:lang w:val="en-US" w:eastAsia="zh-CN"/>
              </w:rPr>
              <w:t>水性胶、脱脂剂、硅烷处理剂</w:t>
            </w:r>
            <w:r>
              <w:rPr>
                <w:rFonts w:hint="default" w:ascii="Times New Roman" w:hAnsi="Times New Roman" w:eastAsia="宋体" w:cs="Times New Roman"/>
                <w:color w:val="auto"/>
                <w:kern w:val="0"/>
                <w:sz w:val="24"/>
                <w:szCs w:val="24"/>
                <w:highlight w:val="none"/>
                <w:lang w:val="en-US" w:eastAsia="zh-CN"/>
              </w:rPr>
              <w:t>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2122A2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生产车间或</w:t>
            </w:r>
            <w:r>
              <w:rPr>
                <w:rFonts w:hint="default" w:ascii="Times New Roman" w:hAnsi="Times New Roman" w:eastAsia="宋体" w:cs="Times New Roman"/>
                <w:color w:val="auto"/>
                <w:kern w:val="0"/>
                <w:sz w:val="24"/>
                <w:szCs w:val="24"/>
                <w:highlight w:val="none"/>
                <w:lang w:val="en-US" w:eastAsia="zh-CN"/>
              </w:rPr>
              <w:t>仓库</w:t>
            </w:r>
            <w:r>
              <w:rPr>
                <w:rFonts w:hint="default" w:ascii="Times New Roman" w:hAnsi="Times New Roman" w:eastAsia="宋体" w:cs="Times New Roman"/>
                <w:color w:val="auto"/>
                <w:kern w:val="0"/>
                <w:sz w:val="24"/>
                <w:szCs w:val="24"/>
                <w:highlight w:val="none"/>
                <w:lang w:eastAsia="zh-CN"/>
              </w:rPr>
              <w:t>中的易燃物料若发生火灾事故，燃烧烟气中的一氧化碳</w:t>
            </w:r>
            <w:r>
              <w:rPr>
                <w:rFonts w:hint="default" w:ascii="Times New Roman" w:hAnsi="Times New Roman" w:eastAsia="宋体" w:cs="Times New Roman"/>
                <w:color w:val="auto"/>
                <w:kern w:val="0"/>
                <w:sz w:val="24"/>
                <w:szCs w:val="24"/>
                <w:highlight w:val="none"/>
                <w:lang w:val="en-US" w:eastAsia="zh-CN"/>
              </w:rPr>
              <w:t>等次生污染物</w:t>
            </w:r>
            <w:r>
              <w:rPr>
                <w:rFonts w:hint="default" w:ascii="Times New Roman" w:hAnsi="Times New Roman" w:eastAsia="宋体" w:cs="Times New Roman"/>
                <w:color w:val="auto"/>
                <w:kern w:val="0"/>
                <w:sz w:val="24"/>
                <w:szCs w:val="24"/>
                <w:highlight w:val="none"/>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05D6F387">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bCs/>
                <w:color w:val="auto"/>
                <w:kern w:val="0"/>
                <w:sz w:val="24"/>
                <w:szCs w:val="24"/>
                <w:highlight w:val="none"/>
              </w:rPr>
              <w:t>环境风险防范措施及应急要求</w:t>
            </w:r>
          </w:p>
          <w:p w14:paraId="0728FA8B">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fldChar w:fldCharType="begin"/>
            </w:r>
            <w:r>
              <w:rPr>
                <w:rFonts w:hint="default" w:ascii="Times New Roman" w:hAnsi="Times New Roman" w:eastAsia="宋体" w:cs="Times New Roman"/>
                <w:b/>
                <w:bCs/>
                <w:color w:val="auto"/>
                <w:kern w:val="0"/>
                <w:sz w:val="24"/>
                <w:szCs w:val="24"/>
                <w:highlight w:val="none"/>
              </w:rPr>
              <w:instrText xml:space="preserve"> = 1 \* GB3 \* MERGEFORMAT </w:instrText>
            </w:r>
            <w:r>
              <w:rPr>
                <w:rFonts w:hint="default" w:ascii="Times New Roman" w:hAnsi="Times New Roman" w:eastAsia="宋体" w:cs="Times New Roman"/>
                <w:b/>
                <w:bCs/>
                <w:color w:val="auto"/>
                <w:kern w:val="0"/>
                <w:sz w:val="24"/>
                <w:szCs w:val="24"/>
                <w:highlight w:val="none"/>
              </w:rPr>
              <w:fldChar w:fldCharType="separate"/>
            </w:r>
            <w:r>
              <w:rPr>
                <w:rFonts w:hint="default" w:ascii="Times New Roman" w:hAnsi="Times New Roman" w:eastAsia="宋体" w:cs="Times New Roman"/>
                <w:b/>
                <w:bCs/>
                <w:color w:val="auto"/>
                <w:kern w:val="0"/>
                <w:sz w:val="24"/>
                <w:szCs w:val="24"/>
                <w:highlight w:val="none"/>
              </w:rPr>
              <w:t>①</w:t>
            </w:r>
            <w:r>
              <w:rPr>
                <w:rFonts w:hint="default" w:ascii="Times New Roman" w:hAnsi="Times New Roman" w:eastAsia="宋体" w:cs="Times New Roman"/>
                <w:b/>
                <w:bCs/>
                <w:color w:val="auto"/>
                <w:kern w:val="0"/>
                <w:sz w:val="24"/>
                <w:szCs w:val="24"/>
                <w:highlight w:val="none"/>
              </w:rPr>
              <w:fldChar w:fldCharType="end"/>
            </w:r>
            <w:r>
              <w:rPr>
                <w:rFonts w:hint="default" w:ascii="Times New Roman" w:hAnsi="Times New Roman" w:eastAsia="宋体" w:cs="Times New Roman"/>
                <w:b/>
                <w:bCs/>
                <w:color w:val="auto"/>
                <w:kern w:val="0"/>
                <w:sz w:val="24"/>
                <w:szCs w:val="24"/>
                <w:highlight w:val="none"/>
              </w:rPr>
              <w:t>环境风险防范措施</w:t>
            </w:r>
          </w:p>
          <w:p w14:paraId="1C9211CA">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1）泄漏事故风险防范措施</w:t>
            </w:r>
          </w:p>
          <w:p w14:paraId="3000914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sz w:val="24"/>
                <w:highlight w:val="none"/>
                <w:lang w:val="en-US" w:eastAsia="zh-CN"/>
              </w:rPr>
              <w:t>水性胶、脱脂剂、硅烷处理剂</w:t>
            </w:r>
            <w:r>
              <w:rPr>
                <w:rFonts w:hint="default" w:ascii="Times New Roman" w:hAnsi="Times New Roman" w:eastAsia="宋体" w:cs="Times New Roman"/>
                <w:color w:val="auto"/>
                <w:sz w:val="24"/>
                <w:highlight w:val="none"/>
                <w:lang w:val="en-US" w:eastAsia="zh-CN"/>
              </w:rPr>
              <w:t>等原料</w:t>
            </w:r>
            <w:r>
              <w:rPr>
                <w:rFonts w:hint="default" w:ascii="Times New Roman" w:hAnsi="Times New Roman" w:eastAsia="宋体" w:cs="Times New Roman"/>
                <w:color w:val="auto"/>
                <w:kern w:val="0"/>
                <w:sz w:val="24"/>
                <w:szCs w:val="24"/>
                <w:highlight w:val="none"/>
              </w:rPr>
              <w:t>暂存于车间</w:t>
            </w:r>
            <w:r>
              <w:rPr>
                <w:rFonts w:hint="eastAsia" w:ascii="Times New Roman" w:hAnsi="Times New Roman" w:eastAsia="宋体" w:cs="Times New Roman"/>
                <w:color w:val="auto"/>
                <w:kern w:val="0"/>
                <w:sz w:val="24"/>
                <w:szCs w:val="24"/>
                <w:highlight w:val="none"/>
                <w:lang w:val="en-US" w:eastAsia="zh-CN"/>
              </w:rPr>
              <w:t>原辅料仓库</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桶底部设有托盘，桶底部设有托盘，且仓库地面作防渗处理，同时加强车间巡检，关注各包装桶破损泄漏情况，及时更换破损包装桶，减少泄漏事故的发生。</w:t>
            </w:r>
          </w:p>
          <w:p w14:paraId="71D649FC">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2）火灾爆炸事故风险防范措施</w:t>
            </w:r>
          </w:p>
          <w:p w14:paraId="6AEDE08F">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highlight w:val="none"/>
                <w:lang w:val="en-US" w:eastAsia="zh-CN"/>
              </w:rPr>
              <w:t>天然气</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szCs w:val="24"/>
                <w:highlight w:val="none"/>
              </w:rPr>
              <w:t>具备</w:t>
            </w:r>
            <w:r>
              <w:rPr>
                <w:rFonts w:hint="eastAsia" w:ascii="Times New Roman" w:hAnsi="Times New Roman" w:eastAsia="宋体" w:cs="Times New Roman"/>
                <w:color w:val="auto"/>
                <w:sz w:val="24"/>
                <w:szCs w:val="24"/>
                <w:highlight w:val="none"/>
                <w:lang w:val="en-US" w:eastAsia="zh-CN"/>
              </w:rPr>
              <w:t>易燃</w:t>
            </w:r>
            <w:r>
              <w:rPr>
                <w:rFonts w:hint="default" w:ascii="Times New Roman" w:hAnsi="Times New Roman" w:eastAsia="宋体" w:cs="Times New Roman"/>
                <w:color w:val="auto"/>
                <w:sz w:val="24"/>
                <w:szCs w:val="24"/>
                <w:highlight w:val="none"/>
              </w:rPr>
              <w:t>性。因此建设单位应当做好防范措施。为减少事故的发生和影响建设单位应采取以下措施。</w:t>
            </w:r>
          </w:p>
          <w:p w14:paraId="6E3A4622">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建设单位需建立健全安全操作规程及值勤制度，设置通讯、报警装置，并确保其处于完好状态；厂区配置合格的消防器材，并确保其处于完好状态。</w:t>
            </w:r>
          </w:p>
          <w:p w14:paraId="4A5C87E0">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加强火源的管理，严禁烟火带入，对设备需进行维修焊接，应经安全部门确认、准许，并有记录。机动车在厂内行驶，须安装阻火器，必要设备安装防火、防爆装置。</w:t>
            </w:r>
          </w:p>
          <w:p w14:paraId="5A247223">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设备的安全管理：定期对设备进行安全检测，检测内容、时间、人员应有记录保存。安全检测应根据设备的安全性、危险性设定检测频次。</w:t>
            </w:r>
          </w:p>
          <w:p w14:paraId="4676EA3E">
            <w:pPr>
              <w:keepNext w:val="0"/>
              <w:keepLines w:val="0"/>
              <w:pageBreakBefore w:val="0"/>
              <w:widowControl/>
              <w:numPr>
                <w:ilvl w:val="0"/>
                <w:numId w:val="6"/>
              </w:numPr>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lang w:val="en-US" w:eastAsia="zh-CN"/>
              </w:rPr>
              <w:t>粉尘爆炸事故</w:t>
            </w:r>
            <w:r>
              <w:rPr>
                <w:rFonts w:hint="default" w:ascii="Times New Roman" w:hAnsi="Times New Roman" w:eastAsia="宋体" w:cs="Times New Roman"/>
                <w:b/>
                <w:bCs/>
                <w:color w:val="auto"/>
                <w:kern w:val="0"/>
                <w:sz w:val="24"/>
                <w:szCs w:val="24"/>
                <w:highlight w:val="none"/>
              </w:rPr>
              <w:t>事故风险防范措施</w:t>
            </w:r>
          </w:p>
          <w:p w14:paraId="229676C7">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本项目塑粉属于可燃性粉尘，根据《粉尘防爆安全规程》（GB 15577-2018），企业应辨识所存在的粉尘爆炸危险场所,确定可燃性粉尘爆炸危险性以及粉尘爆炸危险场所的数量、位置、危险区域等,分析存在的粉尘爆炸危险因素,评估粉尘爆炸风险,并制定能消除或有效控制粉尘爆炸风险的措施。</w:t>
            </w:r>
          </w:p>
          <w:p w14:paraId="6DFD02A4">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企业应建立粉尘防爆相关安全管理制度（包括除尘系统管理等）和岗位安全操作规程,安全操作规程应包含防范粉尘爆炸的安全作业和应急处置措施等内容。</w:t>
            </w:r>
          </w:p>
          <w:p w14:paraId="1C322BE2">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企业应根据本标准并结合自身工艺、设备、粉尘爆炸特性、爆炸防护措施及安全管理制度等制定粉尘防爆安全检查表,并定期开展粉尘防爆安全检查。企业应每季度至少检查一次,车间(或工段)应每月至少检查一次。</w:t>
            </w:r>
          </w:p>
          <w:p w14:paraId="7F102414">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企业应开展粉尘防爆安全教育及培训,普及粉尘防爆安全知识和有关法规、标准,使员工了解本企业粉尘爆炸危险场所的危险程度和防爆措施;企业主要负责人、安全管理人员和粉尘爆炸危险岗位的作业人员及设备设施检维修人员应进行专项粉尘防爆安全技术培训,并经考试合格,方准上岗。</w:t>
            </w:r>
          </w:p>
          <w:p w14:paraId="132F7C6D">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企业应编制粉尘爆炸事故应急预案,并定期开展应急演练。</w:t>
            </w:r>
          </w:p>
          <w:p w14:paraId="5C4D2595">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通风除尘、粉尘爆炸预防及控制等安全设备设施应确保持续有效,未经企业安全管理部门或安全负责人批准,不应更换或停止使用。</w:t>
            </w:r>
          </w:p>
          <w:p w14:paraId="390DCD10">
            <w:pPr>
              <w:keepNext w:val="0"/>
              <w:keepLines w:val="0"/>
              <w:pageBreakBefore w:val="0"/>
              <w:widowControl/>
              <w:numPr>
                <w:ilvl w:val="0"/>
                <w:numId w:val="0"/>
              </w:numPr>
              <w:kinsoku/>
              <w:wordWrap/>
              <w:overflowPunct/>
              <w:topLinePunct w:val="0"/>
              <w:bidi w:val="0"/>
              <w:adjustRightInd/>
              <w:snapToGrid/>
              <w:spacing w:line="360" w:lineRule="auto"/>
              <w:ind w:right="0" w:rightChars="0"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粉尘爆炸危险场所的出人口、生产区域及重点危险设备设施等部位,应设置显著的安全警示标识标志。</w:t>
            </w:r>
          </w:p>
          <w:p w14:paraId="00402550">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rPr>
              <w:t>危废仓库风险防范措施</w:t>
            </w:r>
          </w:p>
          <w:p w14:paraId="3156B76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color w:val="auto"/>
                <w:kern w:val="0"/>
                <w:sz w:val="24"/>
                <w:szCs w:val="24"/>
                <w:highlight w:val="none"/>
              </w:rPr>
              <w:t>危废暂存场地必须按《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2B73F9E6">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2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②</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t>环境风险应急措施</w:t>
            </w:r>
          </w:p>
          <w:p w14:paraId="68C79B31">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1）火灾和爆炸事故应急措施</w:t>
            </w:r>
          </w:p>
          <w:p w14:paraId="0CC91F42">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47426C0C">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火灾爆炸衍生的消防尾水：</w:t>
            </w:r>
          </w:p>
          <w:p w14:paraId="2AA08AB9">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参照《化工建设项目环境保护工程设计标准》（GB/T50483-2019）和《水体环境风险防控要点》（中国石化安环[2006]10号）中相关规定来确定企业所需</w:t>
            </w:r>
            <w:r>
              <w:rPr>
                <w:rFonts w:hint="eastAsia" w:ascii="Times New Roman" w:hAnsi="Times New Roman" w:eastAsia="宋体" w:cs="Times New Roman"/>
                <w:b w:val="0"/>
                <w:color w:val="auto"/>
                <w:kern w:val="0"/>
                <w:sz w:val="24"/>
                <w:szCs w:val="24"/>
                <w:highlight w:val="none"/>
                <w:lang w:val="en-US" w:eastAsia="zh-CN" w:bidi="ar-SA"/>
              </w:rPr>
              <w:t>事故应急池</w:t>
            </w:r>
            <w:r>
              <w:rPr>
                <w:rFonts w:hint="default" w:ascii="Times New Roman" w:hAnsi="Times New Roman" w:eastAsia="宋体" w:cs="Times New Roman"/>
                <w:b w:val="0"/>
                <w:color w:val="auto"/>
                <w:kern w:val="0"/>
                <w:sz w:val="24"/>
                <w:szCs w:val="24"/>
                <w:highlight w:val="none"/>
                <w:lang w:val="en-US" w:eastAsia="zh-CN" w:bidi="ar-SA"/>
              </w:rPr>
              <w:t>的容积。</w:t>
            </w:r>
          </w:p>
          <w:p w14:paraId="5DA5AE89">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事故储存设施总有效容积计算公式：</w:t>
            </w:r>
          </w:p>
          <w:p w14:paraId="23BA440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Va=(V1+V2-V3)max+V4+V5</w:t>
            </w:r>
          </w:p>
          <w:p w14:paraId="7BF3B55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[注：(V1+V2-V3)max是指对收集系统范围内不同罐组或装置分别计算V1+V2-V3，取其中最大值。]</w:t>
            </w:r>
          </w:p>
          <w:p w14:paraId="3BF92D4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Va：</w:t>
            </w:r>
            <w:r>
              <w:rPr>
                <w:rFonts w:hint="eastAsia" w:ascii="Times New Roman" w:hAnsi="Times New Roman" w:eastAsia="宋体" w:cs="Times New Roman"/>
                <w:b w:val="0"/>
                <w:color w:val="auto"/>
                <w:kern w:val="0"/>
                <w:sz w:val="24"/>
                <w:szCs w:val="24"/>
                <w:highlight w:val="none"/>
                <w:lang w:val="en-US" w:eastAsia="zh-CN" w:bidi="ar-SA"/>
              </w:rPr>
              <w:t>事故应急池</w:t>
            </w:r>
            <w:r>
              <w:rPr>
                <w:rFonts w:hint="default" w:ascii="Times New Roman" w:hAnsi="Times New Roman" w:eastAsia="宋体" w:cs="Times New Roman"/>
                <w:b w:val="0"/>
                <w:color w:val="auto"/>
                <w:kern w:val="0"/>
                <w:sz w:val="24"/>
                <w:szCs w:val="24"/>
                <w:highlight w:val="none"/>
                <w:lang w:val="en-US" w:eastAsia="zh-CN" w:bidi="ar-SA"/>
              </w:rPr>
              <w:t>容积，m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7E013DB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V1：事故一个罐或一个装置物料量，m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20BA9C91">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V2：事故状态下最大消防水量，m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351850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V3：事故时可以转输到其它储存或处理设施的物料量，m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535BAED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V4：发生事故时必须进入该收集系统的生产废水量，m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579C5135">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V5：发生事故时可能进入该收集系统的降雨量，m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44FB6C10">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V1：厂区设置</w:t>
            </w:r>
            <w:r>
              <w:rPr>
                <w:rFonts w:hint="eastAsia" w:ascii="Times New Roman" w:hAnsi="Times New Roman" w:eastAsia="宋体" w:cs="Times New Roman"/>
                <w:b w:val="0"/>
                <w:color w:val="auto"/>
                <w:kern w:val="0"/>
                <w:sz w:val="24"/>
                <w:szCs w:val="24"/>
                <w:highlight w:val="none"/>
                <w:lang w:val="en-US" w:eastAsia="zh-CN" w:bidi="ar-SA"/>
              </w:rPr>
              <w:t>前处理槽</w:t>
            </w:r>
            <w:r>
              <w:rPr>
                <w:rFonts w:hint="default" w:ascii="Times New Roman" w:hAnsi="Times New Roman" w:eastAsia="宋体" w:cs="Times New Roman"/>
                <w:b w:val="0"/>
                <w:color w:val="auto"/>
                <w:kern w:val="0"/>
                <w:sz w:val="24"/>
                <w:szCs w:val="24"/>
                <w:highlight w:val="none"/>
                <w:lang w:val="en-US" w:eastAsia="zh-CN" w:bidi="ar-SA"/>
              </w:rPr>
              <w:t>，V1取</w:t>
            </w:r>
            <w:r>
              <w:rPr>
                <w:rFonts w:hint="eastAsia" w:ascii="Times New Roman" w:hAnsi="Times New Roman" w:eastAsia="宋体" w:cs="Times New Roman"/>
                <w:b w:val="0"/>
                <w:color w:val="auto"/>
                <w:kern w:val="0"/>
                <w:sz w:val="24"/>
                <w:szCs w:val="24"/>
                <w:highlight w:val="none"/>
                <w:lang w:val="en-US" w:eastAsia="zh-CN" w:bidi="ar-SA"/>
              </w:rPr>
              <w:t>14.07</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5AD14229">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V2：根据《建筑设计防火规范》（GB50016-2014）（2018年修订）及《消防给水及消火栓系统技术规范》（GB50974-2014）第3.5.2条，室内消火栓用水量</w:t>
            </w:r>
            <w:r>
              <w:rPr>
                <w:rFonts w:hint="eastAsia" w:ascii="Times New Roman" w:hAnsi="Times New Roman" w:eastAsia="宋体" w:cs="Times New Roman"/>
                <w:b w:val="0"/>
                <w:color w:val="auto"/>
                <w:kern w:val="0"/>
                <w:sz w:val="24"/>
                <w:szCs w:val="24"/>
                <w:highlight w:val="none"/>
                <w:lang w:val="en-US" w:eastAsia="zh-CN" w:bidi="ar-SA"/>
              </w:rPr>
              <w:t>分别</w:t>
            </w:r>
            <w:r>
              <w:rPr>
                <w:rFonts w:hint="default" w:ascii="Times New Roman" w:hAnsi="Times New Roman" w:eastAsia="宋体" w:cs="Times New Roman"/>
                <w:b w:val="0"/>
                <w:color w:val="auto"/>
                <w:kern w:val="0"/>
                <w:sz w:val="24"/>
                <w:szCs w:val="24"/>
                <w:highlight w:val="none"/>
                <w:lang w:val="en-US" w:eastAsia="zh-CN" w:bidi="ar-SA"/>
              </w:rPr>
              <w:t>为1</w:t>
            </w:r>
            <w:r>
              <w:rPr>
                <w:rFonts w:hint="eastAsia" w:ascii="Times New Roman" w:hAnsi="Times New Roman" w:eastAsia="宋体" w:cs="Times New Roman"/>
                <w:b w:val="0"/>
                <w:color w:val="auto"/>
                <w:kern w:val="0"/>
                <w:sz w:val="24"/>
                <w:szCs w:val="24"/>
                <w:highlight w:val="none"/>
                <w:lang w:val="en-US" w:eastAsia="zh-CN" w:bidi="ar-SA"/>
              </w:rPr>
              <w:t>0</w:t>
            </w:r>
            <w:r>
              <w:rPr>
                <w:rFonts w:hint="default" w:ascii="Times New Roman" w:hAnsi="Times New Roman" w:eastAsia="宋体" w:cs="Times New Roman"/>
                <w:b w:val="0"/>
                <w:color w:val="auto"/>
                <w:kern w:val="0"/>
                <w:sz w:val="24"/>
                <w:szCs w:val="24"/>
                <w:highlight w:val="none"/>
                <w:lang w:val="en-US" w:eastAsia="zh-CN" w:bidi="ar-SA"/>
              </w:rPr>
              <w:t>L/s，根据《消防给水及消火栓系统技术规范》（GB50974-2014）的第3.6.2条，火灾延续时间以2h计，则消防水量为V2=0.01</w:t>
            </w:r>
            <w:r>
              <w:rPr>
                <w:rFonts w:hint="eastAsia" w:ascii="Times New Roman" w:hAnsi="Times New Roman" w:eastAsia="宋体" w:cs="Times New Roman"/>
                <w:b w:val="0"/>
                <w:color w:val="auto"/>
                <w:kern w:val="0"/>
                <w:sz w:val="24"/>
                <w:szCs w:val="24"/>
                <w:highlight w:val="none"/>
                <w:lang w:val="en-US" w:eastAsia="zh-CN" w:bidi="ar-SA"/>
              </w:rPr>
              <w:t>0</w:t>
            </w:r>
            <w:r>
              <w:rPr>
                <w:rFonts w:hint="default" w:ascii="Times New Roman" w:hAnsi="Times New Roman" w:eastAsia="宋体" w:cs="Times New Roman"/>
                <w:b w:val="0"/>
                <w:color w:val="auto"/>
                <w:kern w:val="0"/>
                <w:sz w:val="24"/>
                <w:szCs w:val="24"/>
                <w:highlight w:val="none"/>
                <w:lang w:val="en-US" w:eastAsia="zh-CN" w:bidi="ar-SA"/>
              </w:rPr>
              <w:t>×3600×2=</w:t>
            </w:r>
            <w:r>
              <w:rPr>
                <w:rFonts w:hint="eastAsia" w:ascii="Times New Roman" w:hAnsi="Times New Roman" w:eastAsia="宋体" w:cs="Times New Roman"/>
                <w:b w:val="0"/>
                <w:color w:val="auto"/>
                <w:kern w:val="0"/>
                <w:sz w:val="24"/>
                <w:szCs w:val="24"/>
                <w:highlight w:val="none"/>
                <w:lang w:val="en-US" w:eastAsia="zh-CN" w:bidi="ar-SA"/>
              </w:rPr>
              <w:t>72</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15EED9A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V3：公司所在</w:t>
            </w:r>
            <w:r>
              <w:rPr>
                <w:rFonts w:hint="eastAsia" w:ascii="Times New Roman" w:hAnsi="Times New Roman" w:eastAsia="宋体" w:cs="Times New Roman"/>
                <w:b w:val="0"/>
                <w:color w:val="auto"/>
                <w:kern w:val="0"/>
                <w:sz w:val="24"/>
                <w:szCs w:val="24"/>
                <w:highlight w:val="none"/>
                <w:lang w:val="en-US" w:eastAsia="zh-CN" w:bidi="ar-SA"/>
              </w:rPr>
              <w:t>厂区</w:t>
            </w:r>
            <w:r>
              <w:rPr>
                <w:rFonts w:hint="default" w:ascii="Times New Roman" w:hAnsi="Times New Roman" w:eastAsia="宋体" w:cs="Times New Roman"/>
                <w:b w:val="0"/>
                <w:color w:val="auto"/>
                <w:kern w:val="0"/>
                <w:sz w:val="24"/>
                <w:szCs w:val="24"/>
                <w:highlight w:val="none"/>
                <w:lang w:val="en-US" w:eastAsia="zh-CN" w:bidi="ar-SA"/>
              </w:rPr>
              <w:t>内雨水管网总长度约为</w:t>
            </w:r>
            <w:r>
              <w:rPr>
                <w:rFonts w:hint="eastAsia" w:ascii="Times New Roman" w:hAnsi="Times New Roman" w:eastAsia="宋体" w:cs="Times New Roman"/>
                <w:b w:val="0"/>
                <w:color w:val="auto"/>
                <w:kern w:val="0"/>
                <w:sz w:val="24"/>
                <w:szCs w:val="24"/>
                <w:highlight w:val="none"/>
                <w:lang w:val="en-US" w:eastAsia="zh-CN" w:bidi="ar-SA"/>
              </w:rPr>
              <w:t>800</w:t>
            </w:r>
            <w:r>
              <w:rPr>
                <w:rFonts w:hint="default" w:ascii="Times New Roman" w:hAnsi="Times New Roman" w:eastAsia="宋体" w:cs="Times New Roman"/>
                <w:b w:val="0"/>
                <w:color w:val="auto"/>
                <w:kern w:val="0"/>
                <w:sz w:val="24"/>
                <w:szCs w:val="24"/>
                <w:highlight w:val="none"/>
                <w:lang w:val="en-US" w:eastAsia="zh-CN" w:bidi="ar-SA"/>
              </w:rPr>
              <w:t>m，管内径为0.</w:t>
            </w:r>
            <w:r>
              <w:rPr>
                <w:rFonts w:hint="eastAsia" w:ascii="Times New Roman" w:hAnsi="Times New Roman" w:eastAsia="宋体" w:cs="Times New Roman"/>
                <w:b w:val="0"/>
                <w:color w:val="auto"/>
                <w:kern w:val="0"/>
                <w:sz w:val="24"/>
                <w:szCs w:val="24"/>
                <w:highlight w:val="none"/>
                <w:lang w:val="en-US" w:eastAsia="zh-CN" w:bidi="ar-SA"/>
              </w:rPr>
              <w:t>4</w:t>
            </w:r>
            <w:r>
              <w:rPr>
                <w:rFonts w:hint="default" w:ascii="Times New Roman" w:hAnsi="Times New Roman" w:eastAsia="宋体" w:cs="Times New Roman"/>
                <w:b w:val="0"/>
                <w:color w:val="auto"/>
                <w:kern w:val="0"/>
                <w:sz w:val="24"/>
                <w:szCs w:val="24"/>
                <w:highlight w:val="none"/>
                <w:lang w:val="en-US" w:eastAsia="zh-CN" w:bidi="ar-SA"/>
              </w:rPr>
              <w:t>m，则雨水管网总容积为</w:t>
            </w:r>
            <w:r>
              <w:rPr>
                <w:rFonts w:hint="eastAsia" w:ascii="Times New Roman" w:hAnsi="Times New Roman" w:eastAsia="宋体" w:cs="Times New Roman"/>
                <w:b w:val="0"/>
                <w:color w:val="auto"/>
                <w:kern w:val="0"/>
                <w:sz w:val="24"/>
                <w:szCs w:val="24"/>
                <w:highlight w:val="none"/>
                <w:lang w:val="en-US" w:eastAsia="zh-CN" w:bidi="ar-SA"/>
              </w:rPr>
              <w:t>94.2</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，事故时可容纳消防尾水量为</w:t>
            </w:r>
            <w:r>
              <w:rPr>
                <w:rFonts w:hint="eastAsia" w:ascii="Times New Roman" w:hAnsi="Times New Roman" w:eastAsia="宋体" w:cs="Times New Roman"/>
                <w:b w:val="0"/>
                <w:color w:val="auto"/>
                <w:kern w:val="0"/>
                <w:sz w:val="24"/>
                <w:szCs w:val="24"/>
                <w:highlight w:val="none"/>
                <w:lang w:val="en-US" w:eastAsia="zh-CN" w:bidi="ar-SA"/>
              </w:rPr>
              <w:t>75.36</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（以雨水管网总容积的80%计），则V3＝</w:t>
            </w:r>
            <w:r>
              <w:rPr>
                <w:rFonts w:hint="eastAsia" w:ascii="Times New Roman" w:hAnsi="Times New Roman" w:eastAsia="宋体" w:cs="Times New Roman"/>
                <w:b w:val="0"/>
                <w:color w:val="auto"/>
                <w:kern w:val="0"/>
                <w:sz w:val="24"/>
                <w:szCs w:val="24"/>
                <w:highlight w:val="none"/>
                <w:lang w:val="en-US" w:eastAsia="zh-CN" w:bidi="ar-SA"/>
              </w:rPr>
              <w:t>75.36</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1E4FAAD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V4：发生事故时必须进入收集系统的生产废水量取0m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4D068B9D">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V5：发生事故时可能进入该收集系统的降雨量，V5=10qF；</w:t>
            </w:r>
          </w:p>
          <w:p w14:paraId="22BD4CC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q：降雨强度，mm；按平均日降雨量；</w:t>
            </w:r>
          </w:p>
          <w:p w14:paraId="2729F55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q=qa/n</w:t>
            </w:r>
          </w:p>
          <w:p w14:paraId="69674E7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qa：年平均降雨量，取1106.7mm；</w:t>
            </w:r>
          </w:p>
          <w:p w14:paraId="794FD22D">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n：年平均降雨日数，取126天；</w:t>
            </w:r>
          </w:p>
          <w:p w14:paraId="10B7C150">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F：必须进入事故废水收集系统的雨水汇水面积ha，汇水面积取</w:t>
            </w:r>
            <w:r>
              <w:rPr>
                <w:rFonts w:hint="eastAsia" w:ascii="Times New Roman" w:hAnsi="Times New Roman" w:eastAsia="宋体" w:cs="Times New Roman"/>
                <w:b w:val="0"/>
                <w:color w:val="auto"/>
                <w:kern w:val="0"/>
                <w:sz w:val="24"/>
                <w:szCs w:val="24"/>
                <w:highlight w:val="none"/>
                <w:lang w:val="en-US" w:eastAsia="zh-CN" w:bidi="ar-SA"/>
              </w:rPr>
              <w:t>0.4</w:t>
            </w:r>
            <w:r>
              <w:rPr>
                <w:rFonts w:hint="default" w:ascii="Times New Roman" w:hAnsi="Times New Roman" w:eastAsia="宋体" w:cs="Times New Roman"/>
                <w:b w:val="0"/>
                <w:color w:val="auto"/>
                <w:kern w:val="0"/>
                <w:sz w:val="24"/>
                <w:szCs w:val="24"/>
                <w:highlight w:val="none"/>
                <w:lang w:val="en-US" w:eastAsia="zh-CN" w:bidi="ar-SA"/>
              </w:rPr>
              <w:t>ha；</w:t>
            </w:r>
          </w:p>
          <w:p w14:paraId="781495B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由此计算V5为</w:t>
            </w:r>
            <w:r>
              <w:rPr>
                <w:rFonts w:hint="eastAsia" w:ascii="Times New Roman" w:hAnsi="Times New Roman" w:eastAsia="宋体" w:cs="Times New Roman"/>
                <w:b w:val="0"/>
                <w:color w:val="auto"/>
                <w:kern w:val="0"/>
                <w:sz w:val="24"/>
                <w:szCs w:val="24"/>
                <w:highlight w:val="none"/>
                <w:lang w:val="en-US" w:eastAsia="zh-CN" w:bidi="ar-SA"/>
              </w:rPr>
              <w:t>35.13</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r>
              <w:rPr>
                <w:rFonts w:hint="default" w:ascii="Times New Roman" w:hAnsi="Times New Roman" w:eastAsia="宋体" w:cs="Times New Roman"/>
                <w:b w:val="0"/>
                <w:color w:val="auto"/>
                <w:kern w:val="0"/>
                <w:sz w:val="24"/>
                <w:szCs w:val="24"/>
                <w:highlight w:val="none"/>
                <w:lang w:val="en-US" w:eastAsia="zh-CN" w:bidi="ar-SA"/>
              </w:rPr>
              <w:t>。</w:t>
            </w:r>
          </w:p>
          <w:p w14:paraId="54F14249">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V总=V1+ V2-V3 + V4+ V5 =</w:t>
            </w:r>
            <w:r>
              <w:rPr>
                <w:rFonts w:hint="eastAsia" w:ascii="Times New Roman" w:hAnsi="Times New Roman" w:eastAsia="宋体" w:cs="Times New Roman"/>
                <w:b w:val="0"/>
                <w:color w:val="auto"/>
                <w:kern w:val="0"/>
                <w:sz w:val="24"/>
                <w:szCs w:val="24"/>
                <w:highlight w:val="none"/>
                <w:lang w:val="en-US" w:eastAsia="zh-CN" w:bidi="ar-SA"/>
              </w:rPr>
              <w:t>14.07</w:t>
            </w:r>
            <w:r>
              <w:rPr>
                <w:rFonts w:hint="default" w:ascii="Times New Roman" w:hAnsi="Times New Roman" w:eastAsia="宋体" w:cs="Times New Roman"/>
                <w:b w:val="0"/>
                <w:color w:val="auto"/>
                <w:kern w:val="0"/>
                <w:sz w:val="24"/>
                <w:szCs w:val="24"/>
                <w:highlight w:val="none"/>
                <w:lang w:val="en-US" w:eastAsia="zh-CN" w:bidi="ar-SA"/>
              </w:rPr>
              <w:t>+</w:t>
            </w:r>
            <w:r>
              <w:rPr>
                <w:rFonts w:hint="eastAsia" w:ascii="Times New Roman" w:hAnsi="Times New Roman" w:eastAsia="宋体" w:cs="Times New Roman"/>
                <w:b w:val="0"/>
                <w:color w:val="auto"/>
                <w:kern w:val="0"/>
                <w:sz w:val="24"/>
                <w:szCs w:val="24"/>
                <w:highlight w:val="none"/>
                <w:lang w:val="en-US" w:eastAsia="zh-CN" w:bidi="ar-SA"/>
              </w:rPr>
              <w:t>72</w:t>
            </w:r>
            <w:r>
              <w:rPr>
                <w:rFonts w:hint="default" w:ascii="Times New Roman" w:hAnsi="Times New Roman" w:eastAsia="宋体" w:cs="Times New Roman"/>
                <w:b w:val="0"/>
                <w:color w:val="auto"/>
                <w:kern w:val="0"/>
                <w:sz w:val="24"/>
                <w:szCs w:val="24"/>
                <w:highlight w:val="none"/>
                <w:lang w:val="en-US" w:eastAsia="zh-CN" w:bidi="ar-SA"/>
              </w:rPr>
              <w:t>-</w:t>
            </w:r>
            <w:r>
              <w:rPr>
                <w:rFonts w:hint="eastAsia" w:ascii="Times New Roman" w:hAnsi="Times New Roman" w:eastAsia="宋体" w:cs="Times New Roman"/>
                <w:b w:val="0"/>
                <w:color w:val="auto"/>
                <w:kern w:val="0"/>
                <w:sz w:val="24"/>
                <w:szCs w:val="24"/>
                <w:highlight w:val="none"/>
                <w:lang w:val="en-US" w:eastAsia="zh-CN" w:bidi="ar-SA"/>
              </w:rPr>
              <w:t>75.36</w:t>
            </w:r>
            <w:r>
              <w:rPr>
                <w:rFonts w:hint="default" w:ascii="Times New Roman" w:hAnsi="Times New Roman" w:eastAsia="宋体" w:cs="Times New Roman"/>
                <w:b w:val="0"/>
                <w:color w:val="auto"/>
                <w:kern w:val="0"/>
                <w:sz w:val="24"/>
                <w:szCs w:val="24"/>
                <w:highlight w:val="none"/>
                <w:lang w:val="en-US" w:eastAsia="zh-CN" w:bidi="ar-SA"/>
              </w:rPr>
              <w:t>+0+</w:t>
            </w:r>
            <w:r>
              <w:rPr>
                <w:rFonts w:hint="eastAsia" w:ascii="Times New Roman" w:hAnsi="Times New Roman" w:eastAsia="宋体" w:cs="Times New Roman"/>
                <w:b w:val="0"/>
                <w:color w:val="auto"/>
                <w:kern w:val="0"/>
                <w:sz w:val="24"/>
                <w:szCs w:val="24"/>
                <w:highlight w:val="none"/>
                <w:lang w:val="en-US" w:eastAsia="zh-CN" w:bidi="ar-SA"/>
              </w:rPr>
              <w:t>35.13</w:t>
            </w:r>
            <w:r>
              <w:rPr>
                <w:rFonts w:hint="default" w:ascii="Times New Roman" w:hAnsi="Times New Roman" w:eastAsia="宋体" w:cs="Times New Roman"/>
                <w:b w:val="0"/>
                <w:color w:val="auto"/>
                <w:kern w:val="0"/>
                <w:sz w:val="24"/>
                <w:szCs w:val="24"/>
                <w:highlight w:val="none"/>
                <w:lang w:val="en-US" w:eastAsia="zh-CN" w:bidi="ar-SA"/>
              </w:rPr>
              <w:t>=</w:t>
            </w:r>
            <w:r>
              <w:rPr>
                <w:rFonts w:hint="eastAsia" w:ascii="Times New Roman" w:hAnsi="Times New Roman" w:eastAsia="宋体" w:cs="Times New Roman"/>
                <w:b w:val="0"/>
                <w:color w:val="auto"/>
                <w:kern w:val="0"/>
                <w:sz w:val="24"/>
                <w:szCs w:val="24"/>
                <w:highlight w:val="none"/>
                <w:lang w:val="en-US" w:eastAsia="zh-CN" w:bidi="ar-SA"/>
              </w:rPr>
              <w:t>45.84</w:t>
            </w:r>
            <w:r>
              <w:rPr>
                <w:rFonts w:hint="default" w:ascii="Times New Roman" w:hAnsi="Times New Roman" w:eastAsia="宋体" w:cs="Times New Roman"/>
                <w:b w:val="0"/>
                <w:color w:val="auto"/>
                <w:kern w:val="0"/>
                <w:sz w:val="24"/>
                <w:szCs w:val="24"/>
                <w:highlight w:val="none"/>
                <w:lang w:val="en-US" w:eastAsia="zh-CN" w:bidi="ar-SA"/>
              </w:rPr>
              <w:t>m</w:t>
            </w:r>
            <w:r>
              <w:rPr>
                <w:rFonts w:hint="default" w:ascii="Times New Roman" w:hAnsi="Times New Roman" w:eastAsia="宋体" w:cs="Times New Roman"/>
                <w:b w:val="0"/>
                <w:color w:val="auto"/>
                <w:kern w:val="0"/>
                <w:sz w:val="24"/>
                <w:szCs w:val="24"/>
                <w:highlight w:val="none"/>
                <w:vertAlign w:val="superscript"/>
                <w:lang w:val="en-US" w:eastAsia="zh-CN" w:bidi="ar-SA"/>
              </w:rPr>
              <w:t>3</w:t>
            </w:r>
          </w:p>
          <w:p w14:paraId="2C2CC209">
            <w:pPr>
              <w:pStyle w:val="68"/>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color w:val="auto"/>
                <w:kern w:val="0"/>
                <w:sz w:val="24"/>
                <w:szCs w:val="24"/>
                <w:highlight w:val="none"/>
              </w:rPr>
              <w:t>经计算，企业应急事故废水最大量为</w:t>
            </w:r>
            <w:r>
              <w:rPr>
                <w:rFonts w:hint="eastAsia" w:ascii="Times New Roman" w:hAnsi="Times New Roman" w:eastAsia="宋体" w:cs="Times New Roman"/>
                <w:b w:val="0"/>
                <w:color w:val="auto"/>
                <w:kern w:val="0"/>
                <w:sz w:val="24"/>
                <w:szCs w:val="24"/>
                <w:highlight w:val="none"/>
                <w:lang w:val="en-US" w:eastAsia="zh-CN" w:bidi="ar-SA"/>
              </w:rPr>
              <w:t>45.84</w:t>
            </w:r>
            <w:r>
              <w:rPr>
                <w:rFonts w:hint="default" w:ascii="Times New Roman" w:hAnsi="Times New Roman" w:eastAsia="宋体" w:cs="Times New Roman"/>
                <w:b w:val="0"/>
                <w:color w:val="auto"/>
                <w:kern w:val="0"/>
                <w:sz w:val="24"/>
                <w:szCs w:val="24"/>
                <w:highlight w:val="none"/>
              </w:rPr>
              <w:t>m</w:t>
            </w:r>
            <w:r>
              <w:rPr>
                <w:rFonts w:hint="default" w:ascii="Times New Roman" w:hAnsi="Times New Roman" w:eastAsia="宋体" w:cs="Times New Roman"/>
                <w:b w:val="0"/>
                <w:color w:val="auto"/>
                <w:kern w:val="0"/>
                <w:sz w:val="24"/>
                <w:szCs w:val="24"/>
                <w:highlight w:val="none"/>
                <w:vertAlign w:val="superscript"/>
              </w:rPr>
              <w:t>3</w:t>
            </w:r>
            <w:r>
              <w:rPr>
                <w:rFonts w:hint="default" w:ascii="Times New Roman" w:hAnsi="Times New Roman" w:eastAsia="宋体" w:cs="Times New Roman"/>
                <w:b w:val="0"/>
                <w:color w:val="auto"/>
                <w:kern w:val="0"/>
                <w:sz w:val="24"/>
                <w:szCs w:val="24"/>
                <w:highlight w:val="none"/>
              </w:rPr>
              <w:t>，企业</w:t>
            </w:r>
            <w:r>
              <w:rPr>
                <w:rFonts w:hint="eastAsia" w:ascii="Times New Roman" w:hAnsi="Times New Roman" w:eastAsia="宋体" w:cs="Times New Roman"/>
                <w:b w:val="0"/>
                <w:color w:val="auto"/>
                <w:kern w:val="0"/>
                <w:sz w:val="24"/>
                <w:szCs w:val="24"/>
                <w:highlight w:val="none"/>
                <w:lang w:val="en-US" w:eastAsia="zh-CN"/>
              </w:rPr>
              <w:t>依托</w:t>
            </w:r>
            <w:r>
              <w:rPr>
                <w:rFonts w:hint="eastAsia" w:ascii="Times New Roman" w:hAnsi="Times New Roman" w:eastAsia="宋体" w:cs="Times New Roman"/>
                <w:b w:val="0"/>
                <w:bCs/>
                <w:color w:val="auto"/>
                <w:sz w:val="24"/>
                <w:highlight w:val="none"/>
                <w:lang w:val="en-US" w:eastAsia="zh-CN"/>
              </w:rPr>
              <w:t>金坛控股中南高科创新园</w:t>
            </w:r>
            <w:r>
              <w:rPr>
                <w:rFonts w:hint="default" w:ascii="Times New Roman" w:hAnsi="Times New Roman" w:eastAsia="宋体" w:cs="Times New Roman"/>
                <w:b w:val="0"/>
                <w:color w:val="auto"/>
                <w:kern w:val="0"/>
                <w:sz w:val="24"/>
                <w:szCs w:val="24"/>
                <w:highlight w:val="none"/>
              </w:rPr>
              <w:t>设置</w:t>
            </w:r>
            <w:r>
              <w:rPr>
                <w:rFonts w:hint="eastAsia" w:ascii="Times New Roman" w:hAnsi="Times New Roman" w:eastAsia="宋体" w:cs="Times New Roman"/>
                <w:b w:val="0"/>
                <w:color w:val="auto"/>
                <w:kern w:val="0"/>
                <w:sz w:val="24"/>
                <w:szCs w:val="24"/>
                <w:highlight w:val="none"/>
                <w:lang w:val="en-US" w:eastAsia="zh-CN"/>
              </w:rPr>
              <w:t>7</w:t>
            </w:r>
            <w:r>
              <w:rPr>
                <w:rFonts w:hint="default" w:ascii="Times New Roman" w:hAnsi="Times New Roman" w:eastAsia="宋体" w:cs="Times New Roman"/>
                <w:b w:val="0"/>
                <w:color w:val="auto"/>
                <w:kern w:val="0"/>
                <w:sz w:val="24"/>
                <w:szCs w:val="24"/>
                <w:highlight w:val="none"/>
              </w:rPr>
              <w:t>0m</w:t>
            </w:r>
            <w:r>
              <w:rPr>
                <w:rFonts w:hint="default" w:ascii="Times New Roman" w:hAnsi="Times New Roman" w:eastAsia="宋体" w:cs="Times New Roman"/>
                <w:b w:val="0"/>
                <w:color w:val="auto"/>
                <w:kern w:val="0"/>
                <w:sz w:val="24"/>
                <w:szCs w:val="24"/>
                <w:highlight w:val="none"/>
                <w:vertAlign w:val="superscript"/>
              </w:rPr>
              <w:t>3</w:t>
            </w:r>
            <w:r>
              <w:rPr>
                <w:rFonts w:hint="default" w:ascii="Times New Roman" w:hAnsi="Times New Roman" w:eastAsia="宋体" w:cs="Times New Roman"/>
                <w:b w:val="0"/>
                <w:color w:val="auto"/>
                <w:kern w:val="0"/>
                <w:sz w:val="24"/>
                <w:szCs w:val="24"/>
                <w:highlight w:val="none"/>
              </w:rPr>
              <w:t>事故应急池</w:t>
            </w:r>
            <w:r>
              <w:rPr>
                <w:rFonts w:hint="eastAsia" w:ascii="Times New Roman" w:hAnsi="Times New Roman" w:eastAsia="宋体" w:cs="Times New Roman"/>
                <w:b w:val="0"/>
                <w:color w:val="auto"/>
                <w:kern w:val="0"/>
                <w:sz w:val="24"/>
                <w:szCs w:val="24"/>
                <w:highlight w:val="none"/>
                <w:lang w:eastAsia="zh-CN"/>
              </w:rPr>
              <w:t>（</w:t>
            </w:r>
            <w:r>
              <w:rPr>
                <w:rFonts w:hint="eastAsia" w:ascii="Times New Roman" w:hAnsi="Times New Roman" w:eastAsia="宋体" w:cs="Times New Roman"/>
                <w:b w:val="0"/>
                <w:color w:val="auto"/>
                <w:kern w:val="0"/>
                <w:sz w:val="24"/>
                <w:szCs w:val="24"/>
                <w:highlight w:val="none"/>
                <w:lang w:val="en-US" w:eastAsia="zh-CN"/>
              </w:rPr>
              <w:t>并设置截止阀），</w:t>
            </w:r>
            <w:r>
              <w:rPr>
                <w:rFonts w:hint="default" w:ascii="Times New Roman" w:hAnsi="Times New Roman" w:eastAsia="宋体" w:cs="Times New Roman"/>
                <w:b w:val="0"/>
                <w:color w:val="auto"/>
                <w:sz w:val="24"/>
                <w:szCs w:val="24"/>
                <w:highlight w:val="none"/>
                <w:lang w:val="en-US" w:eastAsia="zh-CN"/>
              </w:rPr>
              <w:t>用于事故状态下事故废水的收集，紧急情况下手动关闭雨水切换阀门，开启通往事故池阀门，将事故废水收集于事故池暂存</w:t>
            </w:r>
            <w:r>
              <w:rPr>
                <w:rFonts w:hint="default" w:ascii="Times New Roman" w:hAnsi="Times New Roman" w:eastAsia="宋体" w:cs="Times New Roman"/>
                <w:b w:val="0"/>
                <w:color w:val="auto"/>
                <w:sz w:val="24"/>
                <w:szCs w:val="24"/>
                <w:highlight w:val="none"/>
              </w:rPr>
              <w:t>。</w:t>
            </w:r>
            <w:r>
              <w:rPr>
                <w:rFonts w:hint="eastAsia" w:ascii="Times New Roman" w:hAnsi="Times New Roman" w:eastAsia="宋体" w:cs="Times New Roman"/>
                <w:b w:val="0"/>
                <w:color w:val="auto"/>
                <w:sz w:val="24"/>
                <w:szCs w:val="24"/>
                <w:highlight w:val="none"/>
                <w:lang w:val="en-US" w:eastAsia="zh-CN"/>
              </w:rPr>
              <w:t>经过调查核实，园区内存在多家企业，且均为低风险企业，同时发生事故的几率很低，所以企业依托园区事故应急池收集事故废水的措施具有可行性。</w:t>
            </w:r>
            <w:r>
              <w:rPr>
                <w:rFonts w:hint="default" w:ascii="Times New Roman" w:hAnsi="Times New Roman" w:eastAsia="宋体" w:cs="Times New Roman"/>
                <w:b w:val="0"/>
                <w:color w:val="auto"/>
                <w:kern w:val="0"/>
                <w:sz w:val="24"/>
                <w:szCs w:val="24"/>
                <w:highlight w:val="none"/>
              </w:rPr>
              <w:t>通过完善消防废水收集、处理、排放系统，保证生产车间、仓库以及危废仓库发生火灾事故时，消防废水等能迅速、安全地集中到事故应急池，然后针对水质实际情况进行必要的处理，避免对评价范围内的周围农田和河流造成影响。</w:t>
            </w:r>
          </w:p>
          <w:p w14:paraId="0604C9FA">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2）泄漏事故应急措施</w:t>
            </w:r>
          </w:p>
          <w:p w14:paraId="7BF649DE">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sz w:val="24"/>
                <w:highlight w:val="none"/>
                <w:lang w:val="en-US" w:eastAsia="zh-CN"/>
              </w:rPr>
              <w:t>水性胶、脱脂剂、硅烷处理剂、机油</w:t>
            </w:r>
            <w:r>
              <w:rPr>
                <w:rFonts w:hint="default" w:ascii="Times New Roman" w:hAnsi="Times New Roman" w:eastAsia="宋体" w:cs="Times New Roman"/>
                <w:color w:val="auto"/>
                <w:sz w:val="24"/>
                <w:highlight w:val="none"/>
                <w:lang w:val="en-US" w:eastAsia="zh-CN"/>
              </w:rPr>
              <w:t>等原料</w:t>
            </w:r>
            <w:r>
              <w:rPr>
                <w:rFonts w:hint="default" w:ascii="Times New Roman" w:hAnsi="Times New Roman" w:eastAsia="宋体" w:cs="Times New Roman"/>
                <w:color w:val="auto"/>
                <w:kern w:val="0"/>
                <w:sz w:val="24"/>
                <w:szCs w:val="24"/>
                <w:highlight w:val="none"/>
              </w:rPr>
              <w:t>暂存于车间原</w:t>
            </w:r>
            <w:r>
              <w:rPr>
                <w:rFonts w:hint="eastAsia" w:ascii="Times New Roman" w:hAnsi="Times New Roman" w:eastAsia="宋体" w:cs="Times New Roman"/>
                <w:color w:val="auto"/>
                <w:kern w:val="0"/>
                <w:sz w:val="24"/>
                <w:szCs w:val="24"/>
                <w:highlight w:val="none"/>
                <w:lang w:val="en-US" w:eastAsia="zh-CN"/>
              </w:rPr>
              <w:t>辅</w:t>
            </w:r>
            <w:r>
              <w:rPr>
                <w:rFonts w:hint="default" w:ascii="Times New Roman" w:hAnsi="Times New Roman" w:eastAsia="宋体" w:cs="Times New Roman"/>
                <w:color w:val="auto"/>
                <w:kern w:val="0"/>
                <w:sz w:val="24"/>
                <w:szCs w:val="24"/>
                <w:highlight w:val="none"/>
              </w:rPr>
              <w:t>料仓库</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均</w:t>
            </w:r>
            <w:r>
              <w:rPr>
                <w:rFonts w:hint="default" w:ascii="Times New Roman" w:hAnsi="Times New Roman" w:eastAsia="宋体" w:cs="Times New Roman"/>
                <w:color w:val="auto"/>
                <w:kern w:val="0"/>
                <w:sz w:val="24"/>
                <w:szCs w:val="24"/>
                <w:highlight w:val="none"/>
              </w:rPr>
              <w:t>采用桶装，桶底部设有托盘，且仓库地面作防渗处理，即便发生泄漏，也可全部收集于托盘中，不会扩散至厂区或厂外环境。</w:t>
            </w:r>
          </w:p>
          <w:p w14:paraId="2A7AF7F7">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3）废气处理装置事故应急措施</w:t>
            </w:r>
          </w:p>
          <w:p w14:paraId="6C96B8E7">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现场操作人员发现废气处理装置发生故障后，应立即停止生产，相关人员对废气处理装置进行故障排除，待故障解决、装置运行正常后再进行生产。</w:t>
            </w:r>
          </w:p>
          <w:p w14:paraId="7287B023">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③突发事故对策和应急预案</w:t>
            </w:r>
          </w:p>
          <w:p w14:paraId="59864D37">
            <w:pPr>
              <w:pStyle w:val="33"/>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79D06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32</w:t>
            </w:r>
            <w:r>
              <w:rPr>
                <w:rFonts w:hint="default" w:ascii="Times New Roman" w:hAnsi="Times New Roman" w:eastAsia="宋体" w:cs="Times New Roman"/>
                <w:b/>
                <w:color w:val="auto"/>
                <w:kern w:val="0"/>
                <w:sz w:val="24"/>
                <w:szCs w:val="24"/>
                <w:highlight w:val="none"/>
              </w:rPr>
              <w:t xml:space="preserve">   应急预案内容</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83"/>
              <w:gridCol w:w="2934"/>
              <w:gridCol w:w="4629"/>
            </w:tblGrid>
            <w:tr w14:paraId="7E6D30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EE534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57" w:type="pct"/>
                  <w:vAlign w:val="center"/>
                </w:tcPr>
                <w:p w14:paraId="2F42B1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2772" w:type="pct"/>
                  <w:vAlign w:val="center"/>
                </w:tcPr>
                <w:p w14:paraId="6F975C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内容及要求</w:t>
                  </w:r>
                </w:p>
              </w:tc>
            </w:tr>
            <w:tr w14:paraId="59CB36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C9726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757" w:type="pct"/>
                  <w:vAlign w:val="center"/>
                </w:tcPr>
                <w:p w14:paraId="4A7FE4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应急计划区</w:t>
                  </w:r>
                </w:p>
              </w:tc>
              <w:tc>
                <w:tcPr>
                  <w:tcW w:w="2772" w:type="pct"/>
                  <w:vAlign w:val="center"/>
                </w:tcPr>
                <w:p w14:paraId="2C656C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危险目标：危废仓库、环境保护目标等</w:t>
                  </w:r>
                </w:p>
              </w:tc>
            </w:tr>
            <w:tr w14:paraId="0392FE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6549D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757" w:type="pct"/>
                  <w:vAlign w:val="center"/>
                </w:tcPr>
                <w:p w14:paraId="32AF11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应急组织机构、人员</w:t>
                  </w:r>
                </w:p>
              </w:tc>
              <w:tc>
                <w:tcPr>
                  <w:tcW w:w="2772" w:type="pct"/>
                  <w:vAlign w:val="center"/>
                </w:tcPr>
                <w:p w14:paraId="7AA88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工厂、地区应急组织机构、人员</w:t>
                  </w:r>
                </w:p>
              </w:tc>
            </w:tr>
            <w:tr w14:paraId="1DF873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29AB84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757" w:type="pct"/>
                  <w:vAlign w:val="center"/>
                </w:tcPr>
                <w:p w14:paraId="649232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预案分级响应条件</w:t>
                  </w:r>
                </w:p>
              </w:tc>
              <w:tc>
                <w:tcPr>
                  <w:tcW w:w="2772" w:type="pct"/>
                  <w:vAlign w:val="center"/>
                </w:tcPr>
                <w:p w14:paraId="5D2243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规定预案的级别及分级响应程序</w:t>
                  </w:r>
                </w:p>
              </w:tc>
            </w:tr>
            <w:tr w14:paraId="11313E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2C3BA1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757" w:type="pct"/>
                  <w:vAlign w:val="center"/>
                </w:tcPr>
                <w:p w14:paraId="08DAE1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应急救援保障</w:t>
                  </w:r>
                </w:p>
              </w:tc>
              <w:tc>
                <w:tcPr>
                  <w:tcW w:w="2772" w:type="pct"/>
                  <w:vAlign w:val="center"/>
                </w:tcPr>
                <w:p w14:paraId="7516AA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应急设施，设备与器材等</w:t>
                  </w:r>
                </w:p>
              </w:tc>
            </w:tr>
            <w:tr w14:paraId="74A718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5A20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757" w:type="pct"/>
                  <w:vAlign w:val="center"/>
                </w:tcPr>
                <w:p w14:paraId="1942C0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报警、通讯联络方式</w:t>
                  </w:r>
                </w:p>
              </w:tc>
              <w:tc>
                <w:tcPr>
                  <w:tcW w:w="2772" w:type="pct"/>
                  <w:vAlign w:val="center"/>
                </w:tcPr>
                <w:p w14:paraId="46D4AB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规定应急状态下的报警通讯方式、通知方式和交通保障、管制</w:t>
                  </w:r>
                </w:p>
              </w:tc>
            </w:tr>
            <w:tr w14:paraId="1FF939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DB938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757" w:type="pct"/>
                  <w:vAlign w:val="center"/>
                </w:tcPr>
                <w:p w14:paraId="076FCF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应急检测、防护措施、器材</w:t>
                  </w:r>
                </w:p>
              </w:tc>
              <w:tc>
                <w:tcPr>
                  <w:tcW w:w="2772" w:type="pct"/>
                  <w:vAlign w:val="center"/>
                </w:tcPr>
                <w:p w14:paraId="54FEAC7D">
                  <w:pPr>
                    <w:pStyle w:val="7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事故现场、邻近区域、控制防火区域，控制和清除污染措施及相应设备</w:t>
                  </w:r>
                </w:p>
              </w:tc>
            </w:tr>
            <w:tr w14:paraId="4032EA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A30EB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757" w:type="pct"/>
                  <w:vAlign w:val="center"/>
                </w:tcPr>
                <w:p w14:paraId="59E97A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人员紧急撤离、疏散，应急剂量控制、撤离组织计划</w:t>
                  </w:r>
                </w:p>
              </w:tc>
              <w:tc>
                <w:tcPr>
                  <w:tcW w:w="2772" w:type="pct"/>
                  <w:vAlign w:val="center"/>
                </w:tcPr>
                <w:p w14:paraId="6B7460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事故现场、工厂邻近区、受事故影响的区域人员及公众对毒物应急剂量控制规定，撤离组织计划及救护，医疗救护与公众健康</w:t>
                  </w:r>
                </w:p>
              </w:tc>
            </w:tr>
            <w:tr w14:paraId="3D246E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98742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757" w:type="pct"/>
                  <w:vAlign w:val="center"/>
                </w:tcPr>
                <w:p w14:paraId="1E2235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事故应急救援关闭程序与恢复措施</w:t>
                  </w:r>
                </w:p>
              </w:tc>
              <w:tc>
                <w:tcPr>
                  <w:tcW w:w="2772" w:type="pct"/>
                  <w:vAlign w:val="center"/>
                </w:tcPr>
                <w:p w14:paraId="6D7A5D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规定应急状态终止程序</w:t>
                  </w:r>
                </w:p>
                <w:p w14:paraId="539758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事故现场善后处理，恢复措施</w:t>
                  </w:r>
                </w:p>
                <w:p w14:paraId="08A4C5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邻近区域解除事故警戒及善后恢复措施</w:t>
                  </w:r>
                </w:p>
              </w:tc>
            </w:tr>
            <w:tr w14:paraId="1E11F0A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6A74B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757" w:type="pct"/>
                  <w:vAlign w:val="center"/>
                </w:tcPr>
                <w:p w14:paraId="040103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应急培训计划</w:t>
                  </w:r>
                </w:p>
              </w:tc>
              <w:tc>
                <w:tcPr>
                  <w:tcW w:w="2772" w:type="pct"/>
                  <w:vAlign w:val="center"/>
                </w:tcPr>
                <w:p w14:paraId="0C9E7A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应急计划制定后，平时安排人员培训与演练</w:t>
                  </w:r>
                </w:p>
              </w:tc>
            </w:tr>
          </w:tbl>
          <w:p w14:paraId="69E8377C">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6F8DE12A">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（3）环境风险结论</w:t>
            </w:r>
          </w:p>
          <w:p w14:paraId="173543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4EC9558B">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七、电磁辐射</w:t>
            </w:r>
          </w:p>
          <w:p w14:paraId="779BAFB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本项目不涉及电磁辐射。</w:t>
            </w:r>
          </w:p>
          <w:p w14:paraId="64A7005C">
            <w:pPr>
              <w:keepLines w:val="0"/>
              <w:pageBreakBefore w:val="0"/>
              <w:widowControl w:val="0"/>
              <w:kinsoku/>
              <w:wordWrap/>
              <w:topLinePunct w:val="0"/>
              <w:autoSpaceDE/>
              <w:autoSpaceDN/>
              <w:bidi w:val="0"/>
              <w:adjustRightInd/>
              <w:snapToGrid w:val="0"/>
              <w:spacing w:line="500" w:lineRule="exact"/>
              <w:ind w:left="0" w:leftChars="0" w:firstLine="0" w:firstLineChars="0"/>
              <w:textAlignment w:val="auto"/>
              <w:rPr>
                <w:rFonts w:hint="eastAsia" w:ascii="Times New Roman" w:hAnsi="Times New Roman" w:eastAsia="宋体" w:cs="Times New Roman"/>
                <w:b/>
                <w:bCs/>
                <w:color w:val="auto"/>
                <w:spacing w:val="0"/>
                <w:kern w:val="0"/>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w:t>
            </w:r>
            <w:r>
              <w:rPr>
                <w:rFonts w:hint="eastAsia" w:ascii="Times New Roman" w:hAnsi="Times New Roman" w:eastAsia="宋体" w:cs="Times New Roman"/>
                <w:b/>
                <w:bCs/>
                <w:color w:val="auto"/>
                <w:spacing w:val="0"/>
                <w:kern w:val="0"/>
                <w:sz w:val="24"/>
                <w:szCs w:val="24"/>
                <w:highlight w:val="none"/>
                <w:lang w:val="en-US" w:eastAsia="zh-CN"/>
              </w:rPr>
              <w:t>环境监测计划</w:t>
            </w:r>
          </w:p>
          <w:p w14:paraId="3211F9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bookmarkStart w:id="12" w:name="_Toc479944441"/>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验收监测</w:t>
            </w:r>
            <w:bookmarkEnd w:id="12"/>
          </w:p>
          <w:p w14:paraId="285C21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公司应按“三同时”验收程序委托</w:t>
            </w:r>
            <w:r>
              <w:rPr>
                <w:rFonts w:hint="eastAsia" w:ascii="Times New Roman" w:hAnsi="Times New Roman" w:eastAsia="宋体" w:cs="Times New Roman"/>
                <w:color w:val="auto"/>
                <w:kern w:val="0"/>
                <w:sz w:val="24"/>
                <w:szCs w:val="24"/>
                <w:highlight w:val="none"/>
                <w:lang w:val="en-US" w:eastAsia="zh-CN"/>
              </w:rPr>
              <w:t>环境</w:t>
            </w:r>
            <w:r>
              <w:rPr>
                <w:rFonts w:hint="default" w:ascii="Times New Roman" w:hAnsi="Times New Roman" w:eastAsia="宋体" w:cs="Times New Roman"/>
                <w:color w:val="auto"/>
                <w:kern w:val="0"/>
                <w:sz w:val="24"/>
                <w:szCs w:val="24"/>
                <w:highlight w:val="none"/>
                <w:lang w:val="en-US" w:eastAsia="zh-CN"/>
              </w:rPr>
              <w:t>监测机构开展建设项目环保“三同时”设施竣工验收监测，具体监测方案由监测机构根据《建设项目竣工环境保护验收技术指南污染影响类》（生态环境部公告 2018年第9号）确定。</w:t>
            </w:r>
          </w:p>
          <w:p w14:paraId="4A4775A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（2）自行</w:t>
            </w:r>
            <w:r>
              <w:rPr>
                <w:rFonts w:hint="default" w:ascii="Times New Roman" w:hAnsi="Times New Roman" w:eastAsia="宋体" w:cs="Times New Roman"/>
                <w:color w:val="auto"/>
                <w:kern w:val="0"/>
                <w:sz w:val="24"/>
                <w:szCs w:val="24"/>
                <w:highlight w:val="none"/>
                <w:lang w:val="en-US" w:eastAsia="zh-CN"/>
              </w:rPr>
              <w:t>监测计划</w:t>
            </w:r>
          </w:p>
          <w:p w14:paraId="0531D7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本项目环境监测计划参照《排污许可证申请与核发技术规范 总则》（HJ942-2018）、《排污单位自行监测技术指南 总则》（HJ819-2017）要求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78D78AB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 xml:space="preserve">表4-33  </w:t>
            </w:r>
            <w:r>
              <w:rPr>
                <w:rFonts w:hint="default" w:ascii="Times New Roman" w:hAnsi="Times New Roman" w:eastAsia="宋体" w:cs="Times New Roman"/>
                <w:b/>
                <w:bCs/>
                <w:color w:val="auto"/>
                <w:kern w:val="0"/>
                <w:sz w:val="24"/>
                <w:szCs w:val="24"/>
                <w:highlight w:val="none"/>
                <w:lang w:val="en-US" w:eastAsia="zh-CN"/>
              </w:rPr>
              <w:t>本项目建成后全厂自行监测计划表</w:t>
            </w:r>
          </w:p>
          <w:tbl>
            <w:tblPr>
              <w:tblStyle w:val="27"/>
              <w:tblW w:w="4995"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089"/>
              <w:gridCol w:w="1289"/>
              <w:gridCol w:w="964"/>
              <w:gridCol w:w="3127"/>
              <w:gridCol w:w="1087"/>
            </w:tblGrid>
            <w:tr w14:paraId="60908AC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bottom w:val="single" w:color="auto" w:sz="12" w:space="0"/>
                  </w:tcBorders>
                  <w:noWrap w:val="0"/>
                  <w:vAlign w:val="center"/>
                </w:tcPr>
                <w:p w14:paraId="4BA92D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653" w:type="pct"/>
                  <w:tcBorders>
                    <w:bottom w:val="single" w:color="auto" w:sz="12" w:space="0"/>
                  </w:tcBorders>
                  <w:noWrap w:val="0"/>
                  <w:vAlign w:val="center"/>
                </w:tcPr>
                <w:p w14:paraId="05D965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监测点位</w:t>
                  </w:r>
                </w:p>
              </w:tc>
              <w:tc>
                <w:tcPr>
                  <w:tcW w:w="773" w:type="pct"/>
                  <w:tcBorders>
                    <w:bottom w:val="single" w:color="auto" w:sz="12" w:space="0"/>
                  </w:tcBorders>
                  <w:noWrap w:val="0"/>
                  <w:vAlign w:val="center"/>
                </w:tcPr>
                <w:p w14:paraId="1186A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监测指标</w:t>
                  </w:r>
                </w:p>
              </w:tc>
              <w:tc>
                <w:tcPr>
                  <w:tcW w:w="578" w:type="pct"/>
                  <w:tcBorders>
                    <w:bottom w:val="single" w:color="auto" w:sz="12" w:space="0"/>
                  </w:tcBorders>
                  <w:noWrap w:val="0"/>
                  <w:vAlign w:val="center"/>
                </w:tcPr>
                <w:p w14:paraId="64BD6C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监测频次</w:t>
                  </w:r>
                </w:p>
              </w:tc>
              <w:tc>
                <w:tcPr>
                  <w:tcW w:w="1876" w:type="pct"/>
                  <w:tcBorders>
                    <w:bottom w:val="single" w:color="auto" w:sz="12" w:space="0"/>
                  </w:tcBorders>
                  <w:noWrap w:val="0"/>
                  <w:vAlign w:val="center"/>
                </w:tcPr>
                <w:p w14:paraId="5AC1D0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执行标准</w:t>
                  </w:r>
                </w:p>
              </w:tc>
              <w:tc>
                <w:tcPr>
                  <w:tcW w:w="652" w:type="pct"/>
                  <w:tcBorders>
                    <w:bottom w:val="single" w:color="auto" w:sz="12" w:space="0"/>
                  </w:tcBorders>
                  <w:noWrap w:val="0"/>
                  <w:vAlign w:val="center"/>
                </w:tcPr>
                <w:p w14:paraId="4CFB07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监测单位</w:t>
                  </w:r>
                </w:p>
              </w:tc>
            </w:tr>
            <w:tr w14:paraId="08B85F0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restart"/>
                  <w:tcBorders>
                    <w:tl2br w:val="nil"/>
                    <w:tr2bl w:val="nil"/>
                  </w:tcBorders>
                  <w:noWrap w:val="0"/>
                  <w:vAlign w:val="center"/>
                </w:tcPr>
                <w:p w14:paraId="62FE8D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653" w:type="pct"/>
                  <w:tcBorders>
                    <w:tl2br w:val="nil"/>
                    <w:tr2bl w:val="nil"/>
                  </w:tcBorders>
                  <w:shd w:val="clear" w:color="auto" w:fill="auto"/>
                  <w:noWrap w:val="0"/>
                  <w:vAlign w:val="center"/>
                </w:tcPr>
                <w:p w14:paraId="35F74856">
                  <w:pPr>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Cs/>
                      <w:color w:val="auto"/>
                      <w:sz w:val="21"/>
                      <w:szCs w:val="21"/>
                      <w:highlight w:val="none"/>
                      <w:lang w:val="en-US" w:eastAsia="zh-CN"/>
                    </w:rPr>
                    <w:t>FQ-1排气筒</w:t>
                  </w:r>
                </w:p>
              </w:tc>
              <w:tc>
                <w:tcPr>
                  <w:tcW w:w="773" w:type="pct"/>
                  <w:tcBorders>
                    <w:tl2br w:val="nil"/>
                    <w:tr2bl w:val="nil"/>
                  </w:tcBorders>
                  <w:shd w:val="clear" w:color="auto" w:fill="auto"/>
                  <w:noWrap w:val="0"/>
                  <w:vAlign w:val="center"/>
                </w:tcPr>
                <w:p w14:paraId="0C482E3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78" w:type="pct"/>
                  <w:tcBorders>
                    <w:tl2br w:val="nil"/>
                    <w:tr2bl w:val="nil"/>
                  </w:tcBorders>
                  <w:shd w:val="clear" w:color="auto" w:fill="auto"/>
                  <w:noWrap w:val="0"/>
                  <w:vAlign w:val="center"/>
                </w:tcPr>
                <w:p w14:paraId="3E417BB8">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tcBorders>
                    <w:tl2br w:val="nil"/>
                    <w:tr2bl w:val="nil"/>
                  </w:tcBorders>
                  <w:shd w:val="clear" w:color="auto" w:fill="auto"/>
                  <w:noWrap w:val="0"/>
                  <w:vAlign w:val="center"/>
                </w:tcPr>
                <w:p w14:paraId="1FA269E5">
                  <w:pPr>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652" w:type="pct"/>
                  <w:vMerge w:val="restart"/>
                  <w:tcBorders>
                    <w:tl2br w:val="nil"/>
                    <w:tr2bl w:val="nil"/>
                  </w:tcBorders>
                  <w:noWrap w:val="0"/>
                  <w:vAlign w:val="center"/>
                </w:tcPr>
                <w:p w14:paraId="43F060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有资质的环境监测机构</w:t>
                  </w:r>
                </w:p>
              </w:tc>
            </w:tr>
            <w:tr w14:paraId="304F964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614EB7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restart"/>
                  <w:tcBorders>
                    <w:tl2br w:val="nil"/>
                    <w:tr2bl w:val="nil"/>
                  </w:tcBorders>
                  <w:shd w:val="clear" w:color="auto" w:fill="auto"/>
                  <w:noWrap w:val="0"/>
                  <w:vAlign w:val="center"/>
                </w:tcPr>
                <w:p w14:paraId="232529FC">
                  <w:pPr>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Cs/>
                      <w:color w:val="auto"/>
                      <w:sz w:val="21"/>
                      <w:szCs w:val="21"/>
                      <w:highlight w:val="none"/>
                      <w:lang w:val="en-US" w:eastAsia="zh-CN"/>
                    </w:rPr>
                    <w:t>FQ-2排气筒</w:t>
                  </w:r>
                </w:p>
              </w:tc>
              <w:tc>
                <w:tcPr>
                  <w:tcW w:w="773" w:type="pct"/>
                  <w:tcBorders>
                    <w:tl2br w:val="nil"/>
                    <w:tr2bl w:val="nil"/>
                  </w:tcBorders>
                  <w:shd w:val="clear" w:color="auto" w:fill="auto"/>
                  <w:noWrap w:val="0"/>
                  <w:vAlign w:val="center"/>
                </w:tcPr>
                <w:p w14:paraId="0602A3D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氮氧化物</w:t>
                  </w:r>
                </w:p>
              </w:tc>
              <w:tc>
                <w:tcPr>
                  <w:tcW w:w="578" w:type="pct"/>
                  <w:tcBorders>
                    <w:tl2br w:val="nil"/>
                    <w:tr2bl w:val="nil"/>
                  </w:tcBorders>
                  <w:shd w:val="clear" w:color="auto" w:fill="auto"/>
                  <w:noWrap w:val="0"/>
                  <w:vAlign w:val="center"/>
                </w:tcPr>
                <w:p w14:paraId="218CE95E">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vMerge w:val="restart"/>
                  <w:tcBorders>
                    <w:tl2br w:val="nil"/>
                    <w:tr2bl w:val="nil"/>
                  </w:tcBorders>
                  <w:shd w:val="clear" w:color="auto" w:fill="auto"/>
                  <w:noWrap w:val="0"/>
                  <w:vAlign w:val="center"/>
                </w:tcPr>
                <w:p w14:paraId="6764782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《工业炉窑大气污染物排放标准》(DB32/3728-2020)表1</w:t>
                  </w:r>
                </w:p>
              </w:tc>
              <w:tc>
                <w:tcPr>
                  <w:tcW w:w="652" w:type="pct"/>
                  <w:vMerge w:val="continue"/>
                  <w:tcBorders>
                    <w:tl2br w:val="nil"/>
                    <w:tr2bl w:val="nil"/>
                  </w:tcBorders>
                  <w:noWrap w:val="0"/>
                  <w:vAlign w:val="center"/>
                </w:tcPr>
                <w:p w14:paraId="431AE2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482BA0E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0C5D7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noWrap w:val="0"/>
                  <w:vAlign w:val="center"/>
                </w:tcPr>
                <w:p w14:paraId="2AF64B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73" w:type="pct"/>
                  <w:tcBorders>
                    <w:tl2br w:val="nil"/>
                    <w:tr2bl w:val="nil"/>
                  </w:tcBorders>
                  <w:shd w:val="clear" w:color="auto" w:fill="auto"/>
                  <w:noWrap w:val="0"/>
                  <w:vAlign w:val="center"/>
                </w:tcPr>
                <w:p w14:paraId="4AEB56A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二氧化硫</w:t>
                  </w:r>
                </w:p>
              </w:tc>
              <w:tc>
                <w:tcPr>
                  <w:tcW w:w="578" w:type="pct"/>
                  <w:tcBorders>
                    <w:tl2br w:val="nil"/>
                    <w:tr2bl w:val="nil"/>
                  </w:tcBorders>
                  <w:shd w:val="clear" w:color="auto" w:fill="auto"/>
                  <w:noWrap w:val="0"/>
                  <w:vAlign w:val="center"/>
                </w:tcPr>
                <w:p w14:paraId="48812235">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vMerge w:val="continue"/>
                  <w:tcBorders>
                    <w:tl2br w:val="nil"/>
                    <w:tr2bl w:val="nil"/>
                  </w:tcBorders>
                  <w:noWrap w:val="0"/>
                  <w:vAlign w:val="center"/>
                </w:tcPr>
                <w:p w14:paraId="163E18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52" w:type="pct"/>
                  <w:vMerge w:val="continue"/>
                  <w:tcBorders>
                    <w:tl2br w:val="nil"/>
                    <w:tr2bl w:val="nil"/>
                  </w:tcBorders>
                  <w:noWrap w:val="0"/>
                  <w:vAlign w:val="center"/>
                </w:tcPr>
                <w:p w14:paraId="3A8737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2B97566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5B5367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noWrap w:val="0"/>
                  <w:vAlign w:val="center"/>
                </w:tcPr>
                <w:p w14:paraId="3EA52D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73" w:type="pct"/>
                  <w:tcBorders>
                    <w:tl2br w:val="nil"/>
                    <w:tr2bl w:val="nil"/>
                  </w:tcBorders>
                  <w:shd w:val="clear" w:color="auto" w:fill="auto"/>
                  <w:noWrap w:val="0"/>
                  <w:vAlign w:val="center"/>
                </w:tcPr>
                <w:p w14:paraId="7089A3A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烟气黑度</w:t>
                  </w:r>
                </w:p>
              </w:tc>
              <w:tc>
                <w:tcPr>
                  <w:tcW w:w="578" w:type="pct"/>
                  <w:tcBorders>
                    <w:tl2br w:val="nil"/>
                    <w:tr2bl w:val="nil"/>
                  </w:tcBorders>
                  <w:shd w:val="clear" w:color="auto" w:fill="auto"/>
                  <w:noWrap w:val="0"/>
                  <w:vAlign w:val="center"/>
                </w:tcPr>
                <w:p w14:paraId="533F747C">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vMerge w:val="continue"/>
                  <w:tcBorders>
                    <w:tl2br w:val="nil"/>
                    <w:tr2bl w:val="nil"/>
                  </w:tcBorders>
                  <w:noWrap w:val="0"/>
                  <w:vAlign w:val="center"/>
                </w:tcPr>
                <w:p w14:paraId="332129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52" w:type="pct"/>
                  <w:vMerge w:val="continue"/>
                  <w:tcBorders>
                    <w:tl2br w:val="nil"/>
                    <w:tr2bl w:val="nil"/>
                  </w:tcBorders>
                  <w:noWrap w:val="0"/>
                  <w:vAlign w:val="center"/>
                </w:tcPr>
                <w:p w14:paraId="28BA07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37939FF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trHeight w:val="340" w:hRule="atLeast"/>
                <w:jc w:val="center"/>
              </w:trPr>
              <w:tc>
                <w:tcPr>
                  <w:tcW w:w="465" w:type="pct"/>
                  <w:vMerge w:val="continue"/>
                  <w:tcBorders>
                    <w:tl2br w:val="nil"/>
                    <w:tr2bl w:val="nil"/>
                  </w:tcBorders>
                  <w:noWrap w:val="0"/>
                  <w:vAlign w:val="center"/>
                </w:tcPr>
                <w:p w14:paraId="1A9AE4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noWrap w:val="0"/>
                  <w:vAlign w:val="center"/>
                </w:tcPr>
                <w:p w14:paraId="3398C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73" w:type="pct"/>
                  <w:tcBorders>
                    <w:tl2br w:val="nil"/>
                    <w:tr2bl w:val="nil"/>
                  </w:tcBorders>
                  <w:shd w:val="clear" w:color="auto" w:fill="auto"/>
                  <w:noWrap w:val="0"/>
                  <w:vAlign w:val="center"/>
                </w:tcPr>
                <w:p w14:paraId="392479A6">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78" w:type="pct"/>
                  <w:tcBorders>
                    <w:tl2br w:val="nil"/>
                    <w:tr2bl w:val="nil"/>
                  </w:tcBorders>
                  <w:shd w:val="clear" w:color="auto" w:fill="auto"/>
                  <w:noWrap w:val="0"/>
                  <w:vAlign w:val="center"/>
                </w:tcPr>
                <w:p w14:paraId="0A166928">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vMerge w:val="continue"/>
                  <w:tcBorders>
                    <w:tl2br w:val="nil"/>
                    <w:tr2bl w:val="nil"/>
                  </w:tcBorders>
                  <w:shd w:val="clear" w:color="auto" w:fill="auto"/>
                  <w:noWrap w:val="0"/>
                  <w:vAlign w:val="center"/>
                </w:tcPr>
                <w:p w14:paraId="4783676B">
                  <w:pPr>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652" w:type="pct"/>
                  <w:vMerge w:val="continue"/>
                  <w:tcBorders>
                    <w:tl2br w:val="nil"/>
                    <w:tr2bl w:val="nil"/>
                  </w:tcBorders>
                  <w:noWrap w:val="0"/>
                  <w:vAlign w:val="center"/>
                </w:tcPr>
                <w:p w14:paraId="2B2C6B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3553176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081AAD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noWrap w:val="0"/>
                  <w:vAlign w:val="center"/>
                </w:tcPr>
                <w:p w14:paraId="12C625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73" w:type="pct"/>
                  <w:tcBorders>
                    <w:tl2br w:val="nil"/>
                    <w:tr2bl w:val="nil"/>
                  </w:tcBorders>
                  <w:shd w:val="clear" w:color="auto" w:fill="auto"/>
                  <w:noWrap w:val="0"/>
                  <w:vAlign w:val="center"/>
                </w:tcPr>
                <w:p w14:paraId="38759BF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78" w:type="pct"/>
                  <w:tcBorders>
                    <w:tl2br w:val="nil"/>
                    <w:tr2bl w:val="nil"/>
                  </w:tcBorders>
                  <w:shd w:val="clear" w:color="auto" w:fill="auto"/>
                  <w:noWrap w:val="0"/>
                  <w:vAlign w:val="center"/>
                </w:tcPr>
                <w:p w14:paraId="6CB62844">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tcBorders>
                    <w:tl2br w:val="nil"/>
                    <w:tr2bl w:val="nil"/>
                  </w:tcBorders>
                  <w:shd w:val="clear" w:color="auto" w:fill="auto"/>
                  <w:noWrap w:val="0"/>
                  <w:vAlign w:val="center"/>
                </w:tcPr>
                <w:p w14:paraId="0499FD5B">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652" w:type="pct"/>
                  <w:vMerge w:val="continue"/>
                  <w:tcBorders>
                    <w:tl2br w:val="nil"/>
                    <w:tr2bl w:val="nil"/>
                  </w:tcBorders>
                  <w:noWrap w:val="0"/>
                  <w:vAlign w:val="center"/>
                </w:tcPr>
                <w:p w14:paraId="7BB47E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41FAC02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717FCF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tcBorders>
                    <w:tl2br w:val="nil"/>
                    <w:tr2bl w:val="nil"/>
                  </w:tcBorders>
                  <w:shd w:val="clear" w:color="auto" w:fill="auto"/>
                  <w:noWrap w:val="0"/>
                  <w:vAlign w:val="center"/>
                </w:tcPr>
                <w:p w14:paraId="0D5A0A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FQ-3排气筒</w:t>
                  </w:r>
                </w:p>
              </w:tc>
              <w:tc>
                <w:tcPr>
                  <w:tcW w:w="773" w:type="pct"/>
                  <w:tcBorders>
                    <w:tl2br w:val="nil"/>
                    <w:tr2bl w:val="nil"/>
                  </w:tcBorders>
                  <w:shd w:val="clear" w:color="auto" w:fill="auto"/>
                  <w:noWrap w:val="0"/>
                  <w:vAlign w:val="center"/>
                </w:tcPr>
                <w:p w14:paraId="708DD51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78" w:type="pct"/>
                  <w:tcBorders>
                    <w:tl2br w:val="nil"/>
                    <w:tr2bl w:val="nil"/>
                  </w:tcBorders>
                  <w:shd w:val="clear" w:color="auto" w:fill="auto"/>
                  <w:noWrap w:val="0"/>
                  <w:vAlign w:val="center"/>
                </w:tcPr>
                <w:p w14:paraId="2F3866A3">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tcBorders>
                    <w:tl2br w:val="nil"/>
                    <w:tr2bl w:val="nil"/>
                  </w:tcBorders>
                  <w:shd w:val="clear" w:color="auto" w:fill="auto"/>
                  <w:noWrap w:val="0"/>
                  <w:vAlign w:val="center"/>
                </w:tcPr>
                <w:p w14:paraId="64F7494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《大气污染物综合排放标准》(DB32/4041-2021)表1</w:t>
                  </w:r>
                </w:p>
              </w:tc>
              <w:tc>
                <w:tcPr>
                  <w:tcW w:w="652" w:type="pct"/>
                  <w:vMerge w:val="continue"/>
                  <w:tcBorders>
                    <w:tl2br w:val="nil"/>
                    <w:tr2bl w:val="nil"/>
                  </w:tcBorders>
                  <w:noWrap w:val="0"/>
                  <w:vAlign w:val="center"/>
                </w:tcPr>
                <w:p w14:paraId="6D2DD5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0352320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14:paraId="5D88D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restart"/>
                  <w:tcBorders>
                    <w:tl2br w:val="nil"/>
                    <w:tr2bl w:val="nil"/>
                  </w:tcBorders>
                  <w:shd w:val="clear" w:color="auto" w:fill="auto"/>
                  <w:noWrap w:val="0"/>
                  <w:vAlign w:val="center"/>
                </w:tcPr>
                <w:p w14:paraId="5E93822A">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厂界外1m范围内上风向1个点，下风向3个点</w:t>
                  </w:r>
                </w:p>
              </w:tc>
              <w:tc>
                <w:tcPr>
                  <w:tcW w:w="773" w:type="pct"/>
                  <w:tcBorders>
                    <w:tl2br w:val="nil"/>
                    <w:tr2bl w:val="nil"/>
                  </w:tcBorders>
                  <w:shd w:val="clear" w:color="auto" w:fill="auto"/>
                  <w:noWrap w:val="0"/>
                  <w:vAlign w:val="center"/>
                </w:tcPr>
                <w:p w14:paraId="02131A3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78" w:type="pct"/>
                  <w:vMerge w:val="restart"/>
                  <w:tcBorders>
                    <w:tl2br w:val="nil"/>
                    <w:tr2bl w:val="nil"/>
                  </w:tcBorders>
                  <w:shd w:val="clear" w:color="auto" w:fill="auto"/>
                  <w:noWrap w:val="0"/>
                  <w:vAlign w:val="center"/>
                </w:tcPr>
                <w:p w14:paraId="198AC0AB">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vMerge w:val="restart"/>
                  <w:tcBorders>
                    <w:tl2br w:val="nil"/>
                    <w:tr2bl w:val="nil"/>
                  </w:tcBorders>
                  <w:shd w:val="clear" w:color="auto" w:fill="auto"/>
                  <w:noWrap w:val="0"/>
                  <w:vAlign w:val="center"/>
                </w:tcPr>
                <w:p w14:paraId="50F54209">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《大气污染物综合排放标准》（DB32/4041-2021）表</w:t>
                  </w:r>
                  <w:r>
                    <w:rPr>
                      <w:rFonts w:hint="eastAsia" w:ascii="Times New Roman" w:hAnsi="Times New Roman" w:eastAsia="宋体" w:cs="Times New Roman"/>
                      <w:color w:val="auto"/>
                      <w:sz w:val="21"/>
                      <w:szCs w:val="21"/>
                      <w:highlight w:val="none"/>
                      <w:lang w:val="en-US" w:eastAsia="zh-CN"/>
                    </w:rPr>
                    <w:t>3</w:t>
                  </w:r>
                </w:p>
              </w:tc>
              <w:tc>
                <w:tcPr>
                  <w:tcW w:w="652" w:type="pct"/>
                  <w:vMerge w:val="continue"/>
                  <w:tcBorders>
                    <w:tl2br w:val="nil"/>
                    <w:tr2bl w:val="nil"/>
                  </w:tcBorders>
                  <w:noWrap w:val="0"/>
                  <w:vAlign w:val="center"/>
                </w:tcPr>
                <w:p w14:paraId="3D8A13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6F96E93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14:paraId="6FA9A5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shd w:val="clear" w:color="auto" w:fill="auto"/>
                  <w:noWrap w:val="0"/>
                  <w:vAlign w:val="center"/>
                </w:tcPr>
                <w:p w14:paraId="5D9B16CA">
                  <w:pPr>
                    <w:jc w:val="center"/>
                    <w:rPr>
                      <w:rFonts w:hint="default" w:ascii="Times New Roman" w:hAnsi="Times New Roman" w:eastAsia="宋体" w:cs="Times New Roman"/>
                      <w:color w:val="auto"/>
                      <w:sz w:val="21"/>
                      <w:szCs w:val="21"/>
                      <w:highlight w:val="none"/>
                    </w:rPr>
                  </w:pPr>
                </w:p>
              </w:tc>
              <w:tc>
                <w:tcPr>
                  <w:tcW w:w="773" w:type="pct"/>
                  <w:tcBorders>
                    <w:tl2br w:val="nil"/>
                    <w:tr2bl w:val="nil"/>
                  </w:tcBorders>
                  <w:shd w:val="clear" w:color="auto" w:fill="auto"/>
                  <w:noWrap w:val="0"/>
                  <w:vAlign w:val="center"/>
                </w:tcPr>
                <w:p w14:paraId="643AD6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578" w:type="pct"/>
                  <w:vMerge w:val="continue"/>
                  <w:tcBorders>
                    <w:tl2br w:val="nil"/>
                    <w:tr2bl w:val="nil"/>
                  </w:tcBorders>
                  <w:shd w:val="clear" w:color="auto" w:fill="auto"/>
                  <w:noWrap w:val="0"/>
                  <w:vAlign w:val="center"/>
                </w:tcPr>
                <w:p w14:paraId="0762ABE1">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876" w:type="pct"/>
                  <w:vMerge w:val="continue"/>
                  <w:tcBorders>
                    <w:tl2br w:val="nil"/>
                    <w:tr2bl w:val="nil"/>
                  </w:tcBorders>
                  <w:shd w:val="clear" w:color="auto" w:fill="auto"/>
                  <w:noWrap w:val="0"/>
                  <w:vAlign w:val="center"/>
                </w:tcPr>
                <w:p w14:paraId="16258AD2">
                  <w:pPr>
                    <w:snapToGrid w:val="0"/>
                    <w:jc w:val="center"/>
                    <w:rPr>
                      <w:rFonts w:hint="default" w:ascii="Times New Roman" w:hAnsi="Times New Roman" w:eastAsia="宋体" w:cs="Times New Roman"/>
                      <w:color w:val="auto"/>
                      <w:sz w:val="21"/>
                      <w:szCs w:val="21"/>
                      <w:highlight w:val="none"/>
                    </w:rPr>
                  </w:pPr>
                </w:p>
              </w:tc>
              <w:tc>
                <w:tcPr>
                  <w:tcW w:w="652" w:type="pct"/>
                  <w:vMerge w:val="continue"/>
                  <w:tcBorders>
                    <w:tl2br w:val="nil"/>
                    <w:tr2bl w:val="nil"/>
                  </w:tcBorders>
                  <w:noWrap w:val="0"/>
                  <w:vAlign w:val="center"/>
                </w:tcPr>
                <w:p w14:paraId="093BC0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1FCEAAA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65" w:type="pct"/>
                  <w:vMerge w:val="continue"/>
                  <w:tcBorders>
                    <w:tl2br w:val="nil"/>
                    <w:tr2bl w:val="nil"/>
                  </w:tcBorders>
                  <w:noWrap w:val="0"/>
                  <w:vAlign w:val="center"/>
                </w:tcPr>
                <w:p w14:paraId="327C0A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shd w:val="clear" w:color="auto" w:fill="auto"/>
                  <w:noWrap w:val="0"/>
                  <w:vAlign w:val="center"/>
                </w:tcPr>
                <w:p w14:paraId="268293FE">
                  <w:pPr>
                    <w:jc w:val="center"/>
                    <w:rPr>
                      <w:rFonts w:hint="default" w:ascii="Times New Roman" w:hAnsi="Times New Roman" w:eastAsia="宋体" w:cs="Times New Roman"/>
                      <w:color w:val="auto"/>
                      <w:sz w:val="21"/>
                      <w:szCs w:val="21"/>
                      <w:highlight w:val="none"/>
                    </w:rPr>
                  </w:pPr>
                </w:p>
              </w:tc>
              <w:tc>
                <w:tcPr>
                  <w:tcW w:w="773" w:type="pct"/>
                  <w:tcBorders>
                    <w:tl2br w:val="nil"/>
                    <w:tr2bl w:val="nil"/>
                  </w:tcBorders>
                  <w:shd w:val="clear" w:color="auto" w:fill="auto"/>
                  <w:noWrap w:val="0"/>
                  <w:vAlign w:val="center"/>
                </w:tcPr>
                <w:p w14:paraId="364F30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578" w:type="pct"/>
                  <w:vMerge w:val="continue"/>
                  <w:tcBorders>
                    <w:tl2br w:val="nil"/>
                    <w:tr2bl w:val="nil"/>
                  </w:tcBorders>
                  <w:shd w:val="clear" w:color="auto" w:fill="auto"/>
                  <w:noWrap w:val="0"/>
                  <w:vAlign w:val="center"/>
                </w:tcPr>
                <w:p w14:paraId="6C3DD92C">
                  <w:pPr>
                    <w:spacing w:line="24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876" w:type="pct"/>
                  <w:vMerge w:val="continue"/>
                  <w:tcBorders>
                    <w:tl2br w:val="nil"/>
                    <w:tr2bl w:val="nil"/>
                  </w:tcBorders>
                  <w:shd w:val="clear" w:color="auto" w:fill="auto"/>
                  <w:noWrap w:val="0"/>
                  <w:vAlign w:val="center"/>
                </w:tcPr>
                <w:p w14:paraId="63CAFDCF">
                  <w:pPr>
                    <w:snapToGrid w:val="0"/>
                    <w:jc w:val="center"/>
                    <w:rPr>
                      <w:rFonts w:hint="default" w:ascii="Times New Roman" w:hAnsi="Times New Roman" w:eastAsia="宋体" w:cs="Times New Roman"/>
                      <w:color w:val="auto"/>
                      <w:sz w:val="21"/>
                      <w:szCs w:val="21"/>
                      <w:highlight w:val="none"/>
                    </w:rPr>
                  </w:pPr>
                </w:p>
              </w:tc>
              <w:tc>
                <w:tcPr>
                  <w:tcW w:w="652" w:type="pct"/>
                  <w:vMerge w:val="continue"/>
                  <w:tcBorders>
                    <w:tl2br w:val="nil"/>
                    <w:tr2bl w:val="nil"/>
                  </w:tcBorders>
                  <w:noWrap w:val="0"/>
                  <w:vAlign w:val="center"/>
                </w:tcPr>
                <w:p w14:paraId="2E5CB2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307BE49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14:paraId="3905D0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continue"/>
                  <w:tcBorders>
                    <w:tl2br w:val="nil"/>
                    <w:tr2bl w:val="nil"/>
                  </w:tcBorders>
                  <w:noWrap w:val="0"/>
                  <w:vAlign w:val="center"/>
                </w:tcPr>
                <w:p w14:paraId="13D74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773" w:type="pct"/>
                  <w:tcBorders>
                    <w:tl2br w:val="nil"/>
                    <w:tr2bl w:val="nil"/>
                  </w:tcBorders>
                  <w:shd w:val="clear" w:color="auto" w:fill="auto"/>
                  <w:noWrap w:val="0"/>
                  <w:vAlign w:val="center"/>
                </w:tcPr>
                <w:p w14:paraId="26ACEA3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78" w:type="pct"/>
                  <w:vMerge w:val="continue"/>
                  <w:tcBorders>
                    <w:tl2br w:val="nil"/>
                    <w:tr2bl w:val="nil"/>
                  </w:tcBorders>
                  <w:noWrap w:val="0"/>
                  <w:vAlign w:val="center"/>
                </w:tcPr>
                <w:p w14:paraId="376442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876" w:type="pct"/>
                  <w:vMerge w:val="continue"/>
                  <w:tcBorders>
                    <w:tl2br w:val="nil"/>
                    <w:tr2bl w:val="nil"/>
                  </w:tcBorders>
                  <w:noWrap w:val="0"/>
                  <w:vAlign w:val="center"/>
                </w:tcPr>
                <w:p w14:paraId="6913C1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52" w:type="pct"/>
                  <w:vMerge w:val="continue"/>
                  <w:tcBorders>
                    <w:tl2br w:val="nil"/>
                    <w:tr2bl w:val="nil"/>
                  </w:tcBorders>
                  <w:noWrap w:val="0"/>
                  <w:vAlign w:val="center"/>
                </w:tcPr>
                <w:p w14:paraId="4542BF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4D19703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65" w:type="pct"/>
                  <w:vMerge w:val="continue"/>
                  <w:tcBorders>
                    <w:tl2br w:val="nil"/>
                    <w:tr2bl w:val="nil"/>
                  </w:tcBorders>
                  <w:noWrap w:val="0"/>
                  <w:vAlign w:val="center"/>
                </w:tcPr>
                <w:p w14:paraId="5E0ACA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53" w:type="pct"/>
                  <w:vMerge w:val="restart"/>
                  <w:tcBorders>
                    <w:tl2br w:val="nil"/>
                    <w:tr2bl w:val="nil"/>
                  </w:tcBorders>
                  <w:shd w:val="clear" w:color="auto" w:fill="auto"/>
                  <w:noWrap w:val="0"/>
                  <w:vAlign w:val="center"/>
                </w:tcPr>
                <w:p w14:paraId="73CF661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厂房外设置监控点</w:t>
                  </w:r>
                </w:p>
              </w:tc>
              <w:tc>
                <w:tcPr>
                  <w:tcW w:w="773" w:type="pct"/>
                  <w:tcBorders>
                    <w:tl2br w:val="nil"/>
                    <w:tr2bl w:val="nil"/>
                  </w:tcBorders>
                  <w:shd w:val="clear" w:color="auto" w:fill="auto"/>
                  <w:noWrap w:val="0"/>
                  <w:vAlign w:val="center"/>
                </w:tcPr>
                <w:p w14:paraId="2115FB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578" w:type="pct"/>
                  <w:tcBorders>
                    <w:tl2br w:val="nil"/>
                    <w:tr2bl w:val="nil"/>
                  </w:tcBorders>
                  <w:shd w:val="clear" w:color="auto" w:fill="auto"/>
                  <w:noWrap w:val="0"/>
                  <w:vAlign w:val="center"/>
                </w:tcPr>
                <w:p w14:paraId="7F338E89">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tcBorders>
                    <w:tl2br w:val="nil"/>
                    <w:tr2bl w:val="nil"/>
                  </w:tcBorders>
                  <w:shd w:val="clear" w:color="auto" w:fill="auto"/>
                  <w:noWrap w:val="0"/>
                  <w:vAlign w:val="center"/>
                </w:tcPr>
                <w:p w14:paraId="0257FF1A">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《工业涂装工序大气污染物排放标准》(DB32/4439-2022)</w:t>
                  </w:r>
                  <w:r>
                    <w:rPr>
                      <w:rFonts w:hint="eastAsia" w:ascii="Times New Roman" w:hAnsi="Times New Roman" w:eastAsia="宋体" w:cs="Times New Roman"/>
                      <w:color w:val="auto"/>
                      <w:sz w:val="21"/>
                      <w:szCs w:val="21"/>
                      <w:highlight w:val="none"/>
                      <w:lang w:val="en-US" w:eastAsia="zh-CN"/>
                    </w:rPr>
                    <w:t>表1</w:t>
                  </w:r>
                </w:p>
              </w:tc>
              <w:tc>
                <w:tcPr>
                  <w:tcW w:w="652" w:type="pct"/>
                  <w:vMerge w:val="continue"/>
                  <w:tcBorders>
                    <w:tl2br w:val="nil"/>
                    <w:tr2bl w:val="nil"/>
                  </w:tcBorders>
                  <w:noWrap w:val="0"/>
                  <w:vAlign w:val="center"/>
                </w:tcPr>
                <w:p w14:paraId="743ED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56F33F42">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65" w:type="pct"/>
                  <w:vMerge w:val="continue"/>
                  <w:tcBorders>
                    <w:tl2br w:val="nil"/>
                    <w:tr2bl w:val="nil"/>
                  </w:tcBorders>
                  <w:noWrap w:val="0"/>
                  <w:vAlign w:val="center"/>
                </w:tcPr>
                <w:p w14:paraId="2B2414EB">
                  <w:pPr>
                    <w:snapToGrid w:val="0"/>
                    <w:jc w:val="center"/>
                    <w:rPr>
                      <w:color w:val="auto"/>
                      <w:highlight w:val="none"/>
                    </w:rPr>
                  </w:pPr>
                </w:p>
              </w:tc>
              <w:tc>
                <w:tcPr>
                  <w:tcW w:w="653" w:type="pct"/>
                  <w:vMerge w:val="continue"/>
                  <w:tcBorders>
                    <w:tl2br w:val="nil"/>
                    <w:tr2bl w:val="nil"/>
                  </w:tcBorders>
                  <w:shd w:val="clear" w:color="auto" w:fill="auto"/>
                  <w:noWrap w:val="0"/>
                  <w:vAlign w:val="center"/>
                </w:tcPr>
                <w:p w14:paraId="701C1820">
                  <w:pPr>
                    <w:snapToGrid w:val="0"/>
                    <w:jc w:val="center"/>
                    <w:rPr>
                      <w:color w:val="auto"/>
                      <w:highlight w:val="none"/>
                    </w:rPr>
                  </w:pPr>
                </w:p>
              </w:tc>
              <w:tc>
                <w:tcPr>
                  <w:tcW w:w="773" w:type="pct"/>
                  <w:tcBorders>
                    <w:tl2br w:val="nil"/>
                    <w:tr2bl w:val="nil"/>
                  </w:tcBorders>
                  <w:shd w:val="clear" w:color="auto" w:fill="auto"/>
                  <w:noWrap w:val="0"/>
                  <w:vAlign w:val="center"/>
                </w:tcPr>
                <w:p w14:paraId="2686A572">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78" w:type="pct"/>
                  <w:tcBorders>
                    <w:tl2br w:val="nil"/>
                    <w:tr2bl w:val="nil"/>
                  </w:tcBorders>
                  <w:shd w:val="clear" w:color="auto" w:fill="auto"/>
                  <w:noWrap w:val="0"/>
                  <w:vAlign w:val="center"/>
                </w:tcPr>
                <w:p w14:paraId="121847A2">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1次/年</w:t>
                  </w:r>
                </w:p>
              </w:tc>
              <w:tc>
                <w:tcPr>
                  <w:tcW w:w="1876" w:type="pct"/>
                  <w:tcBorders>
                    <w:tl2br w:val="nil"/>
                    <w:tr2bl w:val="nil"/>
                  </w:tcBorders>
                  <w:shd w:val="clear" w:color="auto" w:fill="auto"/>
                  <w:noWrap w:val="0"/>
                  <w:vAlign w:val="center"/>
                </w:tcPr>
                <w:p w14:paraId="031FE15C">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《工业炉窑大气污染物排放标准》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DB32/3728-2020</w:t>
                  </w:r>
                  <w:r>
                    <w:rPr>
                      <w:rFonts w:hint="eastAsia" w:ascii="Times New Roman" w:hAnsi="Times New Roman" w:eastAsia="宋体" w:cs="Times New Roman"/>
                      <w:bCs/>
                      <w:color w:val="auto"/>
                      <w:sz w:val="21"/>
                      <w:szCs w:val="21"/>
                      <w:highlight w:val="none"/>
                      <w:lang w:val="en-US" w:eastAsia="zh-CN"/>
                    </w:rPr>
                    <w:t>）表3</w:t>
                  </w:r>
                </w:p>
              </w:tc>
              <w:tc>
                <w:tcPr>
                  <w:tcW w:w="652" w:type="pct"/>
                  <w:vMerge w:val="continue"/>
                  <w:tcBorders>
                    <w:tl2br w:val="nil"/>
                    <w:tr2bl w:val="nil"/>
                  </w:tcBorders>
                  <w:noWrap w:val="0"/>
                  <w:vAlign w:val="center"/>
                </w:tcPr>
                <w:p w14:paraId="61A68747">
                  <w:pPr>
                    <w:snapToGrid w:val="0"/>
                    <w:jc w:val="center"/>
                    <w:rPr>
                      <w:rFonts w:hint="default" w:ascii="Times New Roman" w:hAnsi="Times New Roman" w:eastAsia="宋体" w:cs="Times New Roman"/>
                      <w:color w:val="auto"/>
                      <w:sz w:val="21"/>
                      <w:szCs w:val="21"/>
                      <w:highlight w:val="none"/>
                    </w:rPr>
                  </w:pPr>
                </w:p>
              </w:tc>
            </w:tr>
            <w:tr w14:paraId="6202270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14:paraId="2D5320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653" w:type="pct"/>
                  <w:tcBorders>
                    <w:tl2br w:val="nil"/>
                    <w:tr2bl w:val="nil"/>
                  </w:tcBorders>
                  <w:noWrap w:val="0"/>
                  <w:vAlign w:val="center"/>
                </w:tcPr>
                <w:p w14:paraId="300526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污水排口</w:t>
                  </w:r>
                </w:p>
              </w:tc>
              <w:tc>
                <w:tcPr>
                  <w:tcW w:w="773" w:type="pct"/>
                  <w:tcBorders>
                    <w:tl2br w:val="nil"/>
                    <w:tr2bl w:val="nil"/>
                  </w:tcBorders>
                  <w:noWrap w:val="0"/>
                  <w:vAlign w:val="center"/>
                </w:tcPr>
                <w:p w14:paraId="7FFD5F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COD、SS、NH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-N、TP、TN</w:t>
                  </w:r>
                </w:p>
              </w:tc>
              <w:tc>
                <w:tcPr>
                  <w:tcW w:w="578" w:type="pct"/>
                  <w:tcBorders>
                    <w:tl2br w:val="nil"/>
                    <w:tr2bl w:val="nil"/>
                  </w:tcBorders>
                  <w:noWrap w:val="0"/>
                  <w:vAlign w:val="center"/>
                </w:tcPr>
                <w:p w14:paraId="7410F1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1次/年</w:t>
                  </w:r>
                </w:p>
              </w:tc>
              <w:tc>
                <w:tcPr>
                  <w:tcW w:w="1876" w:type="pct"/>
                  <w:tcBorders>
                    <w:tl2br w:val="nil"/>
                    <w:tr2bl w:val="nil"/>
                  </w:tcBorders>
                  <w:noWrap w:val="0"/>
                  <w:vAlign w:val="center"/>
                </w:tcPr>
                <w:p w14:paraId="264B7A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金坛第二污水处理厂接管标准</w:t>
                  </w:r>
                </w:p>
              </w:tc>
              <w:tc>
                <w:tcPr>
                  <w:tcW w:w="652" w:type="pct"/>
                  <w:tcBorders>
                    <w:tl2br w:val="nil"/>
                    <w:tr2bl w:val="nil"/>
                  </w:tcBorders>
                  <w:noWrap w:val="0"/>
                  <w:vAlign w:val="center"/>
                </w:tcPr>
                <w:p w14:paraId="554F1A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有资质的环境监测机构</w:t>
                  </w:r>
                </w:p>
              </w:tc>
            </w:tr>
            <w:tr w14:paraId="73E892E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14:paraId="736830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653" w:type="pct"/>
                  <w:tcBorders>
                    <w:tl2br w:val="nil"/>
                    <w:tr2bl w:val="nil"/>
                  </w:tcBorders>
                  <w:noWrap w:val="0"/>
                  <w:vAlign w:val="center"/>
                </w:tcPr>
                <w:p w14:paraId="5CF10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w:t>
                  </w:r>
                </w:p>
              </w:tc>
              <w:tc>
                <w:tcPr>
                  <w:tcW w:w="773" w:type="pct"/>
                  <w:tcBorders>
                    <w:tl2br w:val="nil"/>
                    <w:tr2bl w:val="nil"/>
                  </w:tcBorders>
                  <w:noWrap w:val="0"/>
                  <w:vAlign w:val="center"/>
                </w:tcPr>
                <w:p w14:paraId="137C6B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等效连续A声级</w:t>
                  </w:r>
                </w:p>
              </w:tc>
              <w:tc>
                <w:tcPr>
                  <w:tcW w:w="578" w:type="pct"/>
                  <w:tcBorders>
                    <w:tl2br w:val="nil"/>
                    <w:tr2bl w:val="nil"/>
                  </w:tcBorders>
                  <w:noWrap w:val="0"/>
                  <w:vAlign w:val="center"/>
                </w:tcPr>
                <w:p w14:paraId="459432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1次/</w:t>
                  </w:r>
                  <w:r>
                    <w:rPr>
                      <w:rFonts w:hint="eastAsia" w:ascii="Times New Roman" w:hAnsi="Times New Roman" w:eastAsia="宋体" w:cs="Times New Roman"/>
                      <w:color w:val="auto"/>
                      <w:kern w:val="0"/>
                      <w:sz w:val="21"/>
                      <w:szCs w:val="21"/>
                      <w:highlight w:val="none"/>
                      <w:lang w:val="en-US" w:eastAsia="zh-CN"/>
                    </w:rPr>
                    <w:t>年</w:t>
                  </w:r>
                </w:p>
              </w:tc>
              <w:tc>
                <w:tcPr>
                  <w:tcW w:w="1876" w:type="pct"/>
                  <w:tcBorders>
                    <w:tl2br w:val="nil"/>
                    <w:tr2bl w:val="nil"/>
                  </w:tcBorders>
                  <w:noWrap w:val="0"/>
                  <w:vAlign w:val="center"/>
                </w:tcPr>
                <w:p w14:paraId="746C62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类标准</w:t>
                  </w:r>
                </w:p>
              </w:tc>
              <w:tc>
                <w:tcPr>
                  <w:tcW w:w="652" w:type="pct"/>
                  <w:tcBorders>
                    <w:tl2br w:val="nil"/>
                    <w:tr2bl w:val="nil"/>
                  </w:tcBorders>
                  <w:noWrap w:val="0"/>
                  <w:vAlign w:val="center"/>
                </w:tcPr>
                <w:p w14:paraId="24C5A9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有资质的环境监测机构</w:t>
                  </w:r>
                </w:p>
              </w:tc>
            </w:tr>
          </w:tbl>
          <w:p w14:paraId="3D7658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（3）污染源</w:t>
            </w:r>
            <w:r>
              <w:rPr>
                <w:rFonts w:hint="default" w:ascii="Times New Roman" w:hAnsi="Times New Roman" w:eastAsia="宋体" w:cs="Times New Roman"/>
                <w:color w:val="auto"/>
                <w:kern w:val="0"/>
                <w:sz w:val="24"/>
                <w:szCs w:val="24"/>
                <w:highlight w:val="none"/>
                <w:lang w:val="en-US" w:eastAsia="zh-CN"/>
              </w:rPr>
              <w:t>监测计划</w:t>
            </w:r>
          </w:p>
          <w:p w14:paraId="5C9E0D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根据《建设项目环境影响报表编制技术指南（污染影响类）》文件要求，排污单位应按照规定对涉及到土壤、地下水污染物情况进行跟踪监测。</w:t>
            </w:r>
          </w:p>
          <w:p w14:paraId="18751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本项目正常运营过程中产生的污染物基本不会对土壤、地下水造成影响，且本项目车间地面均已硬化，无法进行取样，故本项目不单独对土壤、地下水设置跟踪监测计划要求。</w:t>
            </w:r>
          </w:p>
          <w:p w14:paraId="4AF799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应急监测</w:t>
            </w:r>
          </w:p>
          <w:p w14:paraId="3E04C7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rPr>
              <w:t>当公司发生突发性事件引起环境污染风险时，应按照《突发性环境事件应急预案》要求，启动应急环境监测方案，以指导事故应急处置，最大限度减轻对周边环境敏感目标的污染风险。</w:t>
            </w:r>
          </w:p>
        </w:tc>
      </w:tr>
    </w:tbl>
    <w:p w14:paraId="2CC50F27">
      <w:pPr>
        <w:rPr>
          <w:rFonts w:hint="default" w:ascii="Times New Roman" w:hAnsi="Times New Roman" w:eastAsia="宋体" w:cs="Times New Roman"/>
          <w:color w:val="auto"/>
          <w:sz w:val="24"/>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269D7E6">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五、环境保护措施监督检查清单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850"/>
        <w:gridCol w:w="1003"/>
        <w:gridCol w:w="1265"/>
        <w:gridCol w:w="1960"/>
        <w:gridCol w:w="2326"/>
      </w:tblGrid>
      <w:tr w14:paraId="1F05F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noWrap w:val="0"/>
            <w:vAlign w:val="top"/>
          </w:tcPr>
          <w:p w14:paraId="517C1D47">
            <w:pPr>
              <w:pStyle w:val="75"/>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内容</w:t>
            </w:r>
          </w:p>
          <w:p w14:paraId="0871F0AF">
            <w:pPr>
              <w:pStyle w:val="75"/>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要素</w:t>
            </w:r>
          </w:p>
        </w:tc>
        <w:tc>
          <w:tcPr>
            <w:tcW w:w="1853" w:type="dxa"/>
            <w:gridSpan w:val="2"/>
            <w:noWrap w:val="0"/>
            <w:vAlign w:val="center"/>
          </w:tcPr>
          <w:p w14:paraId="73B68E68">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排放口(编号、名称)/污染源</w:t>
            </w:r>
          </w:p>
        </w:tc>
        <w:tc>
          <w:tcPr>
            <w:tcW w:w="1265" w:type="dxa"/>
            <w:noWrap w:val="0"/>
            <w:vAlign w:val="center"/>
          </w:tcPr>
          <w:p w14:paraId="222538BA">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污染物项目</w:t>
            </w:r>
          </w:p>
        </w:tc>
        <w:tc>
          <w:tcPr>
            <w:tcW w:w="1960" w:type="dxa"/>
            <w:noWrap w:val="0"/>
            <w:vAlign w:val="center"/>
          </w:tcPr>
          <w:p w14:paraId="3CACE11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环境保护措施</w:t>
            </w:r>
          </w:p>
        </w:tc>
        <w:tc>
          <w:tcPr>
            <w:tcW w:w="2326" w:type="dxa"/>
            <w:noWrap w:val="0"/>
            <w:vAlign w:val="center"/>
          </w:tcPr>
          <w:p w14:paraId="7DE3145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r>
      <w:tr w14:paraId="5DEB9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96" w:type="dxa"/>
            <w:vMerge w:val="restart"/>
            <w:noWrap w:val="0"/>
            <w:vAlign w:val="center"/>
          </w:tcPr>
          <w:p w14:paraId="59ED95C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w:t>
            </w:r>
          </w:p>
        </w:tc>
        <w:tc>
          <w:tcPr>
            <w:tcW w:w="850" w:type="dxa"/>
            <w:vMerge w:val="restart"/>
            <w:noWrap w:val="0"/>
            <w:vAlign w:val="center"/>
          </w:tcPr>
          <w:p w14:paraId="5942ACF1">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w:t>
            </w:r>
          </w:p>
        </w:tc>
        <w:tc>
          <w:tcPr>
            <w:tcW w:w="1003" w:type="dxa"/>
            <w:vMerge w:val="restart"/>
            <w:noWrap w:val="0"/>
            <w:vAlign w:val="center"/>
          </w:tcPr>
          <w:p w14:paraId="73D93E56">
            <w:pPr>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FQ-1排气筒</w:t>
            </w:r>
          </w:p>
        </w:tc>
        <w:tc>
          <w:tcPr>
            <w:tcW w:w="1265" w:type="dxa"/>
            <w:noWrap w:val="0"/>
            <w:vAlign w:val="center"/>
          </w:tcPr>
          <w:p w14:paraId="2A569B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（打磨）</w:t>
            </w:r>
          </w:p>
        </w:tc>
        <w:tc>
          <w:tcPr>
            <w:tcW w:w="1960" w:type="dxa"/>
            <w:vMerge w:val="restart"/>
            <w:noWrap w:val="0"/>
            <w:vAlign w:val="center"/>
          </w:tcPr>
          <w:p w14:paraId="5276296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sz w:val="21"/>
                <w:szCs w:val="21"/>
                <w:highlight w:val="none"/>
                <w:lang w:val="en-US" w:eastAsia="zh-CN"/>
              </w:rPr>
              <w:t>1#旋风除尘器+滤筒除尘器</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25m高FQ-1排气筒</w:t>
            </w:r>
          </w:p>
        </w:tc>
        <w:tc>
          <w:tcPr>
            <w:tcW w:w="2326" w:type="dxa"/>
            <w:vMerge w:val="restart"/>
            <w:noWrap w:val="0"/>
            <w:vAlign w:val="center"/>
          </w:tcPr>
          <w:p w14:paraId="3718E2D3">
            <w:pPr>
              <w:pStyle w:val="75"/>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0"/>
                <w:szCs w:val="24"/>
                <w:highlight w:val="none"/>
                <w:lang w:eastAsia="zh-CN"/>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0C5A7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96" w:type="dxa"/>
            <w:vMerge w:val="continue"/>
            <w:noWrap w:val="0"/>
            <w:vAlign w:val="center"/>
          </w:tcPr>
          <w:p w14:paraId="215DA78B">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68E55B10">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vMerge w:val="continue"/>
            <w:noWrap w:val="0"/>
            <w:vAlign w:val="center"/>
          </w:tcPr>
          <w:p w14:paraId="4122207F">
            <w:pPr>
              <w:jc w:val="center"/>
              <w:rPr>
                <w:rFonts w:hint="eastAsia" w:ascii="Times New Roman" w:hAnsi="Times New Roman" w:eastAsia="宋体" w:cs="Times New Roman"/>
                <w:bCs/>
                <w:color w:val="auto"/>
                <w:sz w:val="21"/>
                <w:szCs w:val="21"/>
                <w:highlight w:val="none"/>
                <w:lang w:val="en-US" w:eastAsia="zh-CN"/>
              </w:rPr>
            </w:pPr>
          </w:p>
        </w:tc>
        <w:tc>
          <w:tcPr>
            <w:tcW w:w="1265" w:type="dxa"/>
            <w:shd w:val="clear" w:color="auto" w:fill="auto"/>
            <w:noWrap w:val="0"/>
            <w:vAlign w:val="center"/>
          </w:tcPr>
          <w:p w14:paraId="3C697B1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（喷砂）</w:t>
            </w:r>
          </w:p>
        </w:tc>
        <w:tc>
          <w:tcPr>
            <w:tcW w:w="1960" w:type="dxa"/>
            <w:vMerge w:val="continue"/>
            <w:shd w:val="clear" w:color="auto" w:fill="auto"/>
            <w:noWrap w:val="0"/>
            <w:vAlign w:val="center"/>
          </w:tcPr>
          <w:p w14:paraId="7DC6763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2"/>
                <w:highlight w:val="none"/>
                <w:lang w:val="en-US" w:eastAsia="zh-CN" w:bidi="ar-SA"/>
              </w:rPr>
            </w:pPr>
          </w:p>
        </w:tc>
        <w:tc>
          <w:tcPr>
            <w:tcW w:w="2326" w:type="dxa"/>
            <w:vMerge w:val="continue"/>
            <w:noWrap w:val="0"/>
            <w:vAlign w:val="center"/>
          </w:tcPr>
          <w:p w14:paraId="3356BEE7">
            <w:pPr>
              <w:pStyle w:val="75"/>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0"/>
                <w:szCs w:val="24"/>
                <w:highlight w:val="none"/>
                <w:lang w:eastAsia="zh-CN"/>
              </w:rPr>
            </w:pPr>
          </w:p>
        </w:tc>
      </w:tr>
      <w:tr w14:paraId="14543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96" w:type="dxa"/>
            <w:vMerge w:val="continue"/>
            <w:noWrap w:val="0"/>
            <w:vAlign w:val="center"/>
          </w:tcPr>
          <w:p w14:paraId="51542FC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6E3C091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vMerge w:val="continue"/>
            <w:noWrap w:val="0"/>
            <w:vAlign w:val="center"/>
          </w:tcPr>
          <w:p w14:paraId="0AA698B7">
            <w:pPr>
              <w:jc w:val="center"/>
              <w:rPr>
                <w:rFonts w:hint="default" w:ascii="Times New Roman" w:hAnsi="Times New Roman" w:eastAsia="宋体" w:cs="Times New Roman"/>
                <w:snapToGrid w:val="0"/>
                <w:color w:val="auto"/>
                <w:sz w:val="21"/>
                <w:szCs w:val="21"/>
                <w:highlight w:val="none"/>
                <w:lang w:val="en-US" w:eastAsia="zh-CN"/>
              </w:rPr>
            </w:pPr>
          </w:p>
        </w:tc>
        <w:tc>
          <w:tcPr>
            <w:tcW w:w="1265" w:type="dxa"/>
            <w:noWrap w:val="0"/>
            <w:vAlign w:val="center"/>
          </w:tcPr>
          <w:p w14:paraId="639D22A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（喷粉）</w:t>
            </w:r>
          </w:p>
        </w:tc>
        <w:tc>
          <w:tcPr>
            <w:tcW w:w="1960" w:type="dxa"/>
            <w:noWrap w:val="0"/>
            <w:vAlign w:val="center"/>
          </w:tcPr>
          <w:p w14:paraId="43886A9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2#、3#旋风除尘器+滤筒除尘器</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25m高FQ-1排气筒</w:t>
            </w:r>
          </w:p>
        </w:tc>
        <w:tc>
          <w:tcPr>
            <w:tcW w:w="2326" w:type="dxa"/>
            <w:vMerge w:val="continue"/>
            <w:noWrap w:val="0"/>
            <w:vAlign w:val="center"/>
          </w:tcPr>
          <w:p w14:paraId="572AAD8E">
            <w:pPr>
              <w:pStyle w:val="75"/>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0"/>
                <w:szCs w:val="24"/>
                <w:highlight w:val="none"/>
                <w:lang w:eastAsia="zh-CN"/>
              </w:rPr>
            </w:pPr>
          </w:p>
        </w:tc>
      </w:tr>
      <w:tr w14:paraId="3C674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96" w:type="dxa"/>
            <w:vMerge w:val="continue"/>
            <w:noWrap w:val="0"/>
            <w:vAlign w:val="center"/>
          </w:tcPr>
          <w:p w14:paraId="5C9084A2">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1D71168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vMerge w:val="restart"/>
            <w:noWrap w:val="0"/>
            <w:vAlign w:val="center"/>
          </w:tcPr>
          <w:p w14:paraId="1D30CF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FQ-2排气筒</w:t>
            </w:r>
          </w:p>
        </w:tc>
        <w:tc>
          <w:tcPr>
            <w:tcW w:w="1265" w:type="dxa"/>
            <w:noWrap w:val="0"/>
            <w:vAlign w:val="center"/>
          </w:tcPr>
          <w:p w14:paraId="70A350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氮氧化物</w:t>
            </w:r>
          </w:p>
        </w:tc>
        <w:tc>
          <w:tcPr>
            <w:tcW w:w="1960" w:type="dxa"/>
            <w:vMerge w:val="restart"/>
            <w:noWrap w:val="0"/>
            <w:vAlign w:val="center"/>
          </w:tcPr>
          <w:p w14:paraId="77D0DE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低氮燃烧器+1#二</w:t>
            </w:r>
            <w:r>
              <w:rPr>
                <w:rFonts w:hint="default" w:ascii="Times New Roman" w:hAnsi="Times New Roman" w:eastAsia="宋体" w:cs="Times New Roman"/>
                <w:color w:val="auto"/>
                <w:sz w:val="21"/>
                <w:szCs w:val="21"/>
                <w:highlight w:val="none"/>
                <w:lang w:val="en-US" w:eastAsia="zh-CN"/>
              </w:rPr>
              <w:t>级活性炭吸附装置</w:t>
            </w:r>
            <w:r>
              <w:rPr>
                <w:rFonts w:hint="eastAsia" w:ascii="Times New Roman" w:hAnsi="Times New Roman" w:eastAsia="宋体" w:cs="Times New Roman"/>
                <w:color w:val="auto"/>
                <w:szCs w:val="21"/>
                <w:highlight w:val="none"/>
                <w:lang w:val="en-US" w:eastAsia="zh-CN"/>
              </w:rPr>
              <w:t>+25m高FQ-2排气筒</w:t>
            </w:r>
          </w:p>
        </w:tc>
        <w:tc>
          <w:tcPr>
            <w:tcW w:w="2326" w:type="dxa"/>
            <w:vMerge w:val="restart"/>
            <w:noWrap w:val="0"/>
            <w:vAlign w:val="center"/>
          </w:tcPr>
          <w:p w14:paraId="5F2904A4">
            <w:pPr>
              <w:pStyle w:val="75"/>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0"/>
                <w:szCs w:val="24"/>
                <w:highlight w:val="none"/>
                <w:lang w:eastAsia="zh-CN"/>
              </w:rPr>
            </w:pPr>
            <w:r>
              <w:rPr>
                <w:rFonts w:hint="default" w:ascii="Times New Roman" w:hAnsi="Times New Roman" w:eastAsia="宋体" w:cs="Times New Roman"/>
                <w:snapToGrid w:val="0"/>
                <w:color w:val="auto"/>
                <w:spacing w:val="0"/>
                <w:szCs w:val="24"/>
                <w:highlight w:val="none"/>
                <w:lang w:eastAsia="zh-CN"/>
              </w:rPr>
              <w:t>《工业炉窑大气污染物排放标准》(DB32/3728-2020)</w:t>
            </w:r>
          </w:p>
        </w:tc>
      </w:tr>
      <w:tr w14:paraId="1B70C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96" w:type="dxa"/>
            <w:vMerge w:val="continue"/>
            <w:noWrap w:val="0"/>
            <w:vAlign w:val="center"/>
          </w:tcPr>
          <w:p w14:paraId="3AB48E7E">
            <w:pPr>
              <w:pStyle w:val="75"/>
              <w:keepNext w:val="0"/>
              <w:keepLines w:val="0"/>
              <w:suppressLineNumbers w:val="0"/>
              <w:spacing w:before="0" w:beforeAutospacing="0" w:after="0" w:afterAutospacing="0"/>
              <w:ind w:left="0" w:right="0"/>
              <w:rPr>
                <w:color w:val="auto"/>
                <w:highlight w:val="none"/>
              </w:rPr>
            </w:pPr>
          </w:p>
        </w:tc>
        <w:tc>
          <w:tcPr>
            <w:tcW w:w="850" w:type="dxa"/>
            <w:vMerge w:val="continue"/>
            <w:noWrap w:val="0"/>
            <w:vAlign w:val="center"/>
          </w:tcPr>
          <w:p w14:paraId="465727A7">
            <w:pPr>
              <w:pStyle w:val="75"/>
              <w:keepNext w:val="0"/>
              <w:keepLines w:val="0"/>
              <w:suppressLineNumbers w:val="0"/>
              <w:spacing w:before="0" w:beforeAutospacing="0" w:after="0" w:afterAutospacing="0"/>
              <w:ind w:left="0" w:right="0"/>
              <w:rPr>
                <w:color w:val="auto"/>
                <w:highlight w:val="none"/>
              </w:rPr>
            </w:pPr>
          </w:p>
        </w:tc>
        <w:tc>
          <w:tcPr>
            <w:tcW w:w="1003" w:type="dxa"/>
            <w:vMerge w:val="continue"/>
            <w:noWrap w:val="0"/>
            <w:vAlign w:val="center"/>
          </w:tcPr>
          <w:p w14:paraId="21FC4094">
            <w:pPr>
              <w:pStyle w:val="75"/>
              <w:keepNext w:val="0"/>
              <w:keepLines w:val="0"/>
              <w:suppressLineNumbers w:val="0"/>
              <w:spacing w:before="0" w:beforeAutospacing="0" w:after="0" w:afterAutospacing="0"/>
              <w:ind w:left="0" w:right="0"/>
              <w:rPr>
                <w:color w:val="auto"/>
                <w:highlight w:val="none"/>
              </w:rPr>
            </w:pPr>
          </w:p>
        </w:tc>
        <w:tc>
          <w:tcPr>
            <w:tcW w:w="1265" w:type="dxa"/>
            <w:noWrap w:val="0"/>
            <w:vAlign w:val="center"/>
          </w:tcPr>
          <w:p w14:paraId="5CB621A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二氧化硫</w:t>
            </w:r>
          </w:p>
        </w:tc>
        <w:tc>
          <w:tcPr>
            <w:tcW w:w="1960" w:type="dxa"/>
            <w:vMerge w:val="continue"/>
            <w:noWrap w:val="0"/>
            <w:vAlign w:val="center"/>
          </w:tcPr>
          <w:p w14:paraId="113C5EC8">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2326" w:type="dxa"/>
            <w:vMerge w:val="continue"/>
            <w:noWrap w:val="0"/>
            <w:vAlign w:val="center"/>
          </w:tcPr>
          <w:p w14:paraId="19197C6B">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r>
      <w:tr w14:paraId="5210E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96" w:type="dxa"/>
            <w:vMerge w:val="continue"/>
            <w:noWrap w:val="0"/>
            <w:vAlign w:val="center"/>
          </w:tcPr>
          <w:p w14:paraId="48906709">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850" w:type="dxa"/>
            <w:vMerge w:val="continue"/>
            <w:noWrap w:val="0"/>
            <w:vAlign w:val="center"/>
          </w:tcPr>
          <w:p w14:paraId="362DEB93">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003" w:type="dxa"/>
            <w:vMerge w:val="continue"/>
            <w:noWrap w:val="0"/>
            <w:vAlign w:val="center"/>
          </w:tcPr>
          <w:p w14:paraId="16A5425B">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265" w:type="dxa"/>
            <w:noWrap w:val="0"/>
            <w:vAlign w:val="center"/>
          </w:tcPr>
          <w:p w14:paraId="4ADF9A9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烟气黑度</w:t>
            </w:r>
          </w:p>
        </w:tc>
        <w:tc>
          <w:tcPr>
            <w:tcW w:w="1960" w:type="dxa"/>
            <w:vMerge w:val="continue"/>
            <w:noWrap w:val="0"/>
            <w:vAlign w:val="center"/>
          </w:tcPr>
          <w:p w14:paraId="298B64EB">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2326" w:type="dxa"/>
            <w:vMerge w:val="continue"/>
            <w:noWrap w:val="0"/>
            <w:vAlign w:val="center"/>
          </w:tcPr>
          <w:p w14:paraId="29B5EA9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r>
      <w:tr w14:paraId="06A34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96" w:type="dxa"/>
            <w:vMerge w:val="continue"/>
            <w:noWrap w:val="0"/>
            <w:vAlign w:val="center"/>
          </w:tcPr>
          <w:p w14:paraId="7496A65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850" w:type="dxa"/>
            <w:vMerge w:val="continue"/>
            <w:noWrap w:val="0"/>
            <w:vAlign w:val="center"/>
          </w:tcPr>
          <w:p w14:paraId="14360DA3">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003" w:type="dxa"/>
            <w:vMerge w:val="continue"/>
            <w:noWrap w:val="0"/>
            <w:vAlign w:val="center"/>
          </w:tcPr>
          <w:p w14:paraId="497C9800">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265" w:type="dxa"/>
            <w:noWrap w:val="0"/>
            <w:vAlign w:val="center"/>
          </w:tcPr>
          <w:p w14:paraId="39D408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960" w:type="dxa"/>
            <w:vMerge w:val="continue"/>
            <w:noWrap w:val="0"/>
            <w:vAlign w:val="center"/>
          </w:tcPr>
          <w:p w14:paraId="7EFFCAAA">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2326" w:type="dxa"/>
            <w:vMerge w:val="continue"/>
            <w:noWrap w:val="0"/>
            <w:vAlign w:val="center"/>
          </w:tcPr>
          <w:p w14:paraId="314D8809">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r>
      <w:tr w14:paraId="6229E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96" w:type="dxa"/>
            <w:vMerge w:val="continue"/>
            <w:noWrap w:val="0"/>
            <w:vAlign w:val="center"/>
          </w:tcPr>
          <w:p w14:paraId="4C6DA932">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850" w:type="dxa"/>
            <w:vMerge w:val="continue"/>
            <w:noWrap w:val="0"/>
            <w:vAlign w:val="center"/>
          </w:tcPr>
          <w:p w14:paraId="3EDA3FC1">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003" w:type="dxa"/>
            <w:vMerge w:val="continue"/>
            <w:noWrap w:val="0"/>
            <w:vAlign w:val="center"/>
          </w:tcPr>
          <w:p w14:paraId="70A66D2E">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1265" w:type="dxa"/>
            <w:noWrap w:val="0"/>
            <w:vAlign w:val="center"/>
          </w:tcPr>
          <w:p w14:paraId="612AF7B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960" w:type="dxa"/>
            <w:vMerge w:val="continue"/>
            <w:noWrap w:val="0"/>
            <w:vAlign w:val="center"/>
          </w:tcPr>
          <w:p w14:paraId="3343BB02">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p>
        </w:tc>
        <w:tc>
          <w:tcPr>
            <w:tcW w:w="2326" w:type="dxa"/>
            <w:noWrap w:val="0"/>
            <w:vAlign w:val="center"/>
          </w:tcPr>
          <w:p w14:paraId="358733E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4EB9A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96" w:type="dxa"/>
            <w:vMerge w:val="continue"/>
            <w:noWrap w:val="0"/>
            <w:vAlign w:val="center"/>
          </w:tcPr>
          <w:p w14:paraId="26BF589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2A0D825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shd w:val="clear" w:color="auto" w:fill="auto"/>
            <w:noWrap w:val="0"/>
            <w:vAlign w:val="center"/>
          </w:tcPr>
          <w:p w14:paraId="14A80202">
            <w:pPr>
              <w:jc w:val="center"/>
              <w:rPr>
                <w:rFonts w:hint="default" w:ascii="Times New Roman" w:hAnsi="Times New Roman"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sz w:val="21"/>
                <w:szCs w:val="21"/>
                <w:highlight w:val="none"/>
                <w:lang w:val="en-US" w:eastAsia="zh-CN"/>
              </w:rPr>
              <w:t>FQ-3排气筒</w:t>
            </w:r>
          </w:p>
        </w:tc>
        <w:tc>
          <w:tcPr>
            <w:tcW w:w="1265" w:type="dxa"/>
            <w:shd w:val="clear" w:color="auto" w:fill="auto"/>
            <w:noWrap w:val="0"/>
            <w:vAlign w:val="center"/>
          </w:tcPr>
          <w:p w14:paraId="66AD1BD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960" w:type="dxa"/>
            <w:shd w:val="clear" w:color="auto" w:fill="auto"/>
            <w:noWrap w:val="0"/>
            <w:vAlign w:val="center"/>
          </w:tcPr>
          <w:p w14:paraId="16A379F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二级活性炭吸附装置</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25m高FQ-3排气筒</w:t>
            </w:r>
          </w:p>
        </w:tc>
        <w:tc>
          <w:tcPr>
            <w:tcW w:w="2326" w:type="dxa"/>
            <w:shd w:val="clear" w:color="auto" w:fill="auto"/>
            <w:noWrap w:val="0"/>
            <w:vAlign w:val="center"/>
          </w:tcPr>
          <w:p w14:paraId="41173450">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snapToGrid w:val="0"/>
                <w:color w:val="auto"/>
                <w:spacing w:val="0"/>
                <w:szCs w:val="24"/>
                <w:highlight w:val="none"/>
                <w:lang w:eastAsia="zh-CN"/>
              </w:rPr>
              <w:t>《大气污染物综合排放标准》（DB32/4041-2021）</w:t>
            </w:r>
          </w:p>
        </w:tc>
      </w:tr>
      <w:tr w14:paraId="794C7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96" w:type="dxa"/>
            <w:vMerge w:val="continue"/>
            <w:noWrap w:val="0"/>
            <w:vAlign w:val="center"/>
          </w:tcPr>
          <w:p w14:paraId="0CA4006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restart"/>
            <w:noWrap w:val="0"/>
            <w:vAlign w:val="center"/>
          </w:tcPr>
          <w:p w14:paraId="30417E6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w:t>
            </w:r>
          </w:p>
        </w:tc>
        <w:tc>
          <w:tcPr>
            <w:tcW w:w="1003" w:type="dxa"/>
            <w:noWrap w:val="0"/>
            <w:vAlign w:val="center"/>
          </w:tcPr>
          <w:p w14:paraId="60B082C9">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厂</w:t>
            </w:r>
            <w:r>
              <w:rPr>
                <w:rFonts w:hint="default" w:ascii="Times New Roman" w:hAnsi="Times New Roman" w:eastAsia="宋体" w:cs="Times New Roman"/>
                <w:color w:val="auto"/>
                <w:highlight w:val="none"/>
                <w:lang w:val="en-US" w:eastAsia="zh-CN"/>
              </w:rPr>
              <w:t>界</w:t>
            </w:r>
          </w:p>
        </w:tc>
        <w:tc>
          <w:tcPr>
            <w:tcW w:w="1265" w:type="dxa"/>
            <w:noWrap w:val="0"/>
            <w:vAlign w:val="center"/>
          </w:tcPr>
          <w:p w14:paraId="1CE7E92F">
            <w:pPr>
              <w:pStyle w:val="75"/>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1"/>
                <w:highlight w:val="none"/>
              </w:rPr>
              <w:t>颗粒物、非甲烷总烃</w:t>
            </w:r>
            <w:r>
              <w:rPr>
                <w:rFonts w:hint="eastAsia" w:ascii="Times New Roman" w:hAnsi="Times New Roman" w:eastAsia="宋体" w:cs="Times New Roman"/>
                <w:color w:val="auto"/>
                <w:szCs w:val="21"/>
                <w:highlight w:val="none"/>
                <w:lang w:eastAsia="zh-CN"/>
              </w:rPr>
              <w:t>、氮氧化物、二氧化硫</w:t>
            </w:r>
          </w:p>
        </w:tc>
        <w:tc>
          <w:tcPr>
            <w:tcW w:w="1960" w:type="dxa"/>
            <w:vMerge w:val="restart"/>
            <w:noWrap w:val="0"/>
            <w:vAlign w:val="center"/>
          </w:tcPr>
          <w:p w14:paraId="05BAFA02">
            <w:pPr>
              <w:pStyle w:val="75"/>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①颗粒物经移动式烟尘净化器处理后无组织排放</w:t>
            </w:r>
          </w:p>
          <w:p w14:paraId="6AA74AD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②其他无组织排放进行</w:t>
            </w:r>
            <w:r>
              <w:rPr>
                <w:rFonts w:hint="default" w:ascii="Times New Roman" w:hAnsi="Times New Roman" w:eastAsia="宋体" w:cs="Times New Roman"/>
                <w:color w:val="auto"/>
                <w:highlight w:val="none"/>
                <w:lang w:val="en-US" w:eastAsia="zh-CN"/>
              </w:rPr>
              <w:t>源头治理，加强管理</w:t>
            </w:r>
          </w:p>
        </w:tc>
        <w:tc>
          <w:tcPr>
            <w:tcW w:w="2326" w:type="dxa"/>
            <w:noWrap w:val="0"/>
            <w:vAlign w:val="center"/>
          </w:tcPr>
          <w:p w14:paraId="49A35D6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snapToGrid w:val="0"/>
                <w:color w:val="auto"/>
                <w:spacing w:val="0"/>
                <w:szCs w:val="24"/>
                <w:highlight w:val="none"/>
                <w:lang w:eastAsia="zh-CN"/>
              </w:rPr>
              <w:t>《大气污染物综合排放标准》（DB32/4041-2021）</w:t>
            </w:r>
          </w:p>
        </w:tc>
      </w:tr>
      <w:tr w14:paraId="5EF4D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96" w:type="dxa"/>
            <w:vMerge w:val="continue"/>
            <w:noWrap w:val="0"/>
            <w:vAlign w:val="center"/>
          </w:tcPr>
          <w:p w14:paraId="3269604C">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7012210C">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vMerge w:val="restart"/>
            <w:noWrap w:val="0"/>
            <w:vAlign w:val="center"/>
          </w:tcPr>
          <w:p w14:paraId="3B7888B1">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厂区内</w:t>
            </w:r>
          </w:p>
        </w:tc>
        <w:tc>
          <w:tcPr>
            <w:tcW w:w="1265" w:type="dxa"/>
            <w:noWrap w:val="0"/>
            <w:vAlign w:val="center"/>
          </w:tcPr>
          <w:p w14:paraId="4559F38C">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非甲烷总烃</w:t>
            </w:r>
          </w:p>
        </w:tc>
        <w:tc>
          <w:tcPr>
            <w:tcW w:w="1960" w:type="dxa"/>
            <w:vMerge w:val="continue"/>
            <w:noWrap w:val="0"/>
            <w:vAlign w:val="center"/>
          </w:tcPr>
          <w:p w14:paraId="2078F4A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2326" w:type="dxa"/>
            <w:noWrap w:val="0"/>
            <w:vAlign w:val="center"/>
          </w:tcPr>
          <w:p w14:paraId="0711972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1"/>
                <w:szCs w:val="21"/>
                <w:highlight w:val="none"/>
                <w:lang w:val="en-US" w:eastAsia="zh-CN"/>
              </w:rPr>
              <w:t>《工业涂装工序大气污染物排放标准》(DB32/4439-2022)</w:t>
            </w:r>
          </w:p>
        </w:tc>
      </w:tr>
      <w:tr w14:paraId="6827B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96" w:type="dxa"/>
            <w:vMerge w:val="continue"/>
            <w:noWrap w:val="0"/>
            <w:vAlign w:val="center"/>
          </w:tcPr>
          <w:p w14:paraId="74C5438F">
            <w:pPr>
              <w:pStyle w:val="75"/>
              <w:keepNext w:val="0"/>
              <w:keepLines w:val="0"/>
              <w:suppressLineNumbers w:val="0"/>
              <w:spacing w:before="0" w:beforeAutospacing="0" w:after="0" w:afterAutospacing="0"/>
              <w:ind w:left="0" w:right="0"/>
              <w:rPr>
                <w:color w:val="auto"/>
                <w:highlight w:val="none"/>
              </w:rPr>
            </w:pPr>
          </w:p>
        </w:tc>
        <w:tc>
          <w:tcPr>
            <w:tcW w:w="850" w:type="dxa"/>
            <w:vMerge w:val="continue"/>
            <w:noWrap w:val="0"/>
            <w:vAlign w:val="center"/>
          </w:tcPr>
          <w:p w14:paraId="306337FE">
            <w:pPr>
              <w:pStyle w:val="75"/>
              <w:keepNext w:val="0"/>
              <w:keepLines w:val="0"/>
              <w:suppressLineNumbers w:val="0"/>
              <w:spacing w:before="0" w:beforeAutospacing="0" w:after="0" w:afterAutospacing="0"/>
              <w:ind w:left="0" w:right="0"/>
              <w:rPr>
                <w:color w:val="auto"/>
                <w:highlight w:val="none"/>
              </w:rPr>
            </w:pPr>
          </w:p>
        </w:tc>
        <w:tc>
          <w:tcPr>
            <w:tcW w:w="1003" w:type="dxa"/>
            <w:vMerge w:val="continue"/>
            <w:noWrap w:val="0"/>
            <w:vAlign w:val="center"/>
          </w:tcPr>
          <w:p w14:paraId="44E095A9">
            <w:pPr>
              <w:pStyle w:val="75"/>
              <w:keepNext w:val="0"/>
              <w:keepLines w:val="0"/>
              <w:suppressLineNumbers w:val="0"/>
              <w:spacing w:before="0" w:beforeAutospacing="0" w:after="0" w:afterAutospacing="0"/>
              <w:ind w:left="0" w:right="0"/>
              <w:rPr>
                <w:color w:val="auto"/>
                <w:highlight w:val="none"/>
              </w:rPr>
            </w:pPr>
          </w:p>
        </w:tc>
        <w:tc>
          <w:tcPr>
            <w:tcW w:w="1265" w:type="dxa"/>
            <w:noWrap w:val="0"/>
            <w:vAlign w:val="center"/>
          </w:tcPr>
          <w:p w14:paraId="54334D91">
            <w:pPr>
              <w:pStyle w:val="75"/>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960" w:type="dxa"/>
            <w:vMerge w:val="continue"/>
            <w:noWrap w:val="0"/>
            <w:vAlign w:val="center"/>
          </w:tcPr>
          <w:p w14:paraId="34B632B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2326" w:type="dxa"/>
            <w:noWrap w:val="0"/>
            <w:vAlign w:val="center"/>
          </w:tcPr>
          <w:p w14:paraId="39FF772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《工业炉窑大气污染物排放标准》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DB32/3728-2020</w:t>
            </w:r>
            <w:r>
              <w:rPr>
                <w:rFonts w:hint="eastAsia" w:ascii="Times New Roman" w:hAnsi="Times New Roman" w:eastAsia="宋体" w:cs="Times New Roman"/>
                <w:bCs/>
                <w:color w:val="auto"/>
                <w:sz w:val="21"/>
                <w:szCs w:val="21"/>
                <w:highlight w:val="none"/>
                <w:lang w:val="en-US" w:eastAsia="zh-CN"/>
              </w:rPr>
              <w:t>）</w:t>
            </w:r>
          </w:p>
        </w:tc>
      </w:tr>
      <w:tr w14:paraId="517ED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6A59B85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w:t>
            </w:r>
          </w:p>
        </w:tc>
        <w:tc>
          <w:tcPr>
            <w:tcW w:w="1853" w:type="dxa"/>
            <w:gridSpan w:val="2"/>
            <w:noWrap w:val="0"/>
            <w:vAlign w:val="center"/>
          </w:tcPr>
          <w:p w14:paraId="661F99FD">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w:t>
            </w:r>
          </w:p>
        </w:tc>
        <w:tc>
          <w:tcPr>
            <w:tcW w:w="1265" w:type="dxa"/>
            <w:noWrap w:val="0"/>
            <w:vAlign w:val="center"/>
          </w:tcPr>
          <w:p w14:paraId="68C502DA">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-N、TP、TN</w:t>
            </w:r>
          </w:p>
        </w:tc>
        <w:tc>
          <w:tcPr>
            <w:tcW w:w="1960" w:type="dxa"/>
            <w:noWrap w:val="0"/>
            <w:vAlign w:val="center"/>
          </w:tcPr>
          <w:p w14:paraId="729E626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2326" w:type="dxa"/>
            <w:noWrap w:val="0"/>
            <w:vAlign w:val="center"/>
          </w:tcPr>
          <w:p w14:paraId="45130AD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金坛第二污水处理厂进水水质标准</w:t>
            </w:r>
          </w:p>
        </w:tc>
      </w:tr>
      <w:tr w14:paraId="37FAE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466F56F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w:t>
            </w:r>
          </w:p>
        </w:tc>
        <w:tc>
          <w:tcPr>
            <w:tcW w:w="1853" w:type="dxa"/>
            <w:gridSpan w:val="2"/>
            <w:noWrap w:val="0"/>
            <w:vAlign w:val="center"/>
          </w:tcPr>
          <w:p w14:paraId="4165A1A2">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65" w:type="dxa"/>
            <w:noWrap w:val="0"/>
            <w:vAlign w:val="center"/>
          </w:tcPr>
          <w:p w14:paraId="76A04C6D">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960" w:type="dxa"/>
            <w:noWrap w:val="0"/>
            <w:vAlign w:val="center"/>
          </w:tcPr>
          <w:p w14:paraId="6DD88C6F">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合理布局、对高噪声设备做消音/隔声降噪处理、建筑隔声等措施</w:t>
            </w:r>
          </w:p>
        </w:tc>
        <w:tc>
          <w:tcPr>
            <w:tcW w:w="2326" w:type="dxa"/>
            <w:noWrap w:val="0"/>
            <w:vAlign w:val="center"/>
          </w:tcPr>
          <w:p w14:paraId="163F2CF7">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《工业企业厂界环境噪声排放标准》（GB12348－2008）</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类标准</w:t>
            </w:r>
          </w:p>
        </w:tc>
      </w:tr>
      <w:tr w14:paraId="643E6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620E758C">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电磁辐射</w:t>
            </w:r>
          </w:p>
        </w:tc>
        <w:tc>
          <w:tcPr>
            <w:tcW w:w="1853" w:type="dxa"/>
            <w:gridSpan w:val="2"/>
            <w:noWrap w:val="0"/>
            <w:vAlign w:val="center"/>
          </w:tcPr>
          <w:p w14:paraId="20C964EA">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65" w:type="dxa"/>
            <w:noWrap w:val="0"/>
            <w:vAlign w:val="center"/>
          </w:tcPr>
          <w:p w14:paraId="2B7398F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60" w:type="dxa"/>
            <w:noWrap w:val="0"/>
            <w:vAlign w:val="center"/>
          </w:tcPr>
          <w:p w14:paraId="434FA6DC">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326" w:type="dxa"/>
            <w:noWrap w:val="0"/>
            <w:vAlign w:val="center"/>
          </w:tcPr>
          <w:p w14:paraId="67BC059E">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29D4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1064E5F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7404" w:type="dxa"/>
            <w:gridSpan w:val="5"/>
            <w:noWrap w:val="0"/>
            <w:vAlign w:val="center"/>
          </w:tcPr>
          <w:p w14:paraId="69D2414A">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生活垃圾交由环卫部门统一进行处理；一般固废</w:t>
            </w:r>
            <w:r>
              <w:rPr>
                <w:rFonts w:hint="default" w:ascii="Times New Roman" w:hAnsi="Times New Roman" w:eastAsia="宋体" w:cs="Times New Roman"/>
                <w:color w:val="auto"/>
                <w:highlight w:val="none"/>
                <w:lang w:val="en-US" w:eastAsia="zh-CN"/>
              </w:rPr>
              <w:t>收集后外售综合利用</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危险废物</w:t>
            </w:r>
            <w:r>
              <w:rPr>
                <w:rFonts w:hint="default" w:ascii="Times New Roman" w:hAnsi="Times New Roman" w:eastAsia="宋体" w:cs="Times New Roman"/>
                <w:color w:val="auto"/>
                <w:highlight w:val="none"/>
              </w:rPr>
              <w:t>分类收集后暂存危废仓库，定期交由有资质的单位处置。</w:t>
            </w:r>
          </w:p>
        </w:tc>
      </w:tr>
      <w:tr w14:paraId="21FF6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3AB3C1A0">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土壤及地下水污染防治措施</w:t>
            </w:r>
          </w:p>
        </w:tc>
        <w:tc>
          <w:tcPr>
            <w:tcW w:w="7404" w:type="dxa"/>
            <w:gridSpan w:val="5"/>
            <w:noWrap w:val="0"/>
            <w:vAlign w:val="center"/>
          </w:tcPr>
          <w:p w14:paraId="261EB7B3">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车间地面均进行了防渗、防腐处理；危废堆场严格按照《危险废物贮存污染控制标准》（GB18597-2023）、《危险废物识别标志设置技术规范》（HJ1276-2022）和《省生态环境厅关于印发《江苏省固体废物全过程环境监管工作意见》的通知》（苏环办[2024]16号）的要求规范建设和维护使用。</w:t>
            </w:r>
          </w:p>
        </w:tc>
      </w:tr>
      <w:tr w14:paraId="52ADA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96" w:type="dxa"/>
            <w:noWrap w:val="0"/>
            <w:vAlign w:val="center"/>
          </w:tcPr>
          <w:p w14:paraId="39279C0F">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生态保护措施</w:t>
            </w:r>
          </w:p>
        </w:tc>
        <w:tc>
          <w:tcPr>
            <w:tcW w:w="7404" w:type="dxa"/>
            <w:gridSpan w:val="5"/>
            <w:noWrap w:val="0"/>
            <w:vAlign w:val="center"/>
          </w:tcPr>
          <w:p w14:paraId="73486A20">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07FAB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396" w:type="dxa"/>
            <w:noWrap w:val="0"/>
            <w:vAlign w:val="center"/>
          </w:tcPr>
          <w:p w14:paraId="48D4C3A8">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w:t>
            </w:r>
          </w:p>
          <w:p w14:paraId="0E11530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防范措施</w:t>
            </w:r>
          </w:p>
        </w:tc>
        <w:tc>
          <w:tcPr>
            <w:tcW w:w="7404" w:type="dxa"/>
            <w:gridSpan w:val="5"/>
            <w:noWrap w:val="0"/>
            <w:vAlign w:val="center"/>
          </w:tcPr>
          <w:p w14:paraId="1CA476B0">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须认真落实各项预防和应急措施，完善仓库管理制度，定期及不定期对储存仓库、危废仓库进行巡检，建构筑物和工艺装置区均配置消防灭火设施。企业所在园区已建设70m³事故应急池，并设置截断阀。</w:t>
            </w:r>
          </w:p>
        </w:tc>
      </w:tr>
      <w:tr w14:paraId="36678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96" w:type="dxa"/>
            <w:noWrap w:val="0"/>
            <w:vAlign w:val="center"/>
          </w:tcPr>
          <w:p w14:paraId="00384C04">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其他环境</w:t>
            </w:r>
          </w:p>
          <w:p w14:paraId="6A6DEDF5">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管理要求</w:t>
            </w:r>
          </w:p>
        </w:tc>
        <w:tc>
          <w:tcPr>
            <w:tcW w:w="7404" w:type="dxa"/>
            <w:gridSpan w:val="5"/>
            <w:noWrap w:val="0"/>
            <w:vAlign w:val="center"/>
          </w:tcPr>
          <w:p w14:paraId="5877EE16">
            <w:pPr>
              <w:pStyle w:val="75"/>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w:t>
            </w:r>
          </w:p>
        </w:tc>
      </w:tr>
    </w:tbl>
    <w:p w14:paraId="0E6393D2">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35D329EE">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六、结论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23D2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257" w:hRule="atLeast"/>
          <w:jc w:val="center"/>
        </w:trPr>
        <w:tc>
          <w:tcPr>
            <w:tcW w:w="5000" w:type="pct"/>
          </w:tcPr>
          <w:p w14:paraId="09B2EDBF">
            <w:pPr>
              <w:widowControl/>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3D801E63">
            <w:pPr>
              <w:widowControl/>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因此，在企业严格落实环保“三同时”措施后，本项目的建设，从环保的角度看是可行的。</w:t>
            </w:r>
          </w:p>
        </w:tc>
      </w:tr>
    </w:tbl>
    <w:p w14:paraId="6835DAF3">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273C5D2">
      <w:pPr>
        <w:pStyle w:val="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附表</w:t>
      </w:r>
    </w:p>
    <w:p w14:paraId="3A0E23B2">
      <w:pPr>
        <w:jc w:val="center"/>
        <w:rPr>
          <w:rFonts w:hint="default" w:ascii="Times New Roman" w:hAnsi="Times New Roman" w:eastAsia="宋体" w:cs="Times New Roman"/>
          <w:b/>
          <w:snapToGrid w:val="0"/>
          <w:color w:val="auto"/>
          <w:sz w:val="32"/>
          <w:szCs w:val="32"/>
          <w:highlight w:val="none"/>
        </w:rPr>
      </w:pPr>
      <w:r>
        <w:rPr>
          <w:rFonts w:hint="default" w:ascii="Times New Roman" w:hAnsi="Times New Roman" w:eastAsia="宋体" w:cs="Times New Roman"/>
          <w:b/>
          <w:snapToGrid w:val="0"/>
          <w:color w:val="auto"/>
          <w:sz w:val="32"/>
          <w:szCs w:val="32"/>
          <w:highlight w:val="none"/>
        </w:rPr>
        <w:t>建设项目污染物排放量汇总表  单位：t/a</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851"/>
        <w:gridCol w:w="1030"/>
        <w:gridCol w:w="1695"/>
        <w:gridCol w:w="1272"/>
        <w:gridCol w:w="1695"/>
        <w:gridCol w:w="1553"/>
        <w:gridCol w:w="1755"/>
        <w:gridCol w:w="1635"/>
        <w:gridCol w:w="1140"/>
      </w:tblGrid>
      <w:tr w14:paraId="01B58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2" w:type="dxa"/>
            <w:tcBorders>
              <w:tl2br w:val="single" w:color="auto" w:sz="4" w:space="0"/>
            </w:tcBorders>
            <w:noWrap w:val="0"/>
            <w:tcMar>
              <w:left w:w="28" w:type="dxa"/>
              <w:right w:w="28" w:type="dxa"/>
            </w:tcMar>
            <w:vAlign w:val="center"/>
          </w:tcPr>
          <w:p w14:paraId="550243C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p w14:paraId="5F138A9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p w14:paraId="470E91B1">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w:t>
            </w:r>
          </w:p>
        </w:tc>
        <w:tc>
          <w:tcPr>
            <w:tcW w:w="1881" w:type="dxa"/>
            <w:gridSpan w:val="2"/>
            <w:noWrap w:val="0"/>
            <w:tcMar>
              <w:left w:w="28" w:type="dxa"/>
              <w:right w:w="28" w:type="dxa"/>
            </w:tcMar>
            <w:vAlign w:val="center"/>
          </w:tcPr>
          <w:p w14:paraId="2A8094D3">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1695" w:type="dxa"/>
            <w:noWrap w:val="0"/>
            <w:tcMar>
              <w:left w:w="28" w:type="dxa"/>
              <w:right w:w="28" w:type="dxa"/>
            </w:tcMar>
            <w:vAlign w:val="center"/>
          </w:tcPr>
          <w:p w14:paraId="3E1B6E5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w:t>
            </w:r>
          </w:p>
          <w:p w14:paraId="7F740BB0">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p>
        </w:tc>
        <w:tc>
          <w:tcPr>
            <w:tcW w:w="1272" w:type="dxa"/>
            <w:noWrap w:val="0"/>
            <w:tcMar>
              <w:left w:w="28" w:type="dxa"/>
              <w:right w:w="28" w:type="dxa"/>
            </w:tcMar>
            <w:vAlign w:val="center"/>
          </w:tcPr>
          <w:p w14:paraId="4D30274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w:t>
            </w:r>
          </w:p>
          <w:p w14:paraId="214C1B4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许可排放量</w:t>
            </w:r>
          </w:p>
          <w:p w14:paraId="7AEA720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p>
        </w:tc>
        <w:tc>
          <w:tcPr>
            <w:tcW w:w="1695" w:type="dxa"/>
            <w:noWrap w:val="0"/>
            <w:tcMar>
              <w:left w:w="28" w:type="dxa"/>
              <w:right w:w="28" w:type="dxa"/>
            </w:tcMar>
            <w:vAlign w:val="center"/>
          </w:tcPr>
          <w:p w14:paraId="6F904B3D">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在建工程</w:t>
            </w:r>
          </w:p>
          <w:p w14:paraId="210E9C9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rPr>
              <w:fldChar w:fldCharType="end"/>
            </w:r>
          </w:p>
        </w:tc>
        <w:tc>
          <w:tcPr>
            <w:tcW w:w="1553" w:type="dxa"/>
            <w:noWrap w:val="0"/>
            <w:tcMar>
              <w:left w:w="28" w:type="dxa"/>
              <w:right w:w="28" w:type="dxa"/>
            </w:tcMar>
            <w:vAlign w:val="center"/>
          </w:tcPr>
          <w:p w14:paraId="4AA0281D">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p>
          <w:p w14:paraId="1DD560C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4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color w:val="auto"/>
                <w:sz w:val="21"/>
                <w:szCs w:val="21"/>
                <w:highlight w:val="none"/>
              </w:rPr>
              <w:fldChar w:fldCharType="end"/>
            </w:r>
          </w:p>
        </w:tc>
        <w:tc>
          <w:tcPr>
            <w:tcW w:w="1755" w:type="dxa"/>
            <w:noWrap w:val="0"/>
            <w:tcMar>
              <w:left w:w="28" w:type="dxa"/>
              <w:right w:w="28" w:type="dxa"/>
            </w:tcMar>
            <w:vAlign w:val="center"/>
          </w:tcPr>
          <w:p w14:paraId="1097A38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p w14:paraId="79FE40CB">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（新建项目不填）</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5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⑤</w:t>
            </w:r>
            <w:r>
              <w:rPr>
                <w:rFonts w:hint="default" w:ascii="Times New Roman" w:hAnsi="Times New Roman" w:eastAsia="宋体" w:cs="Times New Roman"/>
                <w:color w:val="auto"/>
                <w:sz w:val="21"/>
                <w:szCs w:val="21"/>
                <w:highlight w:val="none"/>
              </w:rPr>
              <w:fldChar w:fldCharType="end"/>
            </w:r>
          </w:p>
        </w:tc>
        <w:tc>
          <w:tcPr>
            <w:tcW w:w="1635" w:type="dxa"/>
            <w:noWrap w:val="0"/>
            <w:tcMar>
              <w:left w:w="28" w:type="dxa"/>
              <w:right w:w="28" w:type="dxa"/>
            </w:tcMar>
            <w:vAlign w:val="center"/>
          </w:tcPr>
          <w:p w14:paraId="61F3321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本项目建成后</w:t>
            </w:r>
          </w:p>
          <w:p w14:paraId="739D95C4">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全厂排放量（固体废物产生量）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6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color w:val="auto"/>
                <w:sz w:val="21"/>
                <w:szCs w:val="21"/>
                <w:highlight w:val="none"/>
              </w:rPr>
              <w:fldChar w:fldCharType="end"/>
            </w:r>
          </w:p>
        </w:tc>
        <w:tc>
          <w:tcPr>
            <w:tcW w:w="1140" w:type="dxa"/>
            <w:noWrap w:val="0"/>
            <w:tcMar>
              <w:left w:w="28" w:type="dxa"/>
              <w:right w:w="28" w:type="dxa"/>
            </w:tcMar>
            <w:vAlign w:val="center"/>
          </w:tcPr>
          <w:p w14:paraId="465180C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变化量</w:t>
            </w:r>
          </w:p>
          <w:p w14:paraId="5756B3F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7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color w:val="auto"/>
                <w:sz w:val="21"/>
                <w:szCs w:val="21"/>
                <w:highlight w:val="none"/>
              </w:rPr>
              <w:fldChar w:fldCharType="end"/>
            </w:r>
          </w:p>
        </w:tc>
      </w:tr>
      <w:tr w14:paraId="30AE8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6621E4E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51" w:type="dxa"/>
            <w:vMerge w:val="restart"/>
            <w:noWrap w:val="0"/>
            <w:vAlign w:val="center"/>
          </w:tcPr>
          <w:p w14:paraId="244E6149">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030" w:type="dxa"/>
            <w:shd w:val="clear" w:color="auto" w:fill="auto"/>
            <w:noWrap w:val="0"/>
            <w:vAlign w:val="center"/>
          </w:tcPr>
          <w:p w14:paraId="61408F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非甲烷总烃</w:t>
            </w:r>
          </w:p>
        </w:tc>
        <w:tc>
          <w:tcPr>
            <w:tcW w:w="1695" w:type="dxa"/>
            <w:shd w:val="clear" w:color="auto" w:fill="auto"/>
            <w:noWrap w:val="0"/>
            <w:vAlign w:val="center"/>
          </w:tcPr>
          <w:p w14:paraId="20E215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995BD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FCF8234">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B4740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0.0667</w:t>
            </w:r>
          </w:p>
        </w:tc>
        <w:tc>
          <w:tcPr>
            <w:tcW w:w="1755" w:type="dxa"/>
            <w:shd w:val="clear" w:color="auto" w:fill="auto"/>
            <w:noWrap w:val="0"/>
            <w:vAlign w:val="center"/>
          </w:tcPr>
          <w:p w14:paraId="37C876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C08EF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0.0667</w:t>
            </w:r>
          </w:p>
        </w:tc>
        <w:tc>
          <w:tcPr>
            <w:tcW w:w="1140" w:type="dxa"/>
            <w:shd w:val="clear" w:color="auto" w:fill="auto"/>
            <w:noWrap w:val="0"/>
            <w:vAlign w:val="center"/>
          </w:tcPr>
          <w:p w14:paraId="27D7C1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+0.0667</w:t>
            </w:r>
          </w:p>
        </w:tc>
      </w:tr>
      <w:tr w14:paraId="4BC72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02380D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33F4BA39">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shd w:val="clear" w:color="auto" w:fill="auto"/>
            <w:noWrap w:val="0"/>
            <w:vAlign w:val="center"/>
          </w:tcPr>
          <w:p w14:paraId="64DE0A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1695" w:type="dxa"/>
            <w:shd w:val="clear" w:color="auto" w:fill="auto"/>
            <w:noWrap w:val="0"/>
            <w:vAlign w:val="center"/>
          </w:tcPr>
          <w:p w14:paraId="0500F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BF319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38295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FA4BE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0.1033</w:t>
            </w:r>
          </w:p>
        </w:tc>
        <w:tc>
          <w:tcPr>
            <w:tcW w:w="1755" w:type="dxa"/>
            <w:shd w:val="clear" w:color="auto" w:fill="auto"/>
            <w:noWrap w:val="0"/>
            <w:vAlign w:val="center"/>
          </w:tcPr>
          <w:p w14:paraId="616180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6300A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0.1033</w:t>
            </w:r>
          </w:p>
        </w:tc>
        <w:tc>
          <w:tcPr>
            <w:tcW w:w="1140" w:type="dxa"/>
            <w:shd w:val="clear" w:color="auto" w:fill="auto"/>
            <w:noWrap w:val="0"/>
            <w:vAlign w:val="center"/>
          </w:tcPr>
          <w:p w14:paraId="3AC5C6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+0.1033</w:t>
            </w:r>
          </w:p>
        </w:tc>
      </w:tr>
      <w:tr w14:paraId="612E0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045C98D">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591378CB">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shd w:val="clear" w:color="auto" w:fill="auto"/>
            <w:noWrap w:val="0"/>
            <w:vAlign w:val="center"/>
          </w:tcPr>
          <w:p w14:paraId="566495A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p>
        </w:tc>
        <w:tc>
          <w:tcPr>
            <w:tcW w:w="1695" w:type="dxa"/>
            <w:shd w:val="clear" w:color="auto" w:fill="auto"/>
            <w:noWrap w:val="0"/>
            <w:vAlign w:val="center"/>
          </w:tcPr>
          <w:p w14:paraId="68983C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ED287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B151A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69CBF3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1755" w:type="dxa"/>
            <w:shd w:val="clear" w:color="auto" w:fill="auto"/>
            <w:noWrap w:val="0"/>
            <w:vAlign w:val="center"/>
          </w:tcPr>
          <w:p w14:paraId="26EB2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274CAF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0.0036</w:t>
            </w:r>
          </w:p>
        </w:tc>
        <w:tc>
          <w:tcPr>
            <w:tcW w:w="1140" w:type="dxa"/>
            <w:shd w:val="clear" w:color="auto" w:fill="auto"/>
            <w:noWrap w:val="0"/>
            <w:vAlign w:val="center"/>
          </w:tcPr>
          <w:p w14:paraId="136080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0.0036</w:t>
            </w:r>
          </w:p>
        </w:tc>
      </w:tr>
      <w:tr w14:paraId="000C2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332D18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22980038">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shd w:val="clear" w:color="auto" w:fill="auto"/>
            <w:noWrap w:val="0"/>
            <w:vAlign w:val="center"/>
          </w:tcPr>
          <w:p w14:paraId="690A243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NOx</w:t>
            </w:r>
          </w:p>
        </w:tc>
        <w:tc>
          <w:tcPr>
            <w:tcW w:w="1695" w:type="dxa"/>
            <w:shd w:val="clear" w:color="auto" w:fill="auto"/>
            <w:noWrap w:val="0"/>
            <w:vAlign w:val="center"/>
          </w:tcPr>
          <w:p w14:paraId="50E093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53A9D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44A686B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3" w:type="dxa"/>
            <w:shd w:val="clear" w:color="auto" w:fill="auto"/>
            <w:noWrap w:val="0"/>
            <w:vAlign w:val="center"/>
          </w:tcPr>
          <w:p w14:paraId="14201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c>
          <w:tcPr>
            <w:tcW w:w="1755" w:type="dxa"/>
            <w:shd w:val="clear" w:color="auto" w:fill="auto"/>
            <w:noWrap w:val="0"/>
            <w:vAlign w:val="center"/>
          </w:tcPr>
          <w:p w14:paraId="70E452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C2FF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0.0842</w:t>
            </w:r>
          </w:p>
        </w:tc>
        <w:tc>
          <w:tcPr>
            <w:tcW w:w="1140" w:type="dxa"/>
            <w:shd w:val="clear" w:color="auto" w:fill="auto"/>
            <w:noWrap w:val="0"/>
            <w:vAlign w:val="center"/>
          </w:tcPr>
          <w:p w14:paraId="4AEFB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0.0842</w:t>
            </w:r>
          </w:p>
        </w:tc>
      </w:tr>
      <w:tr w14:paraId="6BDB0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5FB7301B">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restart"/>
            <w:noWrap w:val="0"/>
            <w:vAlign w:val="center"/>
          </w:tcPr>
          <w:p w14:paraId="7E894E0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030" w:type="dxa"/>
            <w:noWrap w:val="0"/>
            <w:vAlign w:val="center"/>
          </w:tcPr>
          <w:p w14:paraId="313E02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95" w:type="dxa"/>
            <w:shd w:val="clear" w:color="auto" w:fill="auto"/>
            <w:noWrap w:val="0"/>
            <w:vAlign w:val="center"/>
          </w:tcPr>
          <w:p w14:paraId="6DB9DC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0B560EB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76F0F2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EDB81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c>
          <w:tcPr>
            <w:tcW w:w="1755" w:type="dxa"/>
            <w:shd w:val="clear" w:color="auto" w:fill="auto"/>
            <w:noWrap w:val="0"/>
            <w:vAlign w:val="center"/>
          </w:tcPr>
          <w:p w14:paraId="7DB70C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196418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c>
          <w:tcPr>
            <w:tcW w:w="1140" w:type="dxa"/>
            <w:shd w:val="clear" w:color="auto" w:fill="auto"/>
            <w:noWrap w:val="0"/>
            <w:vAlign w:val="center"/>
          </w:tcPr>
          <w:p w14:paraId="3232A7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+0.0667</w:t>
            </w:r>
          </w:p>
        </w:tc>
      </w:tr>
      <w:tr w14:paraId="66937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49223CF">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0B1F4C5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noWrap w:val="0"/>
            <w:vAlign w:val="center"/>
          </w:tcPr>
          <w:p w14:paraId="15C759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颗粒物</w:t>
            </w:r>
          </w:p>
        </w:tc>
        <w:tc>
          <w:tcPr>
            <w:tcW w:w="1695" w:type="dxa"/>
            <w:shd w:val="clear" w:color="auto" w:fill="auto"/>
            <w:noWrap w:val="0"/>
            <w:vAlign w:val="center"/>
          </w:tcPr>
          <w:p w14:paraId="3617463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11918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A0EBB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D31B1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0.1771</w:t>
            </w:r>
          </w:p>
        </w:tc>
        <w:tc>
          <w:tcPr>
            <w:tcW w:w="1755" w:type="dxa"/>
            <w:shd w:val="clear" w:color="auto" w:fill="auto"/>
            <w:noWrap w:val="0"/>
            <w:vAlign w:val="center"/>
          </w:tcPr>
          <w:p w14:paraId="58FBF5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3E54C9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0.1771</w:t>
            </w:r>
          </w:p>
        </w:tc>
        <w:tc>
          <w:tcPr>
            <w:tcW w:w="1140" w:type="dxa"/>
            <w:shd w:val="clear" w:color="auto" w:fill="auto"/>
            <w:noWrap w:val="0"/>
            <w:vAlign w:val="center"/>
          </w:tcPr>
          <w:p w14:paraId="7E328A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+0.1771</w:t>
            </w:r>
          </w:p>
        </w:tc>
      </w:tr>
      <w:tr w14:paraId="679A6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6EA9A165">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2678262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noWrap w:val="0"/>
            <w:vAlign w:val="center"/>
          </w:tcPr>
          <w:p w14:paraId="46951AD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p>
        </w:tc>
        <w:tc>
          <w:tcPr>
            <w:tcW w:w="1695" w:type="dxa"/>
            <w:shd w:val="clear" w:color="auto" w:fill="auto"/>
            <w:noWrap w:val="0"/>
            <w:vAlign w:val="center"/>
          </w:tcPr>
          <w:p w14:paraId="22D6BA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8AAF2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D8F48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570F6D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0.0004</w:t>
            </w:r>
          </w:p>
        </w:tc>
        <w:tc>
          <w:tcPr>
            <w:tcW w:w="1755" w:type="dxa"/>
            <w:shd w:val="clear" w:color="auto" w:fill="auto"/>
            <w:noWrap w:val="0"/>
            <w:vAlign w:val="center"/>
          </w:tcPr>
          <w:p w14:paraId="3AD8E7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0436FB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0.0004</w:t>
            </w:r>
          </w:p>
        </w:tc>
        <w:tc>
          <w:tcPr>
            <w:tcW w:w="1140" w:type="dxa"/>
            <w:shd w:val="clear" w:color="auto" w:fill="auto"/>
            <w:noWrap w:val="0"/>
            <w:vAlign w:val="center"/>
          </w:tcPr>
          <w:p w14:paraId="6E354F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+0.0004</w:t>
            </w:r>
          </w:p>
        </w:tc>
      </w:tr>
      <w:tr w14:paraId="0CC7B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6932839">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76A588C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noWrap w:val="0"/>
            <w:vAlign w:val="center"/>
          </w:tcPr>
          <w:p w14:paraId="78CB229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NOx</w:t>
            </w:r>
          </w:p>
        </w:tc>
        <w:tc>
          <w:tcPr>
            <w:tcW w:w="1695" w:type="dxa"/>
            <w:shd w:val="clear" w:color="auto" w:fill="auto"/>
            <w:noWrap w:val="0"/>
            <w:vAlign w:val="center"/>
          </w:tcPr>
          <w:p w14:paraId="5DD780B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A03C1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30926EEF">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3" w:type="dxa"/>
            <w:shd w:val="clear" w:color="auto" w:fill="auto"/>
            <w:noWrap w:val="0"/>
            <w:vAlign w:val="center"/>
          </w:tcPr>
          <w:p w14:paraId="31D626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0.0094</w:t>
            </w:r>
          </w:p>
        </w:tc>
        <w:tc>
          <w:tcPr>
            <w:tcW w:w="1755" w:type="dxa"/>
            <w:shd w:val="clear" w:color="auto" w:fill="auto"/>
            <w:noWrap w:val="0"/>
            <w:vAlign w:val="center"/>
          </w:tcPr>
          <w:p w14:paraId="1CD32CA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EB888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0.0094</w:t>
            </w:r>
          </w:p>
        </w:tc>
        <w:tc>
          <w:tcPr>
            <w:tcW w:w="1140" w:type="dxa"/>
            <w:shd w:val="clear" w:color="auto" w:fill="auto"/>
            <w:noWrap w:val="0"/>
            <w:vAlign w:val="center"/>
          </w:tcPr>
          <w:p w14:paraId="2794E3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r>
              <w:rPr>
                <w:rFonts w:hint="eastAsia" w:ascii="Times New Roman" w:hAnsi="Times New Roman" w:eastAsia="宋体" w:cs="Times New Roman"/>
                <w:smallCaps w:val="0"/>
                <w:color w:val="auto"/>
                <w:spacing w:val="0"/>
                <w:sz w:val="21"/>
                <w:szCs w:val="21"/>
                <w:highlight w:val="none"/>
                <w:lang w:val="en-US" w:eastAsia="zh-CN"/>
              </w:rPr>
              <w:t>0.0094</w:t>
            </w:r>
          </w:p>
        </w:tc>
      </w:tr>
      <w:tr w14:paraId="7E544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6291287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881" w:type="dxa"/>
            <w:gridSpan w:val="2"/>
            <w:shd w:val="clear" w:color="auto" w:fill="auto"/>
            <w:noWrap w:val="0"/>
            <w:vAlign w:val="center"/>
          </w:tcPr>
          <w:p w14:paraId="34D90A1C">
            <w:pPr>
              <w:pStyle w:val="1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COD</w:t>
            </w:r>
          </w:p>
        </w:tc>
        <w:tc>
          <w:tcPr>
            <w:tcW w:w="1695" w:type="dxa"/>
            <w:shd w:val="clear" w:color="auto" w:fill="auto"/>
            <w:noWrap w:val="0"/>
            <w:vAlign w:val="center"/>
          </w:tcPr>
          <w:p w14:paraId="1CE8F1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8EE42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47E7BE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ED0F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0.432</w:t>
            </w:r>
          </w:p>
        </w:tc>
        <w:tc>
          <w:tcPr>
            <w:tcW w:w="1755" w:type="dxa"/>
            <w:noWrap w:val="0"/>
            <w:vAlign w:val="center"/>
          </w:tcPr>
          <w:p w14:paraId="5A103B8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105D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0.432</w:t>
            </w:r>
          </w:p>
        </w:tc>
        <w:tc>
          <w:tcPr>
            <w:tcW w:w="1140" w:type="dxa"/>
            <w:shd w:val="clear" w:color="auto" w:fill="auto"/>
            <w:noWrap w:val="0"/>
            <w:vAlign w:val="center"/>
          </w:tcPr>
          <w:p w14:paraId="27874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+0.432</w:t>
            </w:r>
          </w:p>
        </w:tc>
      </w:tr>
      <w:tr w14:paraId="173B2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4FEC0A4">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1AA2A54B">
            <w:pPr>
              <w:pStyle w:val="1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SS</w:t>
            </w:r>
          </w:p>
        </w:tc>
        <w:tc>
          <w:tcPr>
            <w:tcW w:w="1695" w:type="dxa"/>
            <w:shd w:val="clear" w:color="auto" w:fill="auto"/>
            <w:noWrap w:val="0"/>
            <w:vAlign w:val="center"/>
          </w:tcPr>
          <w:p w14:paraId="4F6CD0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0D1D1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BDEAA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58FE47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c>
          <w:tcPr>
            <w:tcW w:w="1755" w:type="dxa"/>
            <w:noWrap w:val="0"/>
            <w:vAlign w:val="center"/>
          </w:tcPr>
          <w:p w14:paraId="3BC0A3E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C372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c>
          <w:tcPr>
            <w:tcW w:w="1140" w:type="dxa"/>
            <w:shd w:val="clear" w:color="auto" w:fill="auto"/>
            <w:noWrap w:val="0"/>
            <w:vAlign w:val="center"/>
          </w:tcPr>
          <w:p w14:paraId="48766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r>
      <w:tr w14:paraId="5E339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592BFA0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4F21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695" w:type="dxa"/>
            <w:shd w:val="clear" w:color="auto" w:fill="auto"/>
            <w:noWrap w:val="0"/>
            <w:vAlign w:val="center"/>
          </w:tcPr>
          <w:p w14:paraId="41144D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53D1D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01BEAA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626DD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1755" w:type="dxa"/>
            <w:noWrap w:val="0"/>
            <w:vAlign w:val="center"/>
          </w:tcPr>
          <w:p w14:paraId="4A7BDED0">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BEFA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c>
          <w:tcPr>
            <w:tcW w:w="1140" w:type="dxa"/>
            <w:shd w:val="clear" w:color="auto" w:fill="auto"/>
            <w:noWrap w:val="0"/>
            <w:vAlign w:val="center"/>
          </w:tcPr>
          <w:p w14:paraId="77207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+0.027</w:t>
            </w:r>
          </w:p>
        </w:tc>
      </w:tr>
      <w:tr w14:paraId="1CCFA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28FC3B6">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35384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p>
        </w:tc>
        <w:tc>
          <w:tcPr>
            <w:tcW w:w="1695" w:type="dxa"/>
            <w:shd w:val="clear" w:color="auto" w:fill="auto"/>
            <w:noWrap w:val="0"/>
            <w:vAlign w:val="center"/>
          </w:tcPr>
          <w:p w14:paraId="5FA438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6BEE2E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4C6A80B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87774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0.0378</w:t>
            </w:r>
          </w:p>
        </w:tc>
        <w:tc>
          <w:tcPr>
            <w:tcW w:w="1755" w:type="dxa"/>
            <w:noWrap w:val="0"/>
            <w:vAlign w:val="center"/>
          </w:tcPr>
          <w:p w14:paraId="44501344">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E0CB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0.0378</w:t>
            </w:r>
          </w:p>
        </w:tc>
        <w:tc>
          <w:tcPr>
            <w:tcW w:w="1140" w:type="dxa"/>
            <w:shd w:val="clear" w:color="auto" w:fill="auto"/>
            <w:noWrap w:val="0"/>
            <w:vAlign w:val="center"/>
          </w:tcPr>
          <w:p w14:paraId="6B39B1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+0.0378</w:t>
            </w:r>
          </w:p>
        </w:tc>
      </w:tr>
      <w:tr w14:paraId="617F4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657CD9CE">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77808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TP</w:t>
            </w:r>
          </w:p>
        </w:tc>
        <w:tc>
          <w:tcPr>
            <w:tcW w:w="1695" w:type="dxa"/>
            <w:shd w:val="clear" w:color="auto" w:fill="auto"/>
            <w:noWrap w:val="0"/>
            <w:vAlign w:val="center"/>
          </w:tcPr>
          <w:p w14:paraId="5AE7BD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866D6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738C69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5DFAB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c>
          <w:tcPr>
            <w:tcW w:w="1755" w:type="dxa"/>
            <w:noWrap w:val="0"/>
            <w:vAlign w:val="center"/>
          </w:tcPr>
          <w:p w14:paraId="503C7265">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C7D7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c>
          <w:tcPr>
            <w:tcW w:w="1140" w:type="dxa"/>
            <w:shd w:val="clear" w:color="auto" w:fill="auto"/>
            <w:noWrap w:val="0"/>
            <w:vAlign w:val="center"/>
          </w:tcPr>
          <w:p w14:paraId="5EA44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r>
      <w:tr w14:paraId="6109C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64143048">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w:t>
            </w:r>
          </w:p>
          <w:p w14:paraId="51DC00BA">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881" w:type="dxa"/>
            <w:gridSpan w:val="2"/>
            <w:shd w:val="clear" w:color="auto" w:fill="auto"/>
            <w:noWrap w:val="0"/>
            <w:vAlign w:val="center"/>
          </w:tcPr>
          <w:p w14:paraId="6A6F1D1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边角料</w:t>
            </w:r>
          </w:p>
        </w:tc>
        <w:tc>
          <w:tcPr>
            <w:tcW w:w="1695" w:type="dxa"/>
            <w:noWrap w:val="0"/>
            <w:vAlign w:val="center"/>
          </w:tcPr>
          <w:p w14:paraId="4F8DDE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4605C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39C5AE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B26695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755" w:type="dxa"/>
            <w:noWrap w:val="0"/>
            <w:vAlign w:val="center"/>
          </w:tcPr>
          <w:p w14:paraId="2693DC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49AAF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140" w:type="dxa"/>
            <w:noWrap w:val="0"/>
            <w:vAlign w:val="center"/>
          </w:tcPr>
          <w:p w14:paraId="6138332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r>
      <w:tr w14:paraId="63AF0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3E13163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651B1F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废包装纸</w:t>
            </w:r>
          </w:p>
        </w:tc>
        <w:tc>
          <w:tcPr>
            <w:tcW w:w="1695" w:type="dxa"/>
            <w:noWrap w:val="0"/>
            <w:vAlign w:val="center"/>
          </w:tcPr>
          <w:p w14:paraId="65E399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B66E9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4968F0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FED952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1755" w:type="dxa"/>
            <w:shd w:val="clear" w:color="auto" w:fill="auto"/>
            <w:noWrap w:val="0"/>
            <w:vAlign w:val="center"/>
          </w:tcPr>
          <w:p w14:paraId="2F31E8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7F0EAA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1140" w:type="dxa"/>
            <w:noWrap w:val="0"/>
            <w:vAlign w:val="center"/>
          </w:tcPr>
          <w:p w14:paraId="7AFD1CB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r>
      <w:tr w14:paraId="05334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967DABF">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55B3A7A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废滤芯</w:t>
            </w:r>
          </w:p>
        </w:tc>
        <w:tc>
          <w:tcPr>
            <w:tcW w:w="1695" w:type="dxa"/>
            <w:noWrap w:val="0"/>
            <w:vAlign w:val="center"/>
          </w:tcPr>
          <w:p w14:paraId="4D982A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A76E1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0A2A8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F12602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755" w:type="dxa"/>
            <w:shd w:val="clear" w:color="auto" w:fill="auto"/>
            <w:noWrap w:val="0"/>
            <w:vAlign w:val="center"/>
          </w:tcPr>
          <w:p w14:paraId="4EE1AA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CAD649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40" w:type="dxa"/>
            <w:noWrap w:val="0"/>
            <w:vAlign w:val="center"/>
          </w:tcPr>
          <w:p w14:paraId="75923E4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r>
      <w:tr w14:paraId="70C78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65020F3">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71AE295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废滤筒</w:t>
            </w:r>
          </w:p>
        </w:tc>
        <w:tc>
          <w:tcPr>
            <w:tcW w:w="1695" w:type="dxa"/>
            <w:noWrap w:val="0"/>
            <w:vAlign w:val="center"/>
          </w:tcPr>
          <w:p w14:paraId="496CF4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5D6C1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01977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AA9007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755" w:type="dxa"/>
            <w:noWrap w:val="0"/>
            <w:vAlign w:val="center"/>
          </w:tcPr>
          <w:p w14:paraId="7BFD1F4D">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35" w:type="dxa"/>
            <w:shd w:val="clear" w:color="auto" w:fill="auto"/>
            <w:noWrap w:val="0"/>
            <w:vAlign w:val="center"/>
          </w:tcPr>
          <w:p w14:paraId="3D3932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40" w:type="dxa"/>
            <w:noWrap w:val="0"/>
            <w:vAlign w:val="center"/>
          </w:tcPr>
          <w:p w14:paraId="7868D3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r>
      <w:tr w14:paraId="20F1D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C2B8D00">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C8097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除尘灰</w:t>
            </w:r>
          </w:p>
        </w:tc>
        <w:tc>
          <w:tcPr>
            <w:tcW w:w="1695" w:type="dxa"/>
            <w:noWrap w:val="0"/>
            <w:vAlign w:val="center"/>
          </w:tcPr>
          <w:p w14:paraId="10991F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F5D64B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DF662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417320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2.8</w:t>
            </w:r>
          </w:p>
        </w:tc>
        <w:tc>
          <w:tcPr>
            <w:tcW w:w="1755" w:type="dxa"/>
            <w:noWrap w:val="0"/>
            <w:vAlign w:val="center"/>
          </w:tcPr>
          <w:p w14:paraId="43BF62D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9DFF9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2.8</w:t>
            </w:r>
          </w:p>
        </w:tc>
        <w:tc>
          <w:tcPr>
            <w:tcW w:w="1140" w:type="dxa"/>
            <w:noWrap w:val="0"/>
            <w:vAlign w:val="center"/>
          </w:tcPr>
          <w:p w14:paraId="56FB1A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2.8</w:t>
            </w:r>
          </w:p>
        </w:tc>
      </w:tr>
      <w:tr w14:paraId="5A0F8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7C2F2B68">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881" w:type="dxa"/>
            <w:gridSpan w:val="2"/>
            <w:shd w:val="clear" w:color="auto" w:fill="auto"/>
            <w:noWrap w:val="0"/>
            <w:vAlign w:val="center"/>
          </w:tcPr>
          <w:p w14:paraId="3486F4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含胶废物</w:t>
            </w:r>
          </w:p>
        </w:tc>
        <w:tc>
          <w:tcPr>
            <w:tcW w:w="1695" w:type="dxa"/>
            <w:shd w:val="clear" w:color="auto" w:fill="auto"/>
            <w:noWrap w:val="0"/>
            <w:vAlign w:val="center"/>
          </w:tcPr>
          <w:p w14:paraId="47514F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C36AB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A2289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4635ED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755" w:type="dxa"/>
            <w:noWrap w:val="0"/>
            <w:vAlign w:val="center"/>
          </w:tcPr>
          <w:p w14:paraId="168C16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E3588A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140" w:type="dxa"/>
            <w:shd w:val="clear" w:color="auto" w:fill="auto"/>
            <w:noWrap w:val="0"/>
            <w:vAlign w:val="center"/>
          </w:tcPr>
          <w:p w14:paraId="521466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r>
      <w:tr w14:paraId="037D1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2379C8C">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3F170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废包装物</w:t>
            </w:r>
          </w:p>
        </w:tc>
        <w:tc>
          <w:tcPr>
            <w:tcW w:w="1695" w:type="dxa"/>
            <w:noWrap w:val="0"/>
            <w:vAlign w:val="center"/>
          </w:tcPr>
          <w:p w14:paraId="5C393C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91BCC7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A7969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0630CB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2.04</w:t>
            </w:r>
          </w:p>
        </w:tc>
        <w:tc>
          <w:tcPr>
            <w:tcW w:w="1755" w:type="dxa"/>
            <w:noWrap w:val="0"/>
            <w:vAlign w:val="center"/>
          </w:tcPr>
          <w:p w14:paraId="671736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B9F91B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2.04</w:t>
            </w:r>
          </w:p>
        </w:tc>
        <w:tc>
          <w:tcPr>
            <w:tcW w:w="1140" w:type="dxa"/>
            <w:shd w:val="clear" w:color="auto" w:fill="auto"/>
            <w:noWrap w:val="0"/>
            <w:vAlign w:val="center"/>
          </w:tcPr>
          <w:p w14:paraId="3FA550C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2.04</w:t>
            </w:r>
          </w:p>
        </w:tc>
      </w:tr>
      <w:tr w14:paraId="7D880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68B66D5C">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7C6286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含油</w:t>
            </w:r>
            <w:r>
              <w:rPr>
                <w:rStyle w:val="84"/>
                <w:rFonts w:hint="default" w:ascii="Times New Roman" w:hAnsi="Times New Roman" w:cs="Times New Roman"/>
                <w:color w:val="auto"/>
                <w:highlight w:val="none"/>
                <w:lang w:val="en-US" w:eastAsia="zh-CN" w:bidi="ar"/>
              </w:rPr>
              <w:t>抹布手套</w:t>
            </w:r>
          </w:p>
        </w:tc>
        <w:tc>
          <w:tcPr>
            <w:tcW w:w="1695" w:type="dxa"/>
            <w:noWrap w:val="0"/>
            <w:vAlign w:val="center"/>
          </w:tcPr>
          <w:p w14:paraId="661666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44355F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ABB613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7B2DE9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755" w:type="dxa"/>
            <w:noWrap w:val="0"/>
            <w:vAlign w:val="center"/>
          </w:tcPr>
          <w:p w14:paraId="1FF060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767825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140" w:type="dxa"/>
            <w:shd w:val="clear" w:color="auto" w:fill="auto"/>
            <w:noWrap w:val="0"/>
            <w:vAlign w:val="center"/>
          </w:tcPr>
          <w:p w14:paraId="0E52BB7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r>
      <w:tr w14:paraId="77EA7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363F4A8">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0698E4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废活性炭</w:t>
            </w:r>
          </w:p>
        </w:tc>
        <w:tc>
          <w:tcPr>
            <w:tcW w:w="1695" w:type="dxa"/>
            <w:noWrap w:val="0"/>
            <w:vAlign w:val="center"/>
          </w:tcPr>
          <w:p w14:paraId="081CE5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E2CD9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9AA40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CA9CA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6.638</w:t>
            </w:r>
          </w:p>
        </w:tc>
        <w:tc>
          <w:tcPr>
            <w:tcW w:w="1755" w:type="dxa"/>
            <w:noWrap w:val="0"/>
            <w:vAlign w:val="center"/>
          </w:tcPr>
          <w:p w14:paraId="45DB95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1FA78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6.638</w:t>
            </w:r>
          </w:p>
        </w:tc>
        <w:tc>
          <w:tcPr>
            <w:tcW w:w="1140" w:type="dxa"/>
            <w:shd w:val="clear" w:color="auto" w:fill="auto"/>
            <w:noWrap w:val="0"/>
            <w:vAlign w:val="center"/>
          </w:tcPr>
          <w:p w14:paraId="22375B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6.638</w:t>
            </w:r>
          </w:p>
        </w:tc>
      </w:tr>
      <w:tr w14:paraId="5C791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3A8382FD">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0A7B31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污泥</w:t>
            </w:r>
          </w:p>
        </w:tc>
        <w:tc>
          <w:tcPr>
            <w:tcW w:w="1695" w:type="dxa"/>
            <w:noWrap w:val="0"/>
            <w:vAlign w:val="center"/>
          </w:tcPr>
          <w:p w14:paraId="0796AC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C6900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365AA0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AF18B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1755" w:type="dxa"/>
            <w:noWrap w:val="0"/>
            <w:vAlign w:val="center"/>
          </w:tcPr>
          <w:p w14:paraId="10BE401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9E228F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1140" w:type="dxa"/>
            <w:shd w:val="clear" w:color="auto" w:fill="auto"/>
            <w:noWrap w:val="0"/>
            <w:vAlign w:val="center"/>
          </w:tcPr>
          <w:p w14:paraId="0AE9E46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2.2</w:t>
            </w:r>
          </w:p>
        </w:tc>
      </w:tr>
      <w:tr w14:paraId="74477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819F17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5AE206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污水处理站浓水</w:t>
            </w:r>
          </w:p>
        </w:tc>
        <w:tc>
          <w:tcPr>
            <w:tcW w:w="1695" w:type="dxa"/>
            <w:noWrap w:val="0"/>
            <w:vAlign w:val="center"/>
          </w:tcPr>
          <w:p w14:paraId="1D7F36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C681C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FFF6C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041B8C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6.45</w:t>
            </w:r>
          </w:p>
        </w:tc>
        <w:tc>
          <w:tcPr>
            <w:tcW w:w="1755" w:type="dxa"/>
            <w:noWrap w:val="0"/>
            <w:vAlign w:val="center"/>
          </w:tcPr>
          <w:p w14:paraId="75C5A0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95773F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6.45</w:t>
            </w:r>
          </w:p>
        </w:tc>
        <w:tc>
          <w:tcPr>
            <w:tcW w:w="1140" w:type="dxa"/>
            <w:shd w:val="clear" w:color="auto" w:fill="auto"/>
            <w:noWrap w:val="0"/>
            <w:vAlign w:val="center"/>
          </w:tcPr>
          <w:p w14:paraId="7E5826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6.45</w:t>
            </w:r>
          </w:p>
        </w:tc>
      </w:tr>
      <w:tr w14:paraId="7F4EE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noWrap w:val="0"/>
            <w:vAlign w:val="center"/>
          </w:tcPr>
          <w:p w14:paraId="5E433AA7">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881" w:type="dxa"/>
            <w:gridSpan w:val="2"/>
            <w:noWrap w:val="0"/>
            <w:vAlign w:val="center"/>
          </w:tcPr>
          <w:p w14:paraId="490EB1F3">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695" w:type="dxa"/>
            <w:noWrap w:val="0"/>
            <w:vAlign w:val="center"/>
          </w:tcPr>
          <w:p w14:paraId="7B5C52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272" w:type="dxa"/>
            <w:noWrap w:val="0"/>
            <w:vAlign w:val="center"/>
          </w:tcPr>
          <w:p w14:paraId="0E8723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0B52304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noWrap w:val="0"/>
            <w:vAlign w:val="center"/>
          </w:tcPr>
          <w:p w14:paraId="1E9C8C4B">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6.75</w:t>
            </w:r>
          </w:p>
        </w:tc>
        <w:tc>
          <w:tcPr>
            <w:tcW w:w="1755" w:type="dxa"/>
            <w:noWrap w:val="0"/>
            <w:vAlign w:val="center"/>
          </w:tcPr>
          <w:p w14:paraId="137F7B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0732EF1">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6.75</w:t>
            </w:r>
          </w:p>
        </w:tc>
        <w:tc>
          <w:tcPr>
            <w:tcW w:w="1140" w:type="dxa"/>
            <w:noWrap w:val="0"/>
            <w:vAlign w:val="center"/>
          </w:tcPr>
          <w:p w14:paraId="4E00AC39">
            <w:pPr>
              <w:pStyle w:val="7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+6.75</w:t>
            </w:r>
          </w:p>
        </w:tc>
      </w:tr>
    </w:tbl>
    <w:p w14:paraId="4A001AC6">
      <w:pPr>
        <w:pStyle w:val="47"/>
        <w:spacing w:beforeLines="0" w:afterLines="0" w:line="240" w:lineRule="auto"/>
        <w:jc w:val="left"/>
        <w:rPr>
          <w:rFonts w:hint="default" w:ascii="Times New Roman" w:hAnsi="Times New Roman" w:eastAsia="宋体" w:cs="Times New Roman"/>
          <w:color w:val="auto"/>
          <w:highlight w:val="none"/>
        </w:rPr>
      </w:pPr>
      <w:r>
        <w:rPr>
          <w:rFonts w:hint="default" w:ascii="Times New Roman" w:hAnsi="Times New Roman" w:eastAsia="仿宋" w:cs="Times New Roman"/>
          <w:snapToGrid w:val="0"/>
          <w:color w:val="auto"/>
          <w:kern w:val="21"/>
          <w:szCs w:val="21"/>
          <w:highlight w:val="none"/>
        </w:rPr>
        <w:t>注：</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3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4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5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7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p>
    <w:p w14:paraId="6631E5B9">
      <w:pPr>
        <w:rPr>
          <w:rFonts w:hint="default" w:ascii="Times New Roman" w:hAnsi="Times New Roman" w:eastAsia="宋体" w:cs="Times New Roman"/>
          <w:color w:val="auto"/>
          <w:highlight w:val="none"/>
        </w:rPr>
        <w:sectPr>
          <w:footerReference r:id="rId4"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69324F50">
      <w:pPr>
        <w:widowControl/>
        <w:spacing w:line="360" w:lineRule="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附件</w:t>
      </w:r>
    </w:p>
    <w:p w14:paraId="78F79635">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附件1 </w:t>
      </w:r>
      <w:r>
        <w:rPr>
          <w:rFonts w:hint="eastAsia" w:ascii="Times New Roman" w:hAnsi="Times New Roman" w:eastAsia="宋体" w:cs="Times New Roman"/>
          <w:color w:val="auto"/>
          <w:kern w:val="0"/>
          <w:sz w:val="24"/>
          <w:szCs w:val="24"/>
          <w:highlight w:val="none"/>
          <w:lang w:val="en-US" w:eastAsia="zh-CN"/>
        </w:rPr>
        <w:t>环评委托书</w:t>
      </w:r>
    </w:p>
    <w:p w14:paraId="3AD600D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附件2 立项备案表</w:t>
      </w:r>
    </w:p>
    <w:p w14:paraId="098625A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 xml:space="preserve">附件3 </w:t>
      </w:r>
      <w:r>
        <w:rPr>
          <w:rFonts w:hint="default" w:ascii="Times New Roman" w:hAnsi="Times New Roman" w:eastAsia="宋体" w:cs="Times New Roman"/>
          <w:color w:val="auto"/>
          <w:kern w:val="0"/>
          <w:sz w:val="24"/>
          <w:szCs w:val="24"/>
          <w:highlight w:val="none"/>
          <w:lang w:val="en-US" w:eastAsia="zh-CN"/>
        </w:rPr>
        <w:t>营业执照</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法人身份证复印件</w:t>
      </w:r>
    </w:p>
    <w:p w14:paraId="47C53279">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附件4 </w:t>
      </w:r>
      <w:r>
        <w:rPr>
          <w:rFonts w:hint="eastAsia" w:ascii="Times New Roman" w:hAnsi="Times New Roman" w:eastAsia="宋体" w:cs="Times New Roman"/>
          <w:color w:val="auto"/>
          <w:kern w:val="0"/>
          <w:sz w:val="24"/>
          <w:szCs w:val="24"/>
          <w:highlight w:val="none"/>
          <w:lang w:val="en-US" w:eastAsia="zh-CN"/>
        </w:rPr>
        <w:t>土地证、厂房售卖情况</w:t>
      </w:r>
    </w:p>
    <w:p w14:paraId="2E663760">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 xml:space="preserve"> 危废处置承诺</w:t>
      </w:r>
    </w:p>
    <w:p w14:paraId="4571916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 xml:space="preserve"> 环境质量现状监测报告</w:t>
      </w:r>
    </w:p>
    <w:p w14:paraId="291B1D2D">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7</w:t>
      </w:r>
      <w:r>
        <w:rPr>
          <w:rFonts w:hint="default" w:ascii="Times New Roman" w:hAnsi="Times New Roman" w:eastAsia="宋体" w:cs="Times New Roman"/>
          <w:color w:val="auto"/>
          <w:kern w:val="0"/>
          <w:sz w:val="24"/>
          <w:szCs w:val="24"/>
          <w:highlight w:val="none"/>
          <w:lang w:val="en-US" w:eastAsia="zh-CN"/>
        </w:rPr>
        <w:t xml:space="preserve"> 建设项目环境影响申报乡镇（街道）审查表</w:t>
      </w:r>
    </w:p>
    <w:p w14:paraId="6BE7D86D">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 xml:space="preserve"> 拟接管协议</w:t>
      </w:r>
    </w:p>
    <w:p w14:paraId="116BD956">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rPr>
        <w:t>环评工程师现场工作影像资料</w:t>
      </w:r>
    </w:p>
    <w:p w14:paraId="24B23CC7">
      <w:pPr>
        <w:widowControl/>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lang w:val="en-US" w:eastAsia="zh-CN"/>
        </w:rPr>
        <w:t xml:space="preserve"> </w:t>
      </w:r>
      <w:r>
        <w:rPr>
          <w:rFonts w:hint="eastAsia" w:ascii="Times New Roman" w:hAnsi="Times New Roman" w:eastAsia="宋体" w:cs="Times New Roman"/>
          <w:b w:val="0"/>
          <w:bCs w:val="0"/>
          <w:color w:val="auto"/>
          <w:kern w:val="0"/>
          <w:sz w:val="24"/>
          <w:szCs w:val="24"/>
          <w:highlight w:val="none"/>
          <w:lang w:val="en-US" w:eastAsia="zh-CN"/>
        </w:rPr>
        <w:t>全文本公开证明材料，同意公开全文本信息</w:t>
      </w:r>
    </w:p>
    <w:p w14:paraId="34A965D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 xml:space="preserve"> 建设单位承诺书</w:t>
      </w:r>
    </w:p>
    <w:p w14:paraId="3AAD5077">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 xml:space="preserve"> 技术服务合同</w:t>
      </w:r>
    </w:p>
    <w:p w14:paraId="5D5FCE73">
      <w:pPr>
        <w:widowControl/>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附件13 水性胶VOC含量检测报告</w:t>
      </w:r>
    </w:p>
    <w:p w14:paraId="5CA3AACF">
      <w:pPr>
        <w:pStyle w:val="2"/>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 xml:space="preserve">    附件14 原辅料msds</w:t>
      </w:r>
    </w:p>
    <w:p w14:paraId="6B4D829F">
      <w:pPr>
        <w:widowControl/>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rPr>
        <w:t>废水处理方案</w:t>
      </w:r>
    </w:p>
    <w:p w14:paraId="1D25E50D">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附件16 三线一单综合查询报告书</w:t>
      </w:r>
    </w:p>
    <w:p w14:paraId="0FC3BBD0">
      <w:pPr>
        <w:widowControl/>
        <w:spacing w:line="360" w:lineRule="auto"/>
        <w:rPr>
          <w:rFonts w:hint="default" w:ascii="Times New Roman" w:hAnsi="Times New Roman" w:eastAsia="宋体" w:cs="Times New Roman"/>
          <w:b/>
          <w:bCs/>
          <w:color w:val="auto"/>
          <w:kern w:val="0"/>
          <w:sz w:val="24"/>
          <w:szCs w:val="24"/>
          <w:highlight w:val="none"/>
          <w:lang w:val="en-US" w:eastAsia="zh-CN"/>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586EA73">
      <w:pPr>
        <w:widowControl/>
        <w:spacing w:line="360" w:lineRule="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附图</w:t>
      </w:r>
    </w:p>
    <w:p w14:paraId="2D361624">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附图1 地理位置图</w:t>
      </w:r>
    </w:p>
    <w:p w14:paraId="41A5A74C">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附图2 项目周边</w:t>
      </w:r>
      <w:r>
        <w:rPr>
          <w:rFonts w:hint="eastAsia" w:ascii="Times New Roman" w:hAnsi="Times New Roman" w:eastAsia="宋体" w:cs="Times New Roman"/>
          <w:color w:val="auto"/>
          <w:kern w:val="0"/>
          <w:sz w:val="24"/>
          <w:szCs w:val="24"/>
          <w:highlight w:val="none"/>
          <w:lang w:val="en-US" w:eastAsia="zh-CN"/>
        </w:rPr>
        <w:t>500m</w:t>
      </w:r>
      <w:r>
        <w:rPr>
          <w:rFonts w:hint="default" w:ascii="Times New Roman" w:hAnsi="Times New Roman" w:eastAsia="宋体" w:cs="Times New Roman"/>
          <w:color w:val="auto"/>
          <w:kern w:val="0"/>
          <w:sz w:val="24"/>
          <w:szCs w:val="24"/>
          <w:highlight w:val="none"/>
          <w:lang w:val="en-US" w:eastAsia="zh-CN"/>
        </w:rPr>
        <w:t>用地现状图</w:t>
      </w:r>
    </w:p>
    <w:p w14:paraId="4AE265FE">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附图3 </w:t>
      </w:r>
      <w:r>
        <w:rPr>
          <w:rFonts w:hint="eastAsia" w:ascii="Times New Roman" w:hAnsi="Times New Roman" w:eastAsia="宋体" w:cs="Times New Roman"/>
          <w:color w:val="auto"/>
          <w:kern w:val="0"/>
          <w:sz w:val="24"/>
          <w:szCs w:val="24"/>
          <w:highlight w:val="none"/>
          <w:lang w:val="en-US" w:eastAsia="zh-CN"/>
        </w:rPr>
        <w:t>厂区</w:t>
      </w:r>
      <w:r>
        <w:rPr>
          <w:rFonts w:hint="default" w:ascii="Times New Roman" w:hAnsi="Times New Roman" w:eastAsia="宋体" w:cs="Times New Roman"/>
          <w:color w:val="auto"/>
          <w:kern w:val="0"/>
          <w:sz w:val="24"/>
          <w:szCs w:val="24"/>
          <w:highlight w:val="none"/>
          <w:lang w:val="en-US" w:eastAsia="zh-CN"/>
        </w:rPr>
        <w:t>平面布置图</w:t>
      </w:r>
    </w:p>
    <w:p w14:paraId="2CC697DA">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附图4 </w:t>
      </w:r>
      <w:r>
        <w:rPr>
          <w:rFonts w:hint="eastAsia" w:ascii="Times New Roman" w:hAnsi="Times New Roman" w:eastAsia="宋体" w:cs="Times New Roman"/>
          <w:color w:val="auto"/>
          <w:kern w:val="0"/>
          <w:sz w:val="24"/>
          <w:szCs w:val="24"/>
          <w:highlight w:val="none"/>
          <w:lang w:val="en-US" w:eastAsia="zh-CN"/>
        </w:rPr>
        <w:t>常州市生态空间保护区域分布图</w:t>
      </w:r>
    </w:p>
    <w:p w14:paraId="105DE86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附图5 土地利用规划图</w:t>
      </w:r>
    </w:p>
    <w:p w14:paraId="6C11DAE6">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附图6 区域水系及地表水监测断面示意图 </w:t>
      </w:r>
    </w:p>
    <w:p w14:paraId="1B05AFC8">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附图7 常州市环境管控单元图</w:t>
      </w:r>
    </w:p>
    <w:p w14:paraId="476CD92D">
      <w:pPr>
        <w:widowControl/>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附图8 江苏省2023年生态环境分区管控动态更新成果图</w:t>
      </w:r>
    </w:p>
    <w:p w14:paraId="5FD6E0E1">
      <w:pPr>
        <w:widowControl/>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附图9 三区三线图</w:t>
      </w:r>
    </w:p>
    <w:p w14:paraId="0A546352">
      <w:pPr>
        <w:widowControl/>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附图10 金坛区中心城区声环境功能区划图</w:t>
      </w:r>
    </w:p>
    <w:p w14:paraId="7617352C">
      <w:pPr>
        <w:pStyle w:val="2"/>
        <w:rPr>
          <w:rFonts w:hint="default"/>
          <w:color w:val="auto"/>
          <w:highlight w:val="none"/>
          <w:lang w:val="en-US" w:eastAsia="zh-CN"/>
        </w:rPr>
      </w:pPr>
    </w:p>
    <w:p w14:paraId="5A220AC4">
      <w:pPr>
        <w:rPr>
          <w:rFonts w:hint="default" w:ascii="Times New Roman" w:hAnsi="Times New Roman" w:eastAsia="宋体" w:cs="Times New Roman"/>
          <w:color w:val="auto"/>
          <w:sz w:val="24"/>
          <w:highlight w:val="none"/>
        </w:rPr>
      </w:pPr>
    </w:p>
    <w:p w14:paraId="7CC1E497">
      <w:pPr>
        <w:rPr>
          <w:rFonts w:hint="default" w:ascii="Times New Roman" w:hAnsi="Times New Roman" w:eastAsia="宋体" w:cs="Times New Roman"/>
          <w:color w:val="auto"/>
          <w:sz w:val="24"/>
          <w:highlight w:val="none"/>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1156"/>
      <w:docPartObj>
        <w:docPartGallery w:val="autotext"/>
      </w:docPartObj>
    </w:sdtPr>
    <w:sdtEndPr>
      <w:rPr>
        <w:rFonts w:ascii="Times New Roman" w:hAnsi="Times New Roman" w:cs="Times New Roman"/>
      </w:rPr>
    </w:sdtEndPr>
    <w:sdtContent>
      <w:p w14:paraId="00D29CA7">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ECA91">
    <w:pPr>
      <w:pStyle w:val="17"/>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26EF1CD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26EF1CD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F183">
    <w:pPr>
      <w:pStyle w:val="17"/>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D6BF6">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47AD6BF6">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A61D061A"/>
    <w:multiLevelType w:val="singleLevel"/>
    <w:tmpl w:val="A61D061A"/>
    <w:lvl w:ilvl="0" w:tentative="0">
      <w:start w:val="3"/>
      <w:numFmt w:val="decimal"/>
      <w:suff w:val="nothing"/>
      <w:lvlText w:val="%1）"/>
      <w:lvlJc w:val="left"/>
    </w:lvl>
  </w:abstractNum>
  <w:abstractNum w:abstractNumId="2">
    <w:nsid w:val="A7222A09"/>
    <w:multiLevelType w:val="singleLevel"/>
    <w:tmpl w:val="A7222A09"/>
    <w:lvl w:ilvl="0" w:tentative="0">
      <w:start w:val="6"/>
      <w:numFmt w:val="decimal"/>
      <w:lvlText w:val="%1."/>
      <w:lvlJc w:val="left"/>
      <w:pPr>
        <w:tabs>
          <w:tab w:val="left" w:pos="312"/>
        </w:tabs>
      </w:pPr>
    </w:lvl>
  </w:abstractNum>
  <w:abstractNum w:abstractNumId="3">
    <w:nsid w:val="D51EE498"/>
    <w:multiLevelType w:val="singleLevel"/>
    <w:tmpl w:val="D51EE498"/>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4">
    <w:nsid w:val="DA45FB7E"/>
    <w:multiLevelType w:val="singleLevel"/>
    <w:tmpl w:val="DA45FB7E"/>
    <w:lvl w:ilvl="0" w:tentative="0">
      <w:start w:val="2"/>
      <w:numFmt w:val="decimal"/>
      <w:suff w:val="nothing"/>
      <w:lvlText w:val="（%1）"/>
      <w:lvlJc w:val="left"/>
    </w:lvl>
  </w:abstractNum>
  <w:abstractNum w:abstractNumId="5">
    <w:nsid w:val="0738B95D"/>
    <w:multiLevelType w:val="singleLevel"/>
    <w:tmpl w:val="0738B95D"/>
    <w:lvl w:ilvl="0" w:tentative="0">
      <w:start w:val="11"/>
      <w:numFmt w:val="upperLetter"/>
      <w:suff w:val="nothing"/>
      <w:lvlText w:val="%1-"/>
      <w:lvlJc w:val="left"/>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5YTc0YjIxOTFjNjJmMTM5YzljZmJiZWJmOTZmMTYifQ=="/>
  </w:docVars>
  <w:rsids>
    <w:rsidRoot w:val="00172A27"/>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55BAF"/>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6675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19B1886"/>
    <w:rsid w:val="02013C18"/>
    <w:rsid w:val="020D728E"/>
    <w:rsid w:val="027A149C"/>
    <w:rsid w:val="02FC4086"/>
    <w:rsid w:val="03975349"/>
    <w:rsid w:val="03AA6683"/>
    <w:rsid w:val="03E84FE9"/>
    <w:rsid w:val="043B1E4C"/>
    <w:rsid w:val="04482E3E"/>
    <w:rsid w:val="044A58F2"/>
    <w:rsid w:val="045370A8"/>
    <w:rsid w:val="04671EF4"/>
    <w:rsid w:val="048C0506"/>
    <w:rsid w:val="052108F9"/>
    <w:rsid w:val="054E606D"/>
    <w:rsid w:val="056D3A40"/>
    <w:rsid w:val="05943DE1"/>
    <w:rsid w:val="05CD4A91"/>
    <w:rsid w:val="05CE4396"/>
    <w:rsid w:val="05F73DAF"/>
    <w:rsid w:val="05FC035D"/>
    <w:rsid w:val="068E19BA"/>
    <w:rsid w:val="06E94E42"/>
    <w:rsid w:val="06EB0BBA"/>
    <w:rsid w:val="073D2451"/>
    <w:rsid w:val="07634B9C"/>
    <w:rsid w:val="07FE0DA0"/>
    <w:rsid w:val="08B71ABA"/>
    <w:rsid w:val="08C90A87"/>
    <w:rsid w:val="09107159"/>
    <w:rsid w:val="093A3733"/>
    <w:rsid w:val="09C1697F"/>
    <w:rsid w:val="0A14667A"/>
    <w:rsid w:val="0A6A06F8"/>
    <w:rsid w:val="0A7B04A7"/>
    <w:rsid w:val="0A911A78"/>
    <w:rsid w:val="0AA84209"/>
    <w:rsid w:val="0AC01979"/>
    <w:rsid w:val="0B554854"/>
    <w:rsid w:val="0B602F7F"/>
    <w:rsid w:val="0BDA7EEC"/>
    <w:rsid w:val="0BDC6D23"/>
    <w:rsid w:val="0C1271FF"/>
    <w:rsid w:val="0C191D25"/>
    <w:rsid w:val="0C3534E2"/>
    <w:rsid w:val="0C707344"/>
    <w:rsid w:val="0C913FB2"/>
    <w:rsid w:val="0CCF6888"/>
    <w:rsid w:val="0CD10852"/>
    <w:rsid w:val="0CF12D1E"/>
    <w:rsid w:val="0D1C336D"/>
    <w:rsid w:val="0D2324F2"/>
    <w:rsid w:val="0D35493D"/>
    <w:rsid w:val="0E0C0298"/>
    <w:rsid w:val="0E176739"/>
    <w:rsid w:val="0E3C619F"/>
    <w:rsid w:val="0E5B5064"/>
    <w:rsid w:val="0E97594D"/>
    <w:rsid w:val="0FD32136"/>
    <w:rsid w:val="10763895"/>
    <w:rsid w:val="108F0808"/>
    <w:rsid w:val="11044AF4"/>
    <w:rsid w:val="11230F50"/>
    <w:rsid w:val="112D4670"/>
    <w:rsid w:val="119D51A7"/>
    <w:rsid w:val="11B90BA4"/>
    <w:rsid w:val="121A79FC"/>
    <w:rsid w:val="12252FE6"/>
    <w:rsid w:val="12547740"/>
    <w:rsid w:val="12E22503"/>
    <w:rsid w:val="12ED5FD8"/>
    <w:rsid w:val="13622FA0"/>
    <w:rsid w:val="137837D5"/>
    <w:rsid w:val="13806B2E"/>
    <w:rsid w:val="13F8357D"/>
    <w:rsid w:val="14855888"/>
    <w:rsid w:val="149634DA"/>
    <w:rsid w:val="14D07641"/>
    <w:rsid w:val="14ED1815"/>
    <w:rsid w:val="152440E5"/>
    <w:rsid w:val="1525798D"/>
    <w:rsid w:val="159F14ED"/>
    <w:rsid w:val="15D8055B"/>
    <w:rsid w:val="15EC2259"/>
    <w:rsid w:val="162E461F"/>
    <w:rsid w:val="163A1216"/>
    <w:rsid w:val="16A649DD"/>
    <w:rsid w:val="16B5089D"/>
    <w:rsid w:val="16BE50DE"/>
    <w:rsid w:val="1774742B"/>
    <w:rsid w:val="17AD1EDF"/>
    <w:rsid w:val="17DF606D"/>
    <w:rsid w:val="17E92EF4"/>
    <w:rsid w:val="189701E7"/>
    <w:rsid w:val="18AD793B"/>
    <w:rsid w:val="18B3705E"/>
    <w:rsid w:val="18CF2CF7"/>
    <w:rsid w:val="193C14B4"/>
    <w:rsid w:val="197117DF"/>
    <w:rsid w:val="19B337B9"/>
    <w:rsid w:val="19EE47F1"/>
    <w:rsid w:val="19F14EBC"/>
    <w:rsid w:val="1A034F7C"/>
    <w:rsid w:val="1A2A1CB1"/>
    <w:rsid w:val="1A772A39"/>
    <w:rsid w:val="1AC306D2"/>
    <w:rsid w:val="1AF20311"/>
    <w:rsid w:val="1BF41E67"/>
    <w:rsid w:val="1C185B56"/>
    <w:rsid w:val="1C517DB6"/>
    <w:rsid w:val="1C8B457A"/>
    <w:rsid w:val="1CEE37F0"/>
    <w:rsid w:val="1D0E4A0A"/>
    <w:rsid w:val="1D215F4D"/>
    <w:rsid w:val="1D827470"/>
    <w:rsid w:val="1DA336FF"/>
    <w:rsid w:val="1E4F7829"/>
    <w:rsid w:val="1F2E743E"/>
    <w:rsid w:val="1F446C62"/>
    <w:rsid w:val="1FE50445"/>
    <w:rsid w:val="20340A84"/>
    <w:rsid w:val="207D242B"/>
    <w:rsid w:val="20B83463"/>
    <w:rsid w:val="20D51EC8"/>
    <w:rsid w:val="20E33E1A"/>
    <w:rsid w:val="216119B3"/>
    <w:rsid w:val="21701F90"/>
    <w:rsid w:val="22124DF5"/>
    <w:rsid w:val="22A10C5C"/>
    <w:rsid w:val="23166B67"/>
    <w:rsid w:val="232748D0"/>
    <w:rsid w:val="23424069"/>
    <w:rsid w:val="234A05BF"/>
    <w:rsid w:val="235769AD"/>
    <w:rsid w:val="23B56678"/>
    <w:rsid w:val="23B84276"/>
    <w:rsid w:val="23BF2B98"/>
    <w:rsid w:val="24101808"/>
    <w:rsid w:val="241B6C18"/>
    <w:rsid w:val="24485707"/>
    <w:rsid w:val="247B54A6"/>
    <w:rsid w:val="24B46637"/>
    <w:rsid w:val="24BB3FBB"/>
    <w:rsid w:val="24D61CD0"/>
    <w:rsid w:val="24E057D5"/>
    <w:rsid w:val="25583467"/>
    <w:rsid w:val="2559670C"/>
    <w:rsid w:val="255C6B5B"/>
    <w:rsid w:val="25EB42DB"/>
    <w:rsid w:val="25EF7007"/>
    <w:rsid w:val="266A05DB"/>
    <w:rsid w:val="26773DC1"/>
    <w:rsid w:val="26FD6EE4"/>
    <w:rsid w:val="271B474C"/>
    <w:rsid w:val="271F6798"/>
    <w:rsid w:val="27291C14"/>
    <w:rsid w:val="27457610"/>
    <w:rsid w:val="2768048C"/>
    <w:rsid w:val="27D54102"/>
    <w:rsid w:val="27FD29EE"/>
    <w:rsid w:val="27FF406E"/>
    <w:rsid w:val="2813470D"/>
    <w:rsid w:val="2890104A"/>
    <w:rsid w:val="28DD687E"/>
    <w:rsid w:val="28F95A74"/>
    <w:rsid w:val="29015BC3"/>
    <w:rsid w:val="2916215C"/>
    <w:rsid w:val="291B0A33"/>
    <w:rsid w:val="292A511A"/>
    <w:rsid w:val="2A3B3A33"/>
    <w:rsid w:val="2A73664D"/>
    <w:rsid w:val="2AE80DE9"/>
    <w:rsid w:val="2B4D6E9E"/>
    <w:rsid w:val="2B632B65"/>
    <w:rsid w:val="2B804EAD"/>
    <w:rsid w:val="2C6170A5"/>
    <w:rsid w:val="2C666469"/>
    <w:rsid w:val="2C8E59C0"/>
    <w:rsid w:val="2DBB0A37"/>
    <w:rsid w:val="2E426015"/>
    <w:rsid w:val="2E9B6172"/>
    <w:rsid w:val="2EE76DAB"/>
    <w:rsid w:val="2EF04710"/>
    <w:rsid w:val="2EF835C5"/>
    <w:rsid w:val="2F77273B"/>
    <w:rsid w:val="2FD63906"/>
    <w:rsid w:val="2FEF2C1A"/>
    <w:rsid w:val="2FFF5140"/>
    <w:rsid w:val="303B19BB"/>
    <w:rsid w:val="3049057C"/>
    <w:rsid w:val="30550CCF"/>
    <w:rsid w:val="305F38FB"/>
    <w:rsid w:val="31447D35"/>
    <w:rsid w:val="32104CEA"/>
    <w:rsid w:val="32476D3D"/>
    <w:rsid w:val="325A370E"/>
    <w:rsid w:val="32794A1C"/>
    <w:rsid w:val="32B75C71"/>
    <w:rsid w:val="32CB171C"/>
    <w:rsid w:val="332C6F59"/>
    <w:rsid w:val="338840C3"/>
    <w:rsid w:val="33C63C91"/>
    <w:rsid w:val="33FD488B"/>
    <w:rsid w:val="344F0E54"/>
    <w:rsid w:val="34533777"/>
    <w:rsid w:val="34B7733E"/>
    <w:rsid w:val="34BF5C9B"/>
    <w:rsid w:val="34D7310F"/>
    <w:rsid w:val="35401C2F"/>
    <w:rsid w:val="35610116"/>
    <w:rsid w:val="35771918"/>
    <w:rsid w:val="35D5640E"/>
    <w:rsid w:val="35F13A8D"/>
    <w:rsid w:val="360016DD"/>
    <w:rsid w:val="36313986"/>
    <w:rsid w:val="36825C31"/>
    <w:rsid w:val="36AA0D2F"/>
    <w:rsid w:val="377759CE"/>
    <w:rsid w:val="37CD1A92"/>
    <w:rsid w:val="38172D0E"/>
    <w:rsid w:val="38174ABC"/>
    <w:rsid w:val="38471845"/>
    <w:rsid w:val="385122F2"/>
    <w:rsid w:val="38D02EDF"/>
    <w:rsid w:val="39C42A21"/>
    <w:rsid w:val="3A5C70FE"/>
    <w:rsid w:val="3A5F086E"/>
    <w:rsid w:val="3A6366DE"/>
    <w:rsid w:val="3AA429DB"/>
    <w:rsid w:val="3AB72586"/>
    <w:rsid w:val="3B677B08"/>
    <w:rsid w:val="3BB64FAE"/>
    <w:rsid w:val="3BD602EF"/>
    <w:rsid w:val="3BD80A06"/>
    <w:rsid w:val="3C0F1441"/>
    <w:rsid w:val="3C1063F2"/>
    <w:rsid w:val="3C1732DC"/>
    <w:rsid w:val="3CC03974"/>
    <w:rsid w:val="3CD63197"/>
    <w:rsid w:val="3CEA4B96"/>
    <w:rsid w:val="3D2A5DFB"/>
    <w:rsid w:val="3D595B76"/>
    <w:rsid w:val="3E300A30"/>
    <w:rsid w:val="3E762CD2"/>
    <w:rsid w:val="3E7D047A"/>
    <w:rsid w:val="3E9F580B"/>
    <w:rsid w:val="3EF73899"/>
    <w:rsid w:val="3F114C30"/>
    <w:rsid w:val="3F277CDA"/>
    <w:rsid w:val="3FA34CDD"/>
    <w:rsid w:val="3FE03D4A"/>
    <w:rsid w:val="3FFA719D"/>
    <w:rsid w:val="40642868"/>
    <w:rsid w:val="40CB7D15"/>
    <w:rsid w:val="40DA6FCE"/>
    <w:rsid w:val="411B16D3"/>
    <w:rsid w:val="41235E02"/>
    <w:rsid w:val="414544E4"/>
    <w:rsid w:val="41AB10A9"/>
    <w:rsid w:val="41D25EA6"/>
    <w:rsid w:val="41F540C0"/>
    <w:rsid w:val="422E312E"/>
    <w:rsid w:val="42426BD9"/>
    <w:rsid w:val="426978F3"/>
    <w:rsid w:val="42FC322C"/>
    <w:rsid w:val="433E1A96"/>
    <w:rsid w:val="434A053E"/>
    <w:rsid w:val="435B4D37"/>
    <w:rsid w:val="43D36633"/>
    <w:rsid w:val="440C749E"/>
    <w:rsid w:val="44203F85"/>
    <w:rsid w:val="44C36444"/>
    <w:rsid w:val="44D202F8"/>
    <w:rsid w:val="44FE4A6F"/>
    <w:rsid w:val="453C0257"/>
    <w:rsid w:val="45513D03"/>
    <w:rsid w:val="4565330A"/>
    <w:rsid w:val="45CC547D"/>
    <w:rsid w:val="470703F1"/>
    <w:rsid w:val="470706B6"/>
    <w:rsid w:val="474B29D4"/>
    <w:rsid w:val="48021F7D"/>
    <w:rsid w:val="486F44A0"/>
    <w:rsid w:val="488F1019"/>
    <w:rsid w:val="48B34581"/>
    <w:rsid w:val="49526AE9"/>
    <w:rsid w:val="495539C5"/>
    <w:rsid w:val="4A0A26D2"/>
    <w:rsid w:val="4A1946C3"/>
    <w:rsid w:val="4B751938"/>
    <w:rsid w:val="4BBF74EC"/>
    <w:rsid w:val="4BEE392E"/>
    <w:rsid w:val="4C324162"/>
    <w:rsid w:val="4C3677AE"/>
    <w:rsid w:val="4C6A036A"/>
    <w:rsid w:val="4C7E4CB1"/>
    <w:rsid w:val="4C914A2C"/>
    <w:rsid w:val="4CA010CC"/>
    <w:rsid w:val="4CAA1F4A"/>
    <w:rsid w:val="4CC629D5"/>
    <w:rsid w:val="4CD9638C"/>
    <w:rsid w:val="4CFB4554"/>
    <w:rsid w:val="4D477799"/>
    <w:rsid w:val="4D9D1381"/>
    <w:rsid w:val="4DA449D2"/>
    <w:rsid w:val="4DFA480C"/>
    <w:rsid w:val="4E8011B5"/>
    <w:rsid w:val="4E804223"/>
    <w:rsid w:val="4EC72940"/>
    <w:rsid w:val="4EC933D2"/>
    <w:rsid w:val="4F155DA1"/>
    <w:rsid w:val="4F427062"/>
    <w:rsid w:val="4FB60E72"/>
    <w:rsid w:val="4FDF40C0"/>
    <w:rsid w:val="50811214"/>
    <w:rsid w:val="5099030C"/>
    <w:rsid w:val="50AA565F"/>
    <w:rsid w:val="50D233FD"/>
    <w:rsid w:val="50E84DEF"/>
    <w:rsid w:val="51165E00"/>
    <w:rsid w:val="51490F5C"/>
    <w:rsid w:val="514C537E"/>
    <w:rsid w:val="515F1555"/>
    <w:rsid w:val="51734070"/>
    <w:rsid w:val="51894B77"/>
    <w:rsid w:val="51AD345E"/>
    <w:rsid w:val="51FB0B52"/>
    <w:rsid w:val="522B1438"/>
    <w:rsid w:val="52F263F9"/>
    <w:rsid w:val="5382152B"/>
    <w:rsid w:val="53C75190"/>
    <w:rsid w:val="53FD0BB2"/>
    <w:rsid w:val="54183C3E"/>
    <w:rsid w:val="541C5848"/>
    <w:rsid w:val="54624EB9"/>
    <w:rsid w:val="546E6190"/>
    <w:rsid w:val="548240CD"/>
    <w:rsid w:val="54936357"/>
    <w:rsid w:val="54977258"/>
    <w:rsid w:val="54C620A2"/>
    <w:rsid w:val="54C829F5"/>
    <w:rsid w:val="54E104AF"/>
    <w:rsid w:val="558C43EA"/>
    <w:rsid w:val="55F04E72"/>
    <w:rsid w:val="55F35DF2"/>
    <w:rsid w:val="563D3E2F"/>
    <w:rsid w:val="56BA0FDC"/>
    <w:rsid w:val="56C41E5B"/>
    <w:rsid w:val="56FB2042"/>
    <w:rsid w:val="571C1C97"/>
    <w:rsid w:val="571F0F7D"/>
    <w:rsid w:val="573A3ECB"/>
    <w:rsid w:val="57CA22E0"/>
    <w:rsid w:val="58002A29"/>
    <w:rsid w:val="58226A99"/>
    <w:rsid w:val="588E2720"/>
    <w:rsid w:val="58CD3249"/>
    <w:rsid w:val="58D12E0C"/>
    <w:rsid w:val="58F636BF"/>
    <w:rsid w:val="5968092A"/>
    <w:rsid w:val="59851D75"/>
    <w:rsid w:val="5A1F5D26"/>
    <w:rsid w:val="5A737511"/>
    <w:rsid w:val="5A765E11"/>
    <w:rsid w:val="5AA1496E"/>
    <w:rsid w:val="5AF01470"/>
    <w:rsid w:val="5B767BC7"/>
    <w:rsid w:val="5C1967A5"/>
    <w:rsid w:val="5C2C472A"/>
    <w:rsid w:val="5C910581"/>
    <w:rsid w:val="5CE24279"/>
    <w:rsid w:val="5D1A637C"/>
    <w:rsid w:val="5D1C479E"/>
    <w:rsid w:val="5D1C5F3B"/>
    <w:rsid w:val="5D6677C8"/>
    <w:rsid w:val="5D870E20"/>
    <w:rsid w:val="5D997B9D"/>
    <w:rsid w:val="5DB3780B"/>
    <w:rsid w:val="5E296A32"/>
    <w:rsid w:val="5E642C1E"/>
    <w:rsid w:val="5EB62F90"/>
    <w:rsid w:val="5EDA046D"/>
    <w:rsid w:val="5F1E2284"/>
    <w:rsid w:val="5F2703F7"/>
    <w:rsid w:val="5F9A5E4E"/>
    <w:rsid w:val="5FA3153B"/>
    <w:rsid w:val="5FA76AA8"/>
    <w:rsid w:val="60161979"/>
    <w:rsid w:val="61113EEE"/>
    <w:rsid w:val="61812E22"/>
    <w:rsid w:val="61822C96"/>
    <w:rsid w:val="619F599E"/>
    <w:rsid w:val="61C60977"/>
    <w:rsid w:val="61E77036"/>
    <w:rsid w:val="61FF01EB"/>
    <w:rsid w:val="6234234D"/>
    <w:rsid w:val="630D670F"/>
    <w:rsid w:val="638473F6"/>
    <w:rsid w:val="638B61DA"/>
    <w:rsid w:val="64D14795"/>
    <w:rsid w:val="64FD4EB5"/>
    <w:rsid w:val="651E6BDA"/>
    <w:rsid w:val="65312DB1"/>
    <w:rsid w:val="658F7C81"/>
    <w:rsid w:val="660B53B0"/>
    <w:rsid w:val="662C350F"/>
    <w:rsid w:val="66846347"/>
    <w:rsid w:val="672901E4"/>
    <w:rsid w:val="67452E4F"/>
    <w:rsid w:val="676B2854"/>
    <w:rsid w:val="678F3DBF"/>
    <w:rsid w:val="68165224"/>
    <w:rsid w:val="68183DB4"/>
    <w:rsid w:val="68D91796"/>
    <w:rsid w:val="69447BC3"/>
    <w:rsid w:val="6978790C"/>
    <w:rsid w:val="6A222705"/>
    <w:rsid w:val="6A7E0B45"/>
    <w:rsid w:val="6B562DA7"/>
    <w:rsid w:val="6B5B1630"/>
    <w:rsid w:val="6B634AD6"/>
    <w:rsid w:val="6B6C5EC5"/>
    <w:rsid w:val="6C116020"/>
    <w:rsid w:val="6C585E4D"/>
    <w:rsid w:val="6C832144"/>
    <w:rsid w:val="6CD96208"/>
    <w:rsid w:val="6CE626D3"/>
    <w:rsid w:val="6D3C66A0"/>
    <w:rsid w:val="6D496A5A"/>
    <w:rsid w:val="6D7D3037"/>
    <w:rsid w:val="6D964B22"/>
    <w:rsid w:val="6DE07122"/>
    <w:rsid w:val="6DFB0400"/>
    <w:rsid w:val="6E0031F1"/>
    <w:rsid w:val="6E23493E"/>
    <w:rsid w:val="6E7F1389"/>
    <w:rsid w:val="6EB13C8E"/>
    <w:rsid w:val="6EDF0EA2"/>
    <w:rsid w:val="6EF03395"/>
    <w:rsid w:val="6F3E67F6"/>
    <w:rsid w:val="70BF2889"/>
    <w:rsid w:val="71174061"/>
    <w:rsid w:val="713F0604"/>
    <w:rsid w:val="715E0A8A"/>
    <w:rsid w:val="717209D9"/>
    <w:rsid w:val="71FC4D8C"/>
    <w:rsid w:val="7207335A"/>
    <w:rsid w:val="724A54B2"/>
    <w:rsid w:val="725E4ABA"/>
    <w:rsid w:val="7270316B"/>
    <w:rsid w:val="727A5D97"/>
    <w:rsid w:val="729A01E8"/>
    <w:rsid w:val="72BB015E"/>
    <w:rsid w:val="739F0CFB"/>
    <w:rsid w:val="74300D87"/>
    <w:rsid w:val="74D84FF7"/>
    <w:rsid w:val="74DA23F4"/>
    <w:rsid w:val="75183646"/>
    <w:rsid w:val="75414E2E"/>
    <w:rsid w:val="755B5EAC"/>
    <w:rsid w:val="760A7432"/>
    <w:rsid w:val="76742AFE"/>
    <w:rsid w:val="76A431DF"/>
    <w:rsid w:val="76AA6A9D"/>
    <w:rsid w:val="76BD44A5"/>
    <w:rsid w:val="77740C7C"/>
    <w:rsid w:val="77A56C97"/>
    <w:rsid w:val="780F6411"/>
    <w:rsid w:val="78112CFA"/>
    <w:rsid w:val="781F4CEB"/>
    <w:rsid w:val="784420C5"/>
    <w:rsid w:val="784E5D4C"/>
    <w:rsid w:val="786848E4"/>
    <w:rsid w:val="788A03C1"/>
    <w:rsid w:val="78A638BF"/>
    <w:rsid w:val="78AE246B"/>
    <w:rsid w:val="78AF42C1"/>
    <w:rsid w:val="78C83A2D"/>
    <w:rsid w:val="78D756FA"/>
    <w:rsid w:val="790F6B0E"/>
    <w:rsid w:val="7931667F"/>
    <w:rsid w:val="79F458A4"/>
    <w:rsid w:val="7A580134"/>
    <w:rsid w:val="7A6D4434"/>
    <w:rsid w:val="7A8A0B42"/>
    <w:rsid w:val="7A9814B1"/>
    <w:rsid w:val="7AB91427"/>
    <w:rsid w:val="7B583A10"/>
    <w:rsid w:val="7BFA3E64"/>
    <w:rsid w:val="7C254E23"/>
    <w:rsid w:val="7CA2353B"/>
    <w:rsid w:val="7D6F2271"/>
    <w:rsid w:val="7DE60785"/>
    <w:rsid w:val="7DEC38C1"/>
    <w:rsid w:val="7E3867F6"/>
    <w:rsid w:val="7EAA7A04"/>
    <w:rsid w:val="7F286B7B"/>
    <w:rsid w:val="7F397345"/>
    <w:rsid w:val="7F405C73"/>
    <w:rsid w:val="7F82628B"/>
    <w:rsid w:val="7FAF5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8"/>
    <w:autoRedefine/>
    <w:qFormat/>
    <w:uiPriority w:val="9"/>
    <w:pPr>
      <w:keepNext/>
      <w:keepLines/>
      <w:jc w:val="center"/>
      <w:outlineLvl w:val="0"/>
    </w:pPr>
    <w:rPr>
      <w:rFonts w:ascii="Times New Roman" w:hAnsi="Times New Roman" w:eastAsia="宋体"/>
      <w:b/>
      <w:bCs/>
      <w:kern w:val="44"/>
      <w:sz w:val="30"/>
      <w:szCs w:val="44"/>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1"/>
    <w:autoRedefine/>
    <w:semiHidden/>
    <w:unhideWhenUsed/>
    <w:qFormat/>
    <w:uiPriority w:val="99"/>
    <w:pPr>
      <w:spacing w:after="120"/>
    </w:pPr>
  </w:style>
  <w:style w:type="paragraph" w:styleId="3">
    <w:name w:val="List Bullet 5"/>
    <w:basedOn w:val="1"/>
    <w:semiHidden/>
    <w:unhideWhenUsed/>
    <w:qFormat/>
    <w:uiPriority w:val="99"/>
    <w:pPr>
      <w:numPr>
        <w:ilvl w:val="0"/>
        <w:numId w:val="1"/>
      </w:numPr>
    </w:pPr>
  </w:style>
  <w:style w:type="paragraph" w:styleId="8">
    <w:name w:val="List 3"/>
    <w:basedOn w:val="1"/>
    <w:qFormat/>
    <w:uiPriority w:val="0"/>
    <w:pPr>
      <w:spacing w:line="240" w:lineRule="auto"/>
      <w:ind w:left="0" w:leftChars="0" w:firstLine="0" w:firstLineChars="0"/>
      <w:jc w:val="center"/>
    </w:pPr>
    <w:rPr>
      <w:sz w:val="21"/>
    </w:rPr>
  </w:style>
  <w:style w:type="paragraph" w:styleId="9">
    <w:name w:val="Note Heading"/>
    <w:basedOn w:val="1"/>
    <w:next w:val="1"/>
    <w:qFormat/>
    <w:uiPriority w:val="0"/>
    <w:pPr>
      <w:adjustRightInd w:val="0"/>
      <w:spacing w:line="360" w:lineRule="auto"/>
      <w:jc w:val="center"/>
    </w:pPr>
    <w:rPr>
      <w:szCs w:val="24"/>
    </w:rPr>
  </w:style>
  <w:style w:type="paragraph" w:styleId="10">
    <w:name w:val="Normal Indent"/>
    <w:basedOn w:val="1"/>
    <w:qFormat/>
    <w:uiPriority w:val="0"/>
    <w:pPr>
      <w:ind w:firstLine="420"/>
    </w:pPr>
    <w:rPr>
      <w:rFonts w:ascii="Calibri" w:hAnsi="Calibri"/>
      <w:szCs w:val="20"/>
    </w:rPr>
  </w:style>
  <w:style w:type="paragraph" w:styleId="11">
    <w:name w:val="annotation text"/>
    <w:basedOn w:val="1"/>
    <w:semiHidden/>
    <w:unhideWhenUsed/>
    <w:qFormat/>
    <w:uiPriority w:val="99"/>
    <w:pPr>
      <w:jc w:val="left"/>
    </w:pPr>
  </w:style>
  <w:style w:type="paragraph" w:styleId="12">
    <w:name w:val="Body Text Indent"/>
    <w:basedOn w:val="1"/>
    <w:link w:val="39"/>
    <w:autoRedefine/>
    <w:semiHidden/>
    <w:unhideWhenUsed/>
    <w:qFormat/>
    <w:uiPriority w:val="99"/>
    <w:pPr>
      <w:spacing w:after="120"/>
      <w:ind w:left="420" w:leftChars="200"/>
    </w:pPr>
  </w:style>
  <w:style w:type="paragraph" w:styleId="13">
    <w:name w:val="Block Text"/>
    <w:basedOn w:val="1"/>
    <w:qFormat/>
    <w:uiPriority w:val="0"/>
    <w:pPr>
      <w:spacing w:after="120"/>
      <w:ind w:left="1440" w:leftChars="700" w:right="1440" w:rightChars="700"/>
    </w:pPr>
    <w:rPr>
      <w:rFonts w:ascii="Calibri" w:hAnsi="Calibri"/>
      <w:szCs w:val="20"/>
    </w:rPr>
  </w:style>
  <w:style w:type="paragraph" w:styleId="14">
    <w:name w:val="Plain Text"/>
    <w:basedOn w:val="1"/>
    <w:qFormat/>
    <w:uiPriority w:val="0"/>
    <w:pPr>
      <w:widowControl w:val="0"/>
      <w:jc w:val="both"/>
    </w:pPr>
    <w:rPr>
      <w:rFonts w:ascii="宋体" w:hAnsi="Courier New"/>
      <w:kern w:val="2"/>
      <w:sz w:val="28"/>
    </w:rPr>
  </w:style>
  <w:style w:type="paragraph" w:styleId="15">
    <w:name w:val="Body Text Indent 2"/>
    <w:basedOn w:val="1"/>
    <w:qFormat/>
    <w:uiPriority w:val="0"/>
    <w:pPr>
      <w:widowControl w:val="0"/>
      <w:spacing w:after="120" w:line="480" w:lineRule="auto"/>
      <w:ind w:left="420" w:leftChars="200"/>
    </w:pPr>
    <w:rPr>
      <w:rFonts w:eastAsia="仿宋_GB2312"/>
      <w:sz w:val="28"/>
      <w:szCs w:val="24"/>
      <w:lang w:val="zh-CN"/>
    </w:rPr>
  </w:style>
  <w:style w:type="paragraph" w:styleId="16">
    <w:name w:val="Balloon Text"/>
    <w:basedOn w:val="1"/>
    <w:link w:val="46"/>
    <w:autoRedefine/>
    <w:semiHidden/>
    <w:unhideWhenUsed/>
    <w:qFormat/>
    <w:uiPriority w:val="99"/>
    <w:rPr>
      <w:sz w:val="18"/>
      <w:szCs w:val="18"/>
    </w:rPr>
  </w:style>
  <w:style w:type="paragraph" w:styleId="17">
    <w:name w:val="footer"/>
    <w:basedOn w:val="1"/>
    <w:link w:val="45"/>
    <w:autoRedefine/>
    <w:unhideWhenUsed/>
    <w:qFormat/>
    <w:uiPriority w:val="99"/>
    <w:pPr>
      <w:tabs>
        <w:tab w:val="center" w:pos="4153"/>
        <w:tab w:val="right" w:pos="8306"/>
      </w:tabs>
      <w:snapToGrid w:val="0"/>
      <w:jc w:val="left"/>
    </w:pPr>
    <w:rPr>
      <w:sz w:val="18"/>
      <w:szCs w:val="18"/>
    </w:rPr>
  </w:style>
  <w:style w:type="paragraph" w:styleId="18">
    <w:name w:val="header"/>
    <w:basedOn w:val="1"/>
    <w:link w:val="4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index heading"/>
    <w:basedOn w:val="1"/>
    <w:next w:val="21"/>
    <w:unhideWhenUsed/>
    <w:qFormat/>
    <w:uiPriority w:val="99"/>
    <w:rPr>
      <w:szCs w:val="20"/>
    </w:rPr>
  </w:style>
  <w:style w:type="paragraph" w:styleId="21">
    <w:name w:val="index 1"/>
    <w:basedOn w:val="1"/>
    <w:next w:val="1"/>
    <w:unhideWhenUsed/>
    <w:qFormat/>
    <w:uiPriority w:val="99"/>
    <w:pPr>
      <w:jc w:val="center"/>
    </w:pPr>
    <w:rPr>
      <w:szCs w:val="20"/>
    </w:rPr>
  </w:style>
  <w:style w:type="paragraph" w:styleId="22">
    <w:name w:val="Body Text Indent 3"/>
    <w:basedOn w:val="1"/>
    <w:autoRedefine/>
    <w:qFormat/>
    <w:uiPriority w:val="0"/>
    <w:pPr>
      <w:spacing w:line="280" w:lineRule="exact"/>
      <w:ind w:left="602" w:hanging="602"/>
    </w:pPr>
    <w:rPr>
      <w:kern w:val="0"/>
      <w:sz w:val="16"/>
      <w:szCs w:val="16"/>
    </w:rPr>
  </w:style>
  <w:style w:type="paragraph" w:styleId="23">
    <w:name w:val="Body Text 2"/>
    <w:basedOn w:val="1"/>
    <w:qFormat/>
    <w:uiPriority w:val="0"/>
    <w:pPr>
      <w:spacing w:after="120" w:line="480" w:lineRule="auto"/>
    </w:pPr>
  </w:style>
  <w:style w:type="paragraph" w:styleId="24">
    <w:name w:val="Normal (Web)"/>
    <w:basedOn w:val="1"/>
    <w:link w:val="49"/>
    <w:autoRedefine/>
    <w:unhideWhenUsed/>
    <w:qFormat/>
    <w:uiPriority w:val="0"/>
    <w:pPr>
      <w:widowControl/>
      <w:jc w:val="left"/>
    </w:pPr>
    <w:rPr>
      <w:rFonts w:ascii="宋体" w:hAnsi="宋体" w:eastAsia="宋体"/>
      <w:b/>
      <w:sz w:val="24"/>
    </w:rPr>
  </w:style>
  <w:style w:type="paragraph" w:styleId="25">
    <w:name w:val="Body Text First Indent"/>
    <w:basedOn w:val="2"/>
    <w:next w:val="1"/>
    <w:link w:val="42"/>
    <w:autoRedefine/>
    <w:qFormat/>
    <w:uiPriority w:val="0"/>
    <w:pPr>
      <w:ind w:firstLine="420" w:firstLineChars="100"/>
    </w:pPr>
    <w:rPr>
      <w:rFonts w:ascii="Times New Roman" w:hAnsi="Times New Roman" w:eastAsia="宋体" w:cs="Times New Roman"/>
      <w:szCs w:val="20"/>
    </w:rPr>
  </w:style>
  <w:style w:type="paragraph" w:styleId="26">
    <w:name w:val="Body Text First Indent 2"/>
    <w:basedOn w:val="1"/>
    <w:next w:val="1"/>
    <w:link w:val="40"/>
    <w:autoRedefine/>
    <w:qFormat/>
    <w:uiPriority w:val="99"/>
    <w:pPr>
      <w:ind w:firstLine="420" w:firstLineChars="200"/>
    </w:pPr>
    <w:rPr>
      <w:rFonts w:ascii="Times New Roman" w:hAnsi="Times New Roman" w:eastAsia="宋体" w:cs="Times New Roman"/>
      <w:szCs w:val="20"/>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autoRedefine/>
    <w:qFormat/>
    <w:uiPriority w:val="99"/>
    <w:rPr>
      <w:color w:val="0000FF"/>
      <w:u w:val="single"/>
    </w:rPr>
  </w:style>
  <w:style w:type="character" w:styleId="31">
    <w:name w:val="annotation reference"/>
    <w:basedOn w:val="29"/>
    <w:qFormat/>
    <w:uiPriority w:val="0"/>
    <w:rPr>
      <w:sz w:val="21"/>
      <w:szCs w:val="21"/>
    </w:rPr>
  </w:style>
  <w:style w:type="paragraph" w:customStyle="1" w:styleId="32">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3">
    <w:name w:val="Default"/>
    <w:basedOn w:val="34"/>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5">
    <w:name w:val="标题2"/>
    <w:basedOn w:val="5"/>
    <w:autoRedefine/>
    <w:qFormat/>
    <w:uiPriority w:val="0"/>
    <w:pPr>
      <w:tabs>
        <w:tab w:val="left" w:pos="0"/>
      </w:tabs>
      <w:spacing w:line="440" w:lineRule="exact"/>
      <w:ind w:left="1560"/>
    </w:pPr>
    <w:rPr>
      <w:sz w:val="28"/>
    </w:rPr>
  </w:style>
  <w:style w:type="paragraph" w:customStyle="1" w:styleId="36">
    <w:name w:val="样式3"/>
    <w:basedOn w:val="19"/>
    <w:next w:val="37"/>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7">
    <w:name w:val="目录 53"/>
    <w:basedOn w:val="1"/>
    <w:next w:val="1"/>
    <w:autoRedefine/>
    <w:qFormat/>
    <w:uiPriority w:val="0"/>
    <w:pPr>
      <w:ind w:left="840"/>
    </w:pPr>
    <w:rPr>
      <w:rFonts w:cs="宋体"/>
      <w:color w:val="000000"/>
    </w:rPr>
  </w:style>
  <w:style w:type="character" w:customStyle="1" w:styleId="38">
    <w:name w:val="标题 1 字符"/>
    <w:basedOn w:val="29"/>
    <w:link w:val="4"/>
    <w:autoRedefine/>
    <w:qFormat/>
    <w:uiPriority w:val="9"/>
    <w:rPr>
      <w:rFonts w:ascii="Times New Roman" w:hAnsi="Times New Roman" w:eastAsia="宋体"/>
      <w:b/>
      <w:bCs/>
      <w:kern w:val="44"/>
      <w:sz w:val="30"/>
      <w:szCs w:val="44"/>
    </w:rPr>
  </w:style>
  <w:style w:type="character" w:customStyle="1" w:styleId="39">
    <w:name w:val="正文文本缩进 字符"/>
    <w:basedOn w:val="29"/>
    <w:link w:val="12"/>
    <w:autoRedefine/>
    <w:semiHidden/>
    <w:qFormat/>
    <w:uiPriority w:val="99"/>
  </w:style>
  <w:style w:type="character" w:customStyle="1" w:styleId="40">
    <w:name w:val="正文文本首行缩进 2 字符"/>
    <w:basedOn w:val="39"/>
    <w:link w:val="26"/>
    <w:autoRedefine/>
    <w:qFormat/>
    <w:uiPriority w:val="99"/>
    <w:rPr>
      <w:rFonts w:ascii="Times New Roman" w:hAnsi="Times New Roman" w:eastAsia="宋体" w:cs="Times New Roman"/>
      <w:szCs w:val="20"/>
    </w:rPr>
  </w:style>
  <w:style w:type="character" w:customStyle="1" w:styleId="41">
    <w:name w:val="正文文本 字符"/>
    <w:basedOn w:val="29"/>
    <w:link w:val="2"/>
    <w:autoRedefine/>
    <w:semiHidden/>
    <w:qFormat/>
    <w:uiPriority w:val="99"/>
  </w:style>
  <w:style w:type="character" w:customStyle="1" w:styleId="42">
    <w:name w:val="正文文本首行缩进 字符"/>
    <w:basedOn w:val="41"/>
    <w:link w:val="25"/>
    <w:autoRedefine/>
    <w:qFormat/>
    <w:uiPriority w:val="0"/>
    <w:rPr>
      <w:rFonts w:ascii="Times New Roman" w:hAnsi="Times New Roman" w:eastAsia="宋体" w:cs="Times New Roman"/>
      <w:szCs w:val="20"/>
    </w:rPr>
  </w:style>
  <w:style w:type="paragraph" w:styleId="43">
    <w:name w:val="List Paragraph"/>
    <w:basedOn w:val="1"/>
    <w:autoRedefine/>
    <w:qFormat/>
    <w:uiPriority w:val="34"/>
    <w:pPr>
      <w:ind w:firstLine="420" w:firstLineChars="200"/>
    </w:pPr>
  </w:style>
  <w:style w:type="character" w:customStyle="1" w:styleId="44">
    <w:name w:val="页眉 字符"/>
    <w:basedOn w:val="29"/>
    <w:link w:val="18"/>
    <w:autoRedefine/>
    <w:qFormat/>
    <w:uiPriority w:val="99"/>
    <w:rPr>
      <w:sz w:val="18"/>
      <w:szCs w:val="18"/>
    </w:rPr>
  </w:style>
  <w:style w:type="character" w:customStyle="1" w:styleId="45">
    <w:name w:val="页脚 字符"/>
    <w:basedOn w:val="29"/>
    <w:link w:val="17"/>
    <w:autoRedefine/>
    <w:qFormat/>
    <w:uiPriority w:val="99"/>
    <w:rPr>
      <w:sz w:val="18"/>
      <w:szCs w:val="18"/>
    </w:rPr>
  </w:style>
  <w:style w:type="character" w:customStyle="1" w:styleId="46">
    <w:name w:val="批注框文本 字符"/>
    <w:basedOn w:val="29"/>
    <w:link w:val="16"/>
    <w:autoRedefine/>
    <w:semiHidden/>
    <w:qFormat/>
    <w:uiPriority w:val="99"/>
    <w:rPr>
      <w:sz w:val="18"/>
      <w:szCs w:val="18"/>
    </w:rPr>
  </w:style>
  <w:style w:type="paragraph" w:customStyle="1" w:styleId="47">
    <w:name w:val="表格"/>
    <w:basedOn w:val="1"/>
    <w:next w:val="1"/>
    <w:link w:val="48"/>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8">
    <w:name w:val="表格 Char"/>
    <w:link w:val="47"/>
    <w:autoRedefine/>
    <w:qFormat/>
    <w:locked/>
    <w:uiPriority w:val="0"/>
    <w:rPr>
      <w:rFonts w:ascii="宋体" w:hAnsi="Times New Roman" w:eastAsia="黑体" w:cs="Times New Roman"/>
      <w:spacing w:val="-10"/>
      <w:kern w:val="0"/>
      <w:sz w:val="24"/>
      <w:szCs w:val="20"/>
    </w:rPr>
  </w:style>
  <w:style w:type="character" w:customStyle="1" w:styleId="49">
    <w:name w:val="普通(网站) 字符"/>
    <w:link w:val="24"/>
    <w:autoRedefine/>
    <w:qFormat/>
    <w:locked/>
    <w:uiPriority w:val="0"/>
    <w:rPr>
      <w:rFonts w:ascii="宋体" w:hAnsi="宋体" w:eastAsia="宋体"/>
      <w:b/>
      <w:sz w:val="24"/>
    </w:rPr>
  </w:style>
  <w:style w:type="character" w:customStyle="1" w:styleId="50">
    <w:name w:val="表格文字 Char"/>
    <w:link w:val="51"/>
    <w:autoRedefine/>
    <w:qFormat/>
    <w:uiPriority w:val="0"/>
    <w:rPr>
      <w:kern w:val="24"/>
      <w:sz w:val="24"/>
    </w:rPr>
  </w:style>
  <w:style w:type="paragraph" w:customStyle="1" w:styleId="51">
    <w:name w:val="表格文字"/>
    <w:link w:val="50"/>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2">
    <w:name w:val="表格内容"/>
    <w:basedOn w:val="1"/>
    <w:next w:val="1"/>
    <w:autoRedefine/>
    <w:qFormat/>
    <w:uiPriority w:val="0"/>
    <w:pPr>
      <w:jc w:val="center"/>
    </w:pPr>
    <w:rPr>
      <w:szCs w:val="21"/>
    </w:rPr>
  </w:style>
  <w:style w:type="paragraph" w:customStyle="1" w:styleId="53">
    <w:name w:val="Table Paragraph"/>
    <w:basedOn w:val="1"/>
    <w:autoRedefine/>
    <w:qFormat/>
    <w:uiPriority w:val="1"/>
  </w:style>
  <w:style w:type="paragraph" w:customStyle="1" w:styleId="54">
    <w:name w:val="正文zy"/>
    <w:basedOn w:val="1"/>
    <w:autoRedefine/>
    <w:qFormat/>
    <w:uiPriority w:val="0"/>
    <w:pPr>
      <w:snapToGrid w:val="0"/>
      <w:spacing w:line="360" w:lineRule="auto"/>
      <w:ind w:firstLine="480" w:firstLineChars="200"/>
    </w:pPr>
    <w:rPr>
      <w:color w:val="000000"/>
      <w:kern w:val="2"/>
    </w:rPr>
  </w:style>
  <w:style w:type="character" w:customStyle="1" w:styleId="55">
    <w:name w:val="font21"/>
    <w:basedOn w:val="29"/>
    <w:autoRedefine/>
    <w:qFormat/>
    <w:uiPriority w:val="0"/>
    <w:rPr>
      <w:rFonts w:hint="eastAsia" w:ascii="宋体" w:hAnsi="宋体" w:eastAsia="宋体" w:cs="宋体"/>
      <w:color w:val="000000"/>
      <w:sz w:val="21"/>
      <w:szCs w:val="21"/>
      <w:u w:val="none"/>
    </w:rPr>
  </w:style>
  <w:style w:type="paragraph" w:customStyle="1" w:styleId="56">
    <w:name w:val="0正文"/>
    <w:basedOn w:val="1"/>
    <w:autoRedefine/>
    <w:qFormat/>
    <w:uiPriority w:val="0"/>
    <w:pPr>
      <w:spacing w:line="360" w:lineRule="auto"/>
      <w:ind w:firstLine="200" w:firstLineChars="200"/>
    </w:pPr>
    <w:rPr>
      <w:kern w:val="0"/>
      <w:sz w:val="24"/>
      <w:szCs w:val="22"/>
      <w:lang w:eastAsia="en-US"/>
    </w:rPr>
  </w:style>
  <w:style w:type="paragraph" w:customStyle="1" w:styleId="57">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58">
    <w:name w:val="表格标题"/>
    <w:basedOn w:val="1"/>
    <w:autoRedefine/>
    <w:qFormat/>
    <w:uiPriority w:val="0"/>
    <w:pPr>
      <w:ind w:firstLine="0" w:firstLineChars="0"/>
      <w:jc w:val="center"/>
    </w:pPr>
    <w:rPr>
      <w:b/>
      <w:szCs w:val="24"/>
    </w:rPr>
  </w:style>
  <w:style w:type="paragraph" w:customStyle="1" w:styleId="59">
    <w:name w:val="1正文"/>
    <w:basedOn w:val="60"/>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0">
    <w:name w:val="报告正文"/>
    <w:basedOn w:val="1"/>
    <w:qFormat/>
    <w:uiPriority w:val="0"/>
    <w:pPr>
      <w:adjustRightInd w:val="0"/>
      <w:snapToGrid w:val="0"/>
      <w:spacing w:line="480" w:lineRule="exact"/>
      <w:ind w:firstLine="560" w:firstLineChars="200"/>
      <w:jc w:val="left"/>
    </w:pPr>
    <w:rPr>
      <w:kern w:val="0"/>
      <w:sz w:val="20"/>
    </w:rPr>
  </w:style>
  <w:style w:type="paragraph" w:customStyle="1" w:styleId="61">
    <w:name w:val="D正文"/>
    <w:basedOn w:val="62"/>
    <w:qFormat/>
    <w:uiPriority w:val="0"/>
    <w:pPr>
      <w:spacing w:line="360" w:lineRule="auto"/>
      <w:ind w:firstLine="480"/>
      <w:jc w:val="both"/>
    </w:pPr>
    <w:rPr>
      <w:rFonts w:hAnsi="宋体"/>
      <w:kern w:val="2"/>
      <w:szCs w:val="24"/>
    </w:rPr>
  </w:style>
  <w:style w:type="paragraph" w:customStyle="1" w:styleId="62">
    <w:name w:val="正文对的"/>
    <w:basedOn w:val="14"/>
    <w:qFormat/>
    <w:uiPriority w:val="0"/>
    <w:pPr>
      <w:spacing w:line="500" w:lineRule="exact"/>
      <w:ind w:firstLine="200" w:firstLineChars="200"/>
    </w:pPr>
    <w:rPr>
      <w:rFonts w:hAnsi="宋体"/>
      <w:kern w:val="2"/>
      <w:sz w:val="24"/>
      <w:szCs w:val="24"/>
    </w:rPr>
  </w:style>
  <w:style w:type="paragraph" w:customStyle="1" w:styleId="63">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4">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5">
    <w:name w:val="表格普通"/>
    <w:basedOn w:val="1"/>
    <w:autoRedefine/>
    <w:qFormat/>
    <w:uiPriority w:val="0"/>
    <w:pPr>
      <w:jc w:val="center"/>
    </w:pPr>
    <w:rPr>
      <w:rFonts w:eastAsia="仿宋_GB2312"/>
    </w:rPr>
  </w:style>
  <w:style w:type="paragraph" w:customStyle="1" w:styleId="66">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67">
    <w:name w:val="0000"/>
    <w:basedOn w:val="1"/>
    <w:autoRedefine/>
    <w:qFormat/>
    <w:uiPriority w:val="0"/>
    <w:pPr>
      <w:adjustRightInd w:val="0"/>
      <w:snapToGrid w:val="0"/>
    </w:pPr>
    <w:rPr>
      <w:rFonts w:hint="eastAsia"/>
      <w:sz w:val="24"/>
      <w:lang w:val="zh-TW"/>
    </w:rPr>
  </w:style>
  <w:style w:type="paragraph" w:customStyle="1" w:styleId="68">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69">
    <w:name w:val="apple-style-span"/>
    <w:autoRedefine/>
    <w:qFormat/>
    <w:uiPriority w:val="0"/>
  </w:style>
  <w:style w:type="paragraph" w:customStyle="1" w:styleId="70">
    <w:name w:val="二级无标题条"/>
    <w:basedOn w:val="1"/>
    <w:autoRedefine/>
    <w:qFormat/>
    <w:uiPriority w:val="0"/>
  </w:style>
  <w:style w:type="paragraph" w:customStyle="1" w:styleId="71">
    <w:name w:val="报告表正文"/>
    <w:basedOn w:val="72"/>
    <w:autoRedefine/>
    <w:qFormat/>
    <w:uiPriority w:val="0"/>
    <w:pPr>
      <w:ind w:firstLine="200" w:firstLineChars="200"/>
      <w:jc w:val="left"/>
    </w:pPr>
    <w:rPr>
      <w:rFonts w:ascii="Times New Roman" w:hAnsi="Times New Roman"/>
      <w:szCs w:val="24"/>
    </w:rPr>
  </w:style>
  <w:style w:type="paragraph" w:customStyle="1" w:styleId="72">
    <w:name w:val="列表1"/>
    <w:basedOn w:val="1"/>
    <w:autoRedefine/>
    <w:qFormat/>
    <w:uiPriority w:val="0"/>
    <w:pPr>
      <w:spacing w:line="400" w:lineRule="exact"/>
      <w:jc w:val="center"/>
    </w:pPr>
    <w:rPr>
      <w:rFonts w:ascii="宋体" w:hAnsi="宋体" w:eastAsia="仿宋_GB2312"/>
      <w:sz w:val="24"/>
      <w:szCs w:val="20"/>
    </w:rPr>
  </w:style>
  <w:style w:type="paragraph" w:customStyle="1" w:styleId="73">
    <w:name w:val="Z正文"/>
    <w:basedOn w:val="1"/>
    <w:qFormat/>
    <w:uiPriority w:val="0"/>
    <w:pPr>
      <w:spacing w:line="400" w:lineRule="exact"/>
      <w:ind w:firstLine="600" w:firstLineChars="200"/>
    </w:pPr>
    <w:rPr>
      <w:rFonts w:ascii="Times New Roman" w:hAnsi="Times New Roman" w:eastAsia="宋体" w:cs="Times New Roman"/>
      <w:szCs w:val="20"/>
    </w:rPr>
  </w:style>
  <w:style w:type="paragraph" w:customStyle="1" w:styleId="74">
    <w:name w:val="陈表格标题"/>
    <w:basedOn w:val="1"/>
    <w:next w:val="22"/>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75">
    <w:name w:val="陈表格"/>
    <w:basedOn w:val="1"/>
    <w:qFormat/>
    <w:uiPriority w:val="0"/>
    <w:pPr>
      <w:adjustRightInd w:val="0"/>
      <w:snapToGrid w:val="0"/>
      <w:spacing w:line="240" w:lineRule="auto"/>
      <w:ind w:firstLine="0" w:firstLineChars="0"/>
      <w:jc w:val="center"/>
    </w:pPr>
    <w:rPr>
      <w:kern w:val="0"/>
      <w:sz w:val="21"/>
      <w:szCs w:val="20"/>
    </w:rPr>
  </w:style>
  <w:style w:type="paragraph" w:customStyle="1" w:styleId="76">
    <w:name w:val="Z嵌套表格内容"/>
    <w:basedOn w:val="1"/>
    <w:qFormat/>
    <w:uiPriority w:val="0"/>
    <w:pPr>
      <w:jc w:val="center"/>
    </w:pPr>
    <w:rPr>
      <w:rFonts w:ascii="Times New Roman" w:hAnsi="Times New Roman" w:eastAsia="宋体"/>
      <w:sz w:val="18"/>
    </w:rPr>
  </w:style>
  <w:style w:type="character" w:customStyle="1" w:styleId="77">
    <w:name w:val="font51"/>
    <w:basedOn w:val="29"/>
    <w:qFormat/>
    <w:uiPriority w:val="0"/>
    <w:rPr>
      <w:rFonts w:hint="eastAsia" w:ascii="宋体" w:hAnsi="宋体" w:eastAsia="宋体" w:cs="宋体"/>
      <w:color w:val="00B050"/>
      <w:sz w:val="22"/>
      <w:szCs w:val="22"/>
      <w:u w:val="none"/>
    </w:rPr>
  </w:style>
  <w:style w:type="character" w:customStyle="1" w:styleId="78">
    <w:name w:val="font61"/>
    <w:basedOn w:val="29"/>
    <w:qFormat/>
    <w:uiPriority w:val="0"/>
    <w:rPr>
      <w:rFonts w:hint="eastAsia" w:ascii="宋体" w:hAnsi="宋体" w:eastAsia="宋体" w:cs="宋体"/>
      <w:color w:val="000000"/>
      <w:sz w:val="22"/>
      <w:szCs w:val="22"/>
      <w:u w:val="none"/>
    </w:rPr>
  </w:style>
  <w:style w:type="character" w:customStyle="1" w:styleId="79">
    <w:name w:val="font71"/>
    <w:basedOn w:val="29"/>
    <w:qFormat/>
    <w:uiPriority w:val="0"/>
    <w:rPr>
      <w:rFonts w:hint="eastAsia" w:ascii="宋体" w:hAnsi="宋体" w:eastAsia="宋体" w:cs="宋体"/>
      <w:color w:val="339966"/>
      <w:sz w:val="22"/>
      <w:szCs w:val="22"/>
      <w:u w:val="none"/>
    </w:rPr>
  </w:style>
  <w:style w:type="character" w:customStyle="1" w:styleId="80">
    <w:name w:val="font31"/>
    <w:basedOn w:val="29"/>
    <w:qFormat/>
    <w:uiPriority w:val="0"/>
    <w:rPr>
      <w:rFonts w:hint="eastAsia" w:ascii="宋体" w:hAnsi="宋体" w:eastAsia="宋体" w:cs="宋体"/>
      <w:color w:val="00B050"/>
      <w:sz w:val="22"/>
      <w:szCs w:val="22"/>
      <w:u w:val="none"/>
    </w:rPr>
  </w:style>
  <w:style w:type="paragraph" w:customStyle="1" w:styleId="81">
    <w:name w:val=" Char Char Char Char"/>
    <w:basedOn w:val="1"/>
    <w:qFormat/>
    <w:uiPriority w:val="0"/>
    <w:pPr>
      <w:adjustRightInd w:val="0"/>
      <w:snapToGrid w:val="0"/>
      <w:spacing w:line="360" w:lineRule="auto"/>
      <w:ind w:firstLine="420" w:firstLineChars="200"/>
    </w:pPr>
  </w:style>
  <w:style w:type="paragraph" w:customStyle="1" w:styleId="82">
    <w:name w:val="Z表格标题"/>
    <w:basedOn w:val="1"/>
    <w:next w:val="1"/>
    <w:qFormat/>
    <w:uiPriority w:val="0"/>
    <w:pPr>
      <w:spacing w:line="400" w:lineRule="exact"/>
      <w:jc w:val="center"/>
    </w:pPr>
    <w:rPr>
      <w:rFonts w:ascii="Times New Roman" w:hAnsi="Times New Roman" w:eastAsia="宋体"/>
      <w:b/>
    </w:rPr>
  </w:style>
  <w:style w:type="paragraph" w:customStyle="1" w:styleId="83">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character" w:customStyle="1" w:styleId="84">
    <w:name w:val="font11"/>
    <w:basedOn w:val="29"/>
    <w:qFormat/>
    <w:uiPriority w:val="0"/>
    <w:rPr>
      <w:rFonts w:hint="eastAsia" w:ascii="宋体" w:hAnsi="宋体" w:eastAsia="宋体" w:cs="宋体"/>
      <w:color w:val="000000"/>
      <w:sz w:val="21"/>
      <w:szCs w:val="21"/>
      <w:u w:val="none"/>
    </w:rPr>
  </w:style>
  <w:style w:type="paragraph" w:customStyle="1" w:styleId="85">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wmf"/><Relationship Id="rId24" Type="http://schemas.openxmlformats.org/officeDocument/2006/relationships/oleObject" Target="embeddings/oleObject2.bin"/><Relationship Id="rId23" Type="http://schemas.openxmlformats.org/officeDocument/2006/relationships/image" Target="media/image15.wmf"/><Relationship Id="rId22" Type="http://schemas.openxmlformats.org/officeDocument/2006/relationships/oleObject" Target="embeddings/oleObject1.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5">
      <extobjdata type="ECB019B1-382A-4266-B25C-5B523AA43C14" data="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"/>
    </extobj>
    <extobj name="ECB019B1-382A-4266-B25C-5B523AA43C14-6">
      <extobjdata type="ECB019B1-382A-4266-B25C-5B523AA43C14" data="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"/>
    </extobj>
    <extobj name="ECB019B1-382A-4266-B25C-5B523AA43C14-7">
      <extobjdata type="ECB019B1-382A-4266-B25C-5B523AA43C14" data="ewoJIkZpbGVJZCIgOiAiMzU1MTY5MDg1NTkwIiwKCSJHcm91cElkIiA6ICIyMzc5MDY2NSIsCgkiSW1hZ2UiIDogImlWQk9SdzBLR2dvQUFBQU5TVWhFVWdBQUJQNEFBQUtVQ0FZQUFBQ1V2L2JHQUFBQUFYTlNSMElBcnM0YzZRQUFJQUJKUkVGVWVKenMzWHQ4WEhXZC8vSDM1OHdrazE1cEFhRkFYU3BFV2RNMG1YTUdiNmdnaXFnTGkzY1IxdjNCcnVBUFFVWGx0aWdLQ3FJaXJwZkZWVUFXUkZoRlJPNzRBeEZCUkM2U09aT2hUUzlVREFoc2Jia1Uwa3R1Y3o2L1B6cnBwbW51U1p0SjhubytIbmwwY3I2WDg1bnlvZm5tTStlY3J3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EwcHY4SGVNenYxdlI3MzNBQUFBQUFTVVZPUks1Q1lJST0iLAoJIlRoZW1lIiA6ICIiLAoJIlR5cGUiIDogImZsb3ciLAoJIlVzZXJJZCIgOiAiIiwKCSJWZXJzaW9uIiA6ICI2NiIKfQo="/>
    </extobj>
    <extobj name="ECB019B1-382A-4266-B25C-5B523AA43C14-8">
      <extobjdata type="ECB019B1-382A-4266-B25C-5B523AA43C14" data="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128</Pages>
  <Words>21779</Words>
  <Characters>23130</Characters>
  <Lines>370</Lines>
  <Paragraphs>104</Paragraphs>
  <TotalTime>1</TotalTime>
  <ScaleCrop>false</ScaleCrop>
  <LinksUpToDate>false</LinksUpToDate>
  <CharactersWithSpaces>23203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小创来喽</cp:lastModifiedBy>
  <cp:lastPrinted>2025-04-08T00:33:00Z</cp:lastPrinted>
  <dcterms:modified xsi:type="dcterms:W3CDTF">2025-05-09T06:18:51Z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1C711A00FC2C43268E57FF4B153E8449_13</vt:lpwstr>
  </property>
  <property fmtid="{D5CDD505-2E9C-101B-9397-08002B2CF9AE}" pid="4" name="KSOTemplateDocerSaveRecord">
    <vt:lpwstr>eyJoZGlkIjoiNGM3ZTU0ZWI3NWMyYmEwZjAzMzRlNTA5NTk0ZTcxYjUiLCJ1c2VySWQiOiIxMTI5MDQwMzQ0In0=</vt:lpwstr>
  </property>
</Properties>
</file>